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S1 Table 1: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Comparison of continuous muscle strength measures between adolescents (13 to 18 years) and adults (23 to 28 years).</w:t>
      </w: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0" w:tblpY="111"/>
        <w:tblW w:w="9353.0" w:type="dxa"/>
        <w:jc w:val="left"/>
        <w:tblBorders>
          <w:top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4A0"/>
      </w:tblPr>
      <w:tblGrid>
        <w:gridCol w:w="2224"/>
        <w:gridCol w:w="3554"/>
        <w:gridCol w:w="3575"/>
        <w:tblGridChange w:id="0">
          <w:tblGrid>
            <w:gridCol w:w="2224"/>
            <w:gridCol w:w="3554"/>
            <w:gridCol w:w="357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Age groups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Handgrip strength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Hip adductor strength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Median (IQR)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Until the 16th gestational week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Adolescents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23.33 (7.00)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15.83 (3.73)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Adults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26.67 (6.92)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16.98 (5.67)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p-value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0.028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0.092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 trimester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Adolescents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24.33 (6.58)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13.33 (5.50)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Adults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25.67 (8.33)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15.50 (5.58)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p-value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0.150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0.041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Between 4th and 6th week postpartum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Adolescents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24.00 (8.25)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12.67 (4.17)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Adults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24.00 (7.33)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12.33 (5.25)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p-value</w:t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0.394</w:t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0.350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IQR: Interquartile range.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701" w:top="1134" w:left="1134" w:right="1701" w:header="709" w:footer="709"/>
      <w:pgNumType w:start="1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8Zx7AV4tTwgeGeUzYSyws38/kA==">CgMxLjA4AHIhMW5HdkhNNkstamZFVGtHaDhHMVd3MWpxUWFZRVZzNlV2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