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02ED" w14:textId="26901CBC" w:rsidR="006F4DC6" w:rsidRDefault="006F4DC6" w:rsidP="006F4DC6">
      <w:pPr>
        <w:pStyle w:val="Heading1"/>
        <w:spacing w:afterLines="160" w:after="384" w:line="480" w:lineRule="auto"/>
        <w:rPr>
          <w:rFonts w:asciiTheme="minorHAnsi" w:hAnsiTheme="minorHAnsi" w:cstheme="minorHAnsi"/>
        </w:rPr>
      </w:pPr>
      <w:r>
        <w:rPr>
          <w:rFonts w:asciiTheme="minorHAnsi" w:hAnsiTheme="minorHAnsi" w:cstheme="minorHAnsi"/>
        </w:rPr>
        <w:t>Supporting Information</w:t>
      </w:r>
    </w:p>
    <w:p w14:paraId="68684AD2" w14:textId="4180B8CB" w:rsidR="006F4DC6" w:rsidRDefault="004470FC" w:rsidP="006F4DC6">
      <w:pPr>
        <w:pStyle w:val="Heading2"/>
        <w:spacing w:afterLines="160" w:after="384" w:line="480" w:lineRule="auto"/>
        <w:rPr>
          <w:rFonts w:asciiTheme="minorHAnsi" w:hAnsiTheme="minorHAnsi" w:cstheme="minorHAnsi"/>
        </w:rPr>
      </w:pPr>
      <w:r>
        <w:rPr>
          <w:rFonts w:asciiTheme="minorHAnsi" w:hAnsiTheme="minorHAnsi" w:cstheme="minorHAnsi"/>
        </w:rPr>
        <w:t xml:space="preserve">S1 Appendix - </w:t>
      </w:r>
      <w:r w:rsidR="006F4DC6" w:rsidRPr="00E856A1">
        <w:rPr>
          <w:rFonts w:asciiTheme="minorHAnsi" w:hAnsiTheme="minorHAnsi" w:cstheme="minorHAnsi"/>
        </w:rPr>
        <w:t>Supplementary Text</w:t>
      </w:r>
    </w:p>
    <w:p w14:paraId="2352788C" w14:textId="38655E5E" w:rsidR="004F6870" w:rsidRPr="00E856A1" w:rsidRDefault="00C94A7F" w:rsidP="004F6870">
      <w:pPr>
        <w:pStyle w:val="Heading3"/>
        <w:spacing w:afterLines="160" w:after="384" w:line="480" w:lineRule="auto"/>
        <w:rPr>
          <w:rFonts w:asciiTheme="minorHAnsi" w:hAnsiTheme="minorHAnsi" w:cstheme="minorHAnsi"/>
        </w:rPr>
      </w:pPr>
      <w:r>
        <w:rPr>
          <w:rFonts w:asciiTheme="minorHAnsi" w:hAnsiTheme="minorHAnsi" w:cstheme="minorHAnsi"/>
        </w:rPr>
        <w:t>Disturbance data</w:t>
      </w:r>
    </w:p>
    <w:p w14:paraId="6D0860CB" w14:textId="0AA39D84" w:rsidR="004F6870" w:rsidRPr="004F6870" w:rsidRDefault="00C94A7F" w:rsidP="009349BA">
      <w:pPr>
        <w:spacing w:line="480" w:lineRule="auto"/>
      </w:pPr>
      <w:r>
        <w:t xml:space="preserve">During AIMS LTMP </w:t>
      </w:r>
      <w:r w:rsidR="003F45AC">
        <w:t>mant</w:t>
      </w:r>
      <w:r w:rsidR="00F73187">
        <w:t>a</w:t>
      </w:r>
      <w:r w:rsidR="003F45AC">
        <w:t xml:space="preserve"> tow observations, causes of mortality are attributed to </w:t>
      </w:r>
      <w:r w:rsidR="00F73187">
        <w:t xml:space="preserve">significant coral losses (&gt;5%) where possible. For </w:t>
      </w:r>
      <w:r w:rsidR="00D848C0">
        <w:t>Fig</w:t>
      </w:r>
      <w:r w:rsidR="00F73187">
        <w:t xml:space="preserve"> S</w:t>
      </w:r>
      <w:r w:rsidR="00110DF9">
        <w:t>5</w:t>
      </w:r>
      <w:r w:rsidR="00F73187">
        <w:t xml:space="preserve"> </w:t>
      </w:r>
      <w:r w:rsidR="00110DF9">
        <w:t xml:space="preserve">(A) </w:t>
      </w:r>
      <w:r w:rsidR="00F73187">
        <w:t xml:space="preserve">the percentage of reefs affected by each </w:t>
      </w:r>
      <w:r w:rsidR="009378CF">
        <w:t xml:space="preserve">major </w:t>
      </w:r>
      <w:r w:rsidR="00F73187">
        <w:t>disturbance</w:t>
      </w:r>
      <w:r w:rsidR="009378CF">
        <w:t xml:space="preserve"> (COTS, Bleaching, Storms) </w:t>
      </w:r>
      <w:r w:rsidR="005C59CF">
        <w:t xml:space="preserve">by sector </w:t>
      </w:r>
      <w:r w:rsidR="009378CF">
        <w:t>was calculated each year using this attribution</w:t>
      </w:r>
      <w:r w:rsidR="000E49E8">
        <w:t xml:space="preserve">. </w:t>
      </w:r>
      <w:r w:rsidR="00110DF9">
        <w:t>For clarity, u</w:t>
      </w:r>
      <w:r w:rsidR="000E49E8">
        <w:t>nknown disturbances were excluded as were coral disease due to the low prevalence in the dataset.</w:t>
      </w:r>
      <w:r w:rsidR="00F73187">
        <w:t xml:space="preserve"> </w:t>
      </w:r>
      <w:r w:rsidR="00110DF9">
        <w:t xml:space="preserve">For </w:t>
      </w:r>
      <w:r w:rsidR="00D848C0">
        <w:t>Fig</w:t>
      </w:r>
      <w:r w:rsidR="00110DF9">
        <w:t xml:space="preserve"> S5 (B) the coral loss per survey was calculated as the </w:t>
      </w:r>
      <w:r w:rsidR="00E90D21">
        <w:t xml:space="preserve">mean +/- standard error of </w:t>
      </w:r>
      <w:r w:rsidR="00110DF9">
        <w:t>coral loss record</w:t>
      </w:r>
      <w:r w:rsidR="00623CE6">
        <w:t>ed from the year prior to the mortality event being observed</w:t>
      </w:r>
      <w:r w:rsidR="00110DF9">
        <w:t xml:space="preserve"> </w:t>
      </w:r>
      <w:r w:rsidR="00623CE6">
        <w:t>fo</w:t>
      </w:r>
      <w:r w:rsidR="005F0DE7">
        <w:t>r</w:t>
      </w:r>
      <w:r w:rsidR="00623CE6">
        <w:t xml:space="preserve"> each disturbance type by sector</w:t>
      </w:r>
      <w:r w:rsidR="005C59CF">
        <w:t>. This metric includes all ree</w:t>
      </w:r>
      <w:r w:rsidR="005F0DE7">
        <w:t>fs that were surveyed and not just those affected by disturbance to provide a clear estimate of the prevalence and magnit</w:t>
      </w:r>
      <w:r w:rsidR="00E33630">
        <w:t>ude of coral losses from each disturbance.</w:t>
      </w:r>
    </w:p>
    <w:p w14:paraId="040B39D4" w14:textId="77777777" w:rsidR="006F4DC6" w:rsidRPr="00E856A1" w:rsidRDefault="006F4DC6" w:rsidP="006F4DC6">
      <w:pPr>
        <w:pStyle w:val="Heading3"/>
        <w:spacing w:afterLines="160" w:after="384" w:line="480" w:lineRule="auto"/>
        <w:rPr>
          <w:rFonts w:asciiTheme="minorHAnsi" w:hAnsiTheme="minorHAnsi" w:cstheme="minorHAnsi"/>
        </w:rPr>
      </w:pPr>
      <w:r w:rsidRPr="00E856A1">
        <w:rPr>
          <w:rFonts w:asciiTheme="minorHAnsi" w:hAnsiTheme="minorHAnsi" w:cstheme="minorHAnsi"/>
        </w:rPr>
        <w:t>COTS control methods</w:t>
      </w:r>
    </w:p>
    <w:p w14:paraId="3DB61DD5" w14:textId="77777777" w:rsidR="006F4DC6" w:rsidRPr="00E856A1" w:rsidRDefault="006F4DC6" w:rsidP="006F4DC6">
      <w:pPr>
        <w:spacing w:afterLines="160" w:after="384" w:line="480" w:lineRule="auto"/>
        <w:jc w:val="both"/>
        <w:rPr>
          <w:rFonts w:eastAsia="Calibri" w:cstheme="minorHAnsi"/>
        </w:rPr>
      </w:pPr>
      <w:r w:rsidRPr="00E856A1">
        <w:rPr>
          <w:rFonts w:eastAsia="Calibri" w:cstheme="minorHAnsi"/>
        </w:rPr>
        <w:t>COTS culling occurs in a highly organized and structured manner to ensure the most effective use of resources. Currently, multiple contractors (some with multiple vessels) perform culling following the Integrated Pest Management framework. This framework allows managers to make informed decisions about where to prioritise culling effort and when culling can cease at certain reefs.</w:t>
      </w:r>
    </w:p>
    <w:p w14:paraId="0EA3477A" w14:textId="77777777" w:rsidR="006F4DC6" w:rsidRPr="00E856A1" w:rsidRDefault="006F4DC6" w:rsidP="006F4DC6">
      <w:pPr>
        <w:spacing w:afterLines="160" w:after="384" w:line="480" w:lineRule="auto"/>
        <w:jc w:val="both"/>
        <w:rPr>
          <w:rFonts w:eastAsia="Calibri" w:cstheme="minorHAnsi"/>
        </w:rPr>
      </w:pPr>
      <w:r w:rsidRPr="00E856A1">
        <w:rPr>
          <w:rFonts w:eastAsia="Calibri" w:cstheme="minorHAnsi"/>
        </w:rPr>
        <w:t xml:space="preserve">Briefly put, each targeted reef is allocated to a specific contractor who exclusively perform the culling at that reef. First, the reef is surveyed using a manta tow during which a diver is pulled behind a small tender around the reef perimeter. Tows are broken into approximately 200m segments during which a diver records: 1) the estimated coral cover, 2) the number of COTS feeding scars, and 3) the number </w:t>
      </w:r>
      <w:r w:rsidRPr="00E856A1">
        <w:rPr>
          <w:rFonts w:eastAsia="Calibri" w:cstheme="minorHAnsi"/>
        </w:rPr>
        <w:lastRenderedPageBreak/>
        <w:t>of COTS observed. This data is then paired with the GPS track recorded for each tow and is used to inform where culling should be performed.</w:t>
      </w:r>
    </w:p>
    <w:p w14:paraId="28F9D7A8" w14:textId="6BE935DD" w:rsidR="006F4DC6" w:rsidRPr="00E856A1" w:rsidRDefault="006F4DC6" w:rsidP="006F4DC6">
      <w:pPr>
        <w:spacing w:afterLines="160" w:after="384" w:line="480" w:lineRule="auto"/>
        <w:jc w:val="both"/>
        <w:rPr>
          <w:rFonts w:eastAsia="Calibri" w:cstheme="minorHAnsi"/>
        </w:rPr>
      </w:pPr>
      <w:r w:rsidRPr="00E856A1">
        <w:rPr>
          <w:rFonts w:eastAsia="Calibri" w:cstheme="minorHAnsi"/>
        </w:rPr>
        <w:t xml:space="preserve">Every actioned reef is broken into smaller management units called “sites” which are approximately 500m long and 200m wide. All culling is performed and recorded at the site level. Using a mix of </w:t>
      </w:r>
      <w:proofErr w:type="spellStart"/>
      <w:r w:rsidRPr="00E856A1">
        <w:rPr>
          <w:rFonts w:eastAsia="Calibri" w:cstheme="minorHAnsi"/>
        </w:rPr>
        <w:t>snorkeling</w:t>
      </w:r>
      <w:proofErr w:type="spellEnd"/>
      <w:r w:rsidRPr="00E856A1">
        <w:rPr>
          <w:rFonts w:eastAsia="Calibri" w:cstheme="minorHAnsi"/>
        </w:rPr>
        <w:t xml:space="preserve"> and SCUBA, a team of </w:t>
      </w:r>
      <w:proofErr w:type="gramStart"/>
      <w:r w:rsidRPr="00E856A1">
        <w:rPr>
          <w:rFonts w:eastAsia="Calibri" w:cstheme="minorHAnsi"/>
        </w:rPr>
        <w:t>divers</w:t>
      </w:r>
      <w:proofErr w:type="gramEnd"/>
      <w:r w:rsidRPr="00E856A1">
        <w:rPr>
          <w:rFonts w:eastAsia="Calibri" w:cstheme="minorHAnsi"/>
        </w:rPr>
        <w:t xml:space="preserve"> swim along the site in a line covering the full spread of reef habitats (slope, crest, and flat) and aim to completely survey the site within a fixed amount time (typically 40-60 minutes). Divers search for COTS and inject any located individuals with 10mL of ox bile solution</w:t>
      </w:r>
      <w:r>
        <w:rPr>
          <w:rFonts w:eastAsia="Calibri" w:cstheme="minorHAnsi"/>
        </w:rPr>
        <w:t xml:space="preserve"> or vinegar</w:t>
      </w:r>
      <w:r w:rsidRPr="00E856A1">
        <w:rPr>
          <w:rFonts w:eastAsia="Calibri" w:cstheme="minorHAnsi"/>
        </w:rPr>
        <w:t>. This injection causes rapid disease formation and subsequent death in the following 24-48 hours. The number of COTS and their respective size cohort (&lt;15cm, 15-25cm, 25-40cm, and &gt;40cm) culled at each site is recorded after every dive. The catch per unit effort (CPUE: total number of COTS &gt;15cm culled/total minutes spent culling) is calculated using the culling data for every site actioned. The CPUE is then used to determine if culling needs to be continued at that site (≥0.04, i.e. the site remains open) or if the site is then closed to culling (&lt;0.04) as it now has an ecologically stable population of COTS.</w:t>
      </w:r>
    </w:p>
    <w:p w14:paraId="13D314B0" w14:textId="77777777" w:rsidR="006F4DC6" w:rsidRPr="00E856A1" w:rsidRDefault="006F4DC6" w:rsidP="006F4DC6">
      <w:pPr>
        <w:spacing w:afterLines="160" w:after="384" w:line="480" w:lineRule="auto"/>
        <w:jc w:val="both"/>
        <w:rPr>
          <w:rFonts w:eastAsia="Calibri" w:cstheme="minorHAnsi"/>
        </w:rPr>
      </w:pPr>
      <w:r w:rsidRPr="00E856A1">
        <w:rPr>
          <w:rFonts w:eastAsia="Calibri" w:cstheme="minorHAnsi"/>
        </w:rPr>
        <w:t xml:space="preserve">All tow and culling data </w:t>
      </w:r>
      <w:proofErr w:type="gramStart"/>
      <w:r w:rsidRPr="00E856A1">
        <w:rPr>
          <w:rFonts w:eastAsia="Calibri" w:cstheme="minorHAnsi"/>
        </w:rPr>
        <w:t>is</w:t>
      </w:r>
      <w:proofErr w:type="gramEnd"/>
      <w:r w:rsidRPr="00E856A1">
        <w:rPr>
          <w:rFonts w:eastAsia="Calibri" w:cstheme="minorHAnsi"/>
        </w:rPr>
        <w:t xml:space="preserve"> uploaded and compiled in a central database after every voyage. This data is then made available to the contractors through an interactive dashboard that is referenced during subsequent voyages. Governing and management authorities also use this data to study trends and make informed decisions as to how to change or maintain the culling program.</w:t>
      </w:r>
    </w:p>
    <w:p w14:paraId="23CD5072" w14:textId="77777777" w:rsidR="006F4DC6" w:rsidRPr="00E856A1" w:rsidRDefault="006F4DC6" w:rsidP="006F4DC6">
      <w:pPr>
        <w:pStyle w:val="Heading3"/>
        <w:spacing w:afterLines="160" w:after="384" w:line="480" w:lineRule="auto"/>
        <w:rPr>
          <w:rFonts w:asciiTheme="minorHAnsi" w:hAnsiTheme="minorHAnsi" w:cstheme="minorHAnsi"/>
        </w:rPr>
      </w:pPr>
      <w:r w:rsidRPr="00E856A1">
        <w:rPr>
          <w:rFonts w:asciiTheme="minorHAnsi" w:hAnsiTheme="minorHAnsi" w:cstheme="minorHAnsi"/>
        </w:rPr>
        <w:t>Categorising the Cape Upstart sector as ‘</w:t>
      </w:r>
      <w:r>
        <w:rPr>
          <w:rFonts w:asciiTheme="minorHAnsi" w:hAnsiTheme="minorHAnsi" w:cstheme="minorHAnsi"/>
        </w:rPr>
        <w:t>Proactive action</w:t>
      </w:r>
      <w:r w:rsidRPr="00E856A1">
        <w:rPr>
          <w:rFonts w:asciiTheme="minorHAnsi" w:hAnsiTheme="minorHAnsi" w:cstheme="minorHAnsi"/>
        </w:rPr>
        <w:t>’</w:t>
      </w:r>
    </w:p>
    <w:p w14:paraId="1693FB36" w14:textId="77777777" w:rsidR="006F4DC6" w:rsidRPr="00E856A1" w:rsidRDefault="006F4DC6" w:rsidP="006F4DC6">
      <w:pPr>
        <w:spacing w:afterLines="160" w:after="384" w:line="480" w:lineRule="auto"/>
        <w:jc w:val="both"/>
        <w:rPr>
          <w:rFonts w:eastAsia="Calibri" w:cstheme="minorHAnsi"/>
        </w:rPr>
      </w:pPr>
      <w:r w:rsidRPr="00E856A1">
        <w:rPr>
          <w:rFonts w:eastAsiaTheme="minorEastAsia" w:cstheme="minorHAnsi"/>
          <w:color w:val="000000" w:themeColor="text1"/>
        </w:rPr>
        <w:t>The 4</w:t>
      </w:r>
      <w:r w:rsidRPr="00E856A1">
        <w:rPr>
          <w:rFonts w:eastAsiaTheme="minorEastAsia" w:cstheme="minorHAnsi"/>
          <w:color w:val="000000" w:themeColor="text1"/>
          <w:vertAlign w:val="superscript"/>
        </w:rPr>
        <w:t>th</w:t>
      </w:r>
      <w:r w:rsidRPr="00E856A1">
        <w:rPr>
          <w:rFonts w:eastAsiaTheme="minorEastAsia" w:cstheme="minorHAnsi"/>
          <w:color w:val="000000" w:themeColor="text1"/>
        </w:rPr>
        <w:t xml:space="preserve"> outbreak defined for the Cape Upstart sector is a forecast based upon historic outbreak cycles. The years that denote this outbreak are based on the southwardly progression of COTS and the observed 4-year delay between the 3</w:t>
      </w:r>
      <w:r w:rsidRPr="00E856A1">
        <w:rPr>
          <w:rFonts w:eastAsiaTheme="minorEastAsia" w:cstheme="minorHAnsi"/>
          <w:color w:val="000000" w:themeColor="text1"/>
          <w:vertAlign w:val="superscript"/>
        </w:rPr>
        <w:t>rd</w:t>
      </w:r>
      <w:r w:rsidRPr="00E856A1">
        <w:rPr>
          <w:rFonts w:eastAsiaTheme="minorEastAsia" w:cstheme="minorHAnsi"/>
          <w:color w:val="000000" w:themeColor="text1"/>
        </w:rPr>
        <w:t xml:space="preserve"> outbreak commencing in the Townsville sector (1998) and the Cape Upstart sector (2002). This expected outbreak was denoted only because this sector had </w:t>
      </w:r>
      <w:r w:rsidRPr="00E856A1">
        <w:rPr>
          <w:rFonts w:eastAsiaTheme="minorEastAsia" w:cstheme="minorHAnsi"/>
          <w:color w:val="000000" w:themeColor="text1"/>
        </w:rPr>
        <w:lastRenderedPageBreak/>
        <w:t xml:space="preserve">demonstrated a history of previous outbreaks, thus allowing us to assume that there would be a current outbreak. </w:t>
      </w:r>
    </w:p>
    <w:p w14:paraId="4618F945" w14:textId="77777777" w:rsidR="006F4DC6" w:rsidRPr="00E856A1" w:rsidRDefault="006F4DC6" w:rsidP="006F4DC6">
      <w:pPr>
        <w:pStyle w:val="Heading3"/>
        <w:spacing w:afterLines="160" w:after="384" w:line="480" w:lineRule="auto"/>
        <w:jc w:val="both"/>
        <w:rPr>
          <w:rStyle w:val="Strong"/>
          <w:rFonts w:asciiTheme="minorHAnsi" w:eastAsiaTheme="minorHAnsi" w:hAnsiTheme="minorHAnsi" w:cstheme="minorHAnsi"/>
          <w:b/>
          <w:bCs/>
          <w:i w:val="0"/>
          <w:iCs w:val="0"/>
          <w:color w:val="auto"/>
        </w:rPr>
      </w:pPr>
      <w:r w:rsidRPr="00E856A1">
        <w:rPr>
          <w:rStyle w:val="Strong"/>
          <w:rFonts w:asciiTheme="minorHAnsi" w:hAnsiTheme="minorHAnsi" w:cstheme="minorHAnsi"/>
          <w:b/>
          <w:bCs/>
        </w:rPr>
        <w:t xml:space="preserve">Detailed definition of sector-wide management </w:t>
      </w:r>
      <w:r>
        <w:rPr>
          <w:rStyle w:val="Strong"/>
          <w:rFonts w:asciiTheme="minorHAnsi" w:hAnsiTheme="minorHAnsi" w:cstheme="minorHAnsi"/>
          <w:b/>
          <w:bCs/>
        </w:rPr>
        <w:t>action</w:t>
      </w:r>
    </w:p>
    <w:p w14:paraId="471F9DD0" w14:textId="77777777" w:rsidR="006F4DC6" w:rsidRPr="00E856A1" w:rsidRDefault="006F4DC6" w:rsidP="006F4DC6">
      <w:pPr>
        <w:pStyle w:val="ListParagraph"/>
        <w:numPr>
          <w:ilvl w:val="0"/>
          <w:numId w:val="1"/>
        </w:numPr>
        <w:spacing w:afterLines="160" w:after="384" w:line="480" w:lineRule="auto"/>
        <w:jc w:val="both"/>
        <w:rPr>
          <w:rFonts w:cstheme="minorHAnsi"/>
          <w:b/>
          <w:i/>
        </w:rPr>
      </w:pPr>
      <w:r w:rsidRPr="00E856A1">
        <w:rPr>
          <w:rFonts w:cstheme="minorHAnsi"/>
          <w:b/>
          <w:bCs/>
          <w:i/>
          <w:iCs/>
        </w:rPr>
        <w:t xml:space="preserve">Limited </w:t>
      </w:r>
      <w:r>
        <w:rPr>
          <w:rFonts w:cstheme="minorHAnsi"/>
          <w:b/>
          <w:bCs/>
          <w:i/>
          <w:iCs/>
        </w:rPr>
        <w:t>a</w:t>
      </w:r>
      <w:r w:rsidRPr="00E856A1">
        <w:rPr>
          <w:rFonts w:cstheme="minorHAnsi"/>
          <w:b/>
          <w:bCs/>
          <w:i/>
          <w:iCs/>
        </w:rPr>
        <w:t xml:space="preserve">ction: </w:t>
      </w:r>
      <w:r w:rsidRPr="00E856A1">
        <w:rPr>
          <w:rFonts w:cstheme="minorHAnsi"/>
        </w:rPr>
        <w:t>When limited resources are available and/or control activities were not initiated early enough COTS outbreaks may become too severe to control at both the reef and sector wide level. These reefs/sectors are typified by rapid coral loss beyond the resilience threshold with longer recovery times expected.</w:t>
      </w:r>
    </w:p>
    <w:p w14:paraId="22F614EC" w14:textId="77777777" w:rsidR="006F4DC6" w:rsidRPr="00E856A1" w:rsidRDefault="006F4DC6" w:rsidP="006F4DC6">
      <w:pPr>
        <w:pStyle w:val="ListParagraph"/>
        <w:numPr>
          <w:ilvl w:val="0"/>
          <w:numId w:val="1"/>
        </w:numPr>
        <w:spacing w:afterLines="160" w:after="384" w:line="480" w:lineRule="auto"/>
        <w:jc w:val="both"/>
        <w:rPr>
          <w:rFonts w:cstheme="minorHAnsi"/>
          <w:b/>
          <w:i/>
        </w:rPr>
      </w:pPr>
      <w:r>
        <w:rPr>
          <w:rFonts w:cstheme="minorHAnsi"/>
          <w:b/>
          <w:bCs/>
          <w:i/>
          <w:iCs/>
        </w:rPr>
        <w:t>Reactive action</w:t>
      </w:r>
      <w:r w:rsidRPr="00E856A1">
        <w:rPr>
          <w:rFonts w:cstheme="minorHAnsi"/>
          <w:b/>
          <w:bCs/>
          <w:i/>
          <w:iCs/>
        </w:rPr>
        <w:t xml:space="preserve">: </w:t>
      </w:r>
      <w:r w:rsidRPr="00E856A1">
        <w:rPr>
          <w:rFonts w:cstheme="minorHAnsi"/>
        </w:rPr>
        <w:t xml:space="preserve">Control begins either after COTS outbreaks have exceeded severe outbreak levels or before this threshold is reached, but limited resources does not allow for the suppression of the outbreak. Substantially higher amounts of culling resources are required to reduce COTS numbers and prevent coral loss. Coral protection can thus only be achieved at a reduced number of sites and reefs. Coral protection may not be sustainable over the long term </w:t>
      </w:r>
      <w:r w:rsidRPr="00EA1B36">
        <w:t xml:space="preserve">as continued COTS larval supply from surrounding reefs may eventually overwhelm control efforts. The goal of protection is to maintain coral cover above the resilience threshold (~10% coral cover, </w:t>
      </w:r>
      <w:sdt>
        <w:sdtPr>
          <w:rPr>
            <w:highlight w:val="white"/>
          </w:rPr>
          <w:alias w:val="Citation"/>
          <w:tag w:val="{&quot;referencesIds&quot;:[&quot;doc:5e0032d4e4b073f92217ec87&quot;],&quot;referencesOptions&quot;:{&quot;doc:5e0032d4e4b073f92217ec87&quot;:{&quot;author&quot;:true,&quot;year&quot;:true,&quot;pageReplace&quot;:&quot;&quot;,&quot;prefix&quot;:&quot;&quot;,&quot;suffix&quot;:&quot;&quot;}},&quot;hasBrokenReferences&quot;:false,&quot;hasManualEdits&quot;:false,&quot;citationType&quot;:&quot;inline&quot;,&quot;id&quot;:-354416755,&quot;citationText&quot;:&quot;&lt;span style=\&quot;font-family:Arial;font-size:18.666666666666664px;color:#2F5496\&quot;&gt;(63)&lt;/span&gt;&quot;}"/>
          <w:id w:val="-354416755"/>
          <w:placeholder>
            <w:docPart w:val="592B4CEB2E754710A1B3CF6F74E1CEFA"/>
          </w:placeholder>
        </w:sdtPr>
        <w:sdtEndPr/>
        <w:sdtContent>
          <w:r w:rsidRPr="00EA1B36">
            <w:t>(63)</w:t>
          </w:r>
        </w:sdtContent>
      </w:sdt>
      <w:r w:rsidRPr="00EA1B36">
        <w:t xml:space="preserve"> at important source reefs to allow for increased rates of recovery following the outbreak (e.g., increased coral larvae export).</w:t>
      </w:r>
    </w:p>
    <w:p w14:paraId="558D6BD6" w14:textId="77777777" w:rsidR="006F4DC6" w:rsidRPr="00E856A1" w:rsidRDefault="006F4DC6" w:rsidP="006F4DC6">
      <w:pPr>
        <w:pStyle w:val="ListParagraph"/>
        <w:numPr>
          <w:ilvl w:val="0"/>
          <w:numId w:val="1"/>
        </w:numPr>
        <w:spacing w:afterLines="160" w:after="384" w:line="480" w:lineRule="auto"/>
        <w:jc w:val="both"/>
        <w:rPr>
          <w:rFonts w:cstheme="minorHAnsi"/>
          <w:b/>
          <w:bCs/>
          <w:i/>
          <w:iCs/>
        </w:rPr>
      </w:pPr>
      <w:r>
        <w:rPr>
          <w:rFonts w:cstheme="minorHAnsi"/>
          <w:b/>
          <w:bCs/>
          <w:i/>
          <w:iCs/>
        </w:rPr>
        <w:t>Timely action</w:t>
      </w:r>
      <w:r w:rsidRPr="00E856A1">
        <w:rPr>
          <w:rFonts w:cstheme="minorHAnsi"/>
          <w:b/>
          <w:bCs/>
          <w:i/>
          <w:iCs/>
        </w:rPr>
        <w:t xml:space="preserve">: </w:t>
      </w:r>
      <w:r w:rsidRPr="00E856A1">
        <w:rPr>
          <w:rFonts w:cstheme="minorHAnsi"/>
        </w:rPr>
        <w:t>Culling begins after reaching Potential outbreak densities &gt;0.11 with sufficient resources to suppress the COTS populations. Suppression greatly reduces the regional spawning potential of COTS populations and a reduction in coral predation. This has positive consequences for both the culled reefs and those with downstream connectivity by reducing COTS larval supply and increasing coral larval supply</w:t>
      </w:r>
      <w:r>
        <w:rPr>
          <w:rFonts w:cstheme="minorHAnsi"/>
        </w:rPr>
        <w:t>.</w:t>
      </w:r>
    </w:p>
    <w:p w14:paraId="2D6EE33C" w14:textId="77777777" w:rsidR="006F4DC6" w:rsidRPr="003B316C" w:rsidRDefault="006F4DC6" w:rsidP="006F4DC6">
      <w:pPr>
        <w:pStyle w:val="ListParagraph"/>
        <w:numPr>
          <w:ilvl w:val="0"/>
          <w:numId w:val="1"/>
        </w:numPr>
        <w:spacing w:afterLines="160" w:after="384" w:line="480" w:lineRule="auto"/>
        <w:jc w:val="both"/>
        <w:rPr>
          <w:rFonts w:cstheme="minorHAnsi"/>
          <w:b/>
          <w:bCs/>
          <w:i/>
          <w:iCs/>
        </w:rPr>
      </w:pPr>
      <w:r>
        <w:rPr>
          <w:rFonts w:cstheme="minorHAnsi"/>
          <w:b/>
          <w:i/>
        </w:rPr>
        <w:t>Proactive action</w:t>
      </w:r>
      <w:r w:rsidRPr="00E856A1">
        <w:rPr>
          <w:rFonts w:cstheme="minorHAnsi"/>
          <w:b/>
          <w:i/>
        </w:rPr>
        <w:t xml:space="preserve">: </w:t>
      </w:r>
      <w:r>
        <w:rPr>
          <w:rFonts w:cstheme="minorHAnsi"/>
        </w:rPr>
        <w:t xml:space="preserve">Proactive action works via </w:t>
      </w:r>
      <w:r w:rsidRPr="00E856A1">
        <w:rPr>
          <w:rFonts w:cstheme="minorHAnsi"/>
        </w:rPr>
        <w:t xml:space="preserve">two mechanisms: pre-emptive culling targeted before COTS reach outbreak densities (0.11 COTS/Tow) and/or via effective suppression and containment in upstream sectors meaning that a sector wide outbreak does not eventuate. Importantly, </w:t>
      </w:r>
      <w:r>
        <w:rPr>
          <w:rFonts w:cstheme="minorHAnsi"/>
        </w:rPr>
        <w:t>proactive action takes place</w:t>
      </w:r>
      <w:r w:rsidRPr="00E856A1">
        <w:rPr>
          <w:rFonts w:cstheme="minorHAnsi"/>
        </w:rPr>
        <w:t xml:space="preserve"> during the phase preceding the outbreak – the non-</w:t>
      </w:r>
      <w:r w:rsidRPr="00E856A1">
        <w:rPr>
          <w:rFonts w:cstheme="minorHAnsi"/>
        </w:rPr>
        <w:lastRenderedPageBreak/>
        <w:t>outbreak phase. The definition of pr</w:t>
      </w:r>
      <w:r>
        <w:rPr>
          <w:rFonts w:cstheme="minorHAnsi"/>
        </w:rPr>
        <w:t>oactive action</w:t>
      </w:r>
      <w:r w:rsidRPr="00E856A1">
        <w:rPr>
          <w:rFonts w:cstheme="minorHAnsi"/>
        </w:rPr>
        <w:t xml:space="preserve"> via upstream suppression is reliant upon the sector in question having a history of sector-wide COTS outbreaks (working off the assumption that if culling did not occur, the sector would not be impacted by an outbreak). Successful </w:t>
      </w:r>
      <w:r>
        <w:rPr>
          <w:rFonts w:cstheme="minorHAnsi"/>
        </w:rPr>
        <w:t>proactive action</w:t>
      </w:r>
      <w:r w:rsidRPr="00E856A1">
        <w:rPr>
          <w:rFonts w:cstheme="minorHAnsi"/>
        </w:rPr>
        <w:t xml:space="preserve"> at a reef/sector will have the greatest positive impact on coral growth and recovery. Th</w:t>
      </w:r>
      <w:r>
        <w:rPr>
          <w:rFonts w:cstheme="minorHAnsi"/>
        </w:rPr>
        <w:t>is</w:t>
      </w:r>
      <w:r w:rsidRPr="00E856A1">
        <w:rPr>
          <w:rFonts w:cstheme="minorHAnsi"/>
        </w:rPr>
        <w:t xml:space="preserve"> approach will </w:t>
      </w:r>
      <w:proofErr w:type="gramStart"/>
      <w:r w:rsidRPr="00E856A1">
        <w:rPr>
          <w:rFonts w:cstheme="minorHAnsi"/>
        </w:rPr>
        <w:t>by definition result</w:t>
      </w:r>
      <w:proofErr w:type="gramEnd"/>
      <w:r w:rsidRPr="00E856A1">
        <w:rPr>
          <w:rFonts w:cstheme="minorHAnsi"/>
        </w:rPr>
        <w:t xml:space="preserve"> in lower total COTS culled and CPUE as efforts are targeted before outbreaks begin. It is important to note that pr</w:t>
      </w:r>
      <w:r>
        <w:rPr>
          <w:rFonts w:cstheme="minorHAnsi"/>
        </w:rPr>
        <w:t>oactive action</w:t>
      </w:r>
      <w:r w:rsidRPr="00E856A1">
        <w:rPr>
          <w:rFonts w:cstheme="minorHAnsi"/>
        </w:rPr>
        <w:t xml:space="preserve"> in this context does not refer to COTS populations being eliminated from a sector. Instead, it simply means that a sector wide outbreak, which would have normally eventuated, has been prevented</w:t>
      </w:r>
      <w:r>
        <w:rPr>
          <w:rFonts w:cstheme="minorHAnsi"/>
        </w:rPr>
        <w:t>/delayed</w:t>
      </w:r>
      <w:r w:rsidRPr="00E856A1">
        <w:rPr>
          <w:rFonts w:cstheme="minorHAnsi"/>
        </w:rPr>
        <w:t xml:space="preserve"> due to pre-emptive and/or upstream COTS control. </w:t>
      </w:r>
      <w:r w:rsidRPr="003B316C">
        <w:rPr>
          <w:rFonts w:cstheme="minorHAnsi"/>
        </w:rPr>
        <w:br w:type="page"/>
      </w:r>
    </w:p>
    <w:p w14:paraId="12103D41" w14:textId="77777777" w:rsidR="006F4DC6" w:rsidRPr="00E856A1" w:rsidRDefault="006F4DC6" w:rsidP="006F4DC6">
      <w:pPr>
        <w:pStyle w:val="Caption"/>
        <w:spacing w:afterLines="160" w:after="384" w:line="480" w:lineRule="auto"/>
        <w:rPr>
          <w:rFonts w:cstheme="minorHAnsi"/>
          <w:b/>
          <w:bCs/>
        </w:rPr>
      </w:pPr>
      <w:r w:rsidRPr="00E856A1">
        <w:rPr>
          <w:rFonts w:cstheme="minorHAnsi"/>
        </w:rPr>
        <w:lastRenderedPageBreak/>
        <w:t>Table S</w:t>
      </w:r>
      <w:r>
        <w:rPr>
          <w:rFonts w:cstheme="minorHAnsi"/>
        </w:rPr>
        <w:t>1</w:t>
      </w:r>
      <w:r w:rsidRPr="00E856A1">
        <w:rPr>
          <w:rFonts w:cstheme="minorHAnsi"/>
        </w:rPr>
        <w:t>. Glossary of key words and acronyms used throughout the text with their definitions.</w:t>
      </w:r>
    </w:p>
    <w:tbl>
      <w:tblPr>
        <w:tblW w:w="8861" w:type="dxa"/>
        <w:tblLook w:val="04A0" w:firstRow="1" w:lastRow="0" w:firstColumn="1" w:lastColumn="0" w:noHBand="0" w:noVBand="1"/>
      </w:tblPr>
      <w:tblGrid>
        <w:gridCol w:w="2110"/>
        <w:gridCol w:w="6751"/>
      </w:tblGrid>
      <w:tr w:rsidR="006F4DC6" w:rsidRPr="00E856A1" w14:paraId="651E6DBD" w14:textId="77777777" w:rsidTr="0097410B">
        <w:trPr>
          <w:trHeight w:val="283"/>
        </w:trPr>
        <w:tc>
          <w:tcPr>
            <w:tcW w:w="2110" w:type="dxa"/>
            <w:tcBorders>
              <w:top w:val="single" w:sz="4" w:space="0" w:color="auto"/>
              <w:left w:val="nil"/>
              <w:bottom w:val="single" w:sz="4" w:space="0" w:color="auto"/>
              <w:right w:val="nil"/>
            </w:tcBorders>
            <w:shd w:val="clear" w:color="auto" w:fill="auto"/>
            <w:noWrap/>
            <w:vAlign w:val="center"/>
            <w:hideMark/>
          </w:tcPr>
          <w:p w14:paraId="140AB2E5" w14:textId="77777777" w:rsidR="006F4DC6" w:rsidRPr="00E856A1" w:rsidRDefault="006F4DC6" w:rsidP="0097410B">
            <w:pPr>
              <w:spacing w:after="0" w:line="480" w:lineRule="auto"/>
              <w:rPr>
                <w:rFonts w:eastAsia="Times New Roman" w:cstheme="minorHAnsi"/>
                <w:b/>
                <w:bCs/>
                <w:color w:val="000000"/>
                <w:lang w:val="en-US"/>
              </w:rPr>
            </w:pPr>
            <w:r w:rsidRPr="00E856A1">
              <w:rPr>
                <w:rFonts w:eastAsia="Times New Roman" w:cstheme="minorHAnsi"/>
                <w:b/>
                <w:bCs/>
                <w:color w:val="000000"/>
                <w:lang w:val="en-US"/>
              </w:rPr>
              <w:t>Term</w:t>
            </w:r>
          </w:p>
        </w:tc>
        <w:tc>
          <w:tcPr>
            <w:tcW w:w="6751" w:type="dxa"/>
            <w:tcBorders>
              <w:top w:val="single" w:sz="4" w:space="0" w:color="auto"/>
              <w:left w:val="nil"/>
              <w:bottom w:val="single" w:sz="4" w:space="0" w:color="auto"/>
              <w:right w:val="nil"/>
            </w:tcBorders>
            <w:shd w:val="clear" w:color="auto" w:fill="auto"/>
            <w:noWrap/>
            <w:vAlign w:val="center"/>
            <w:hideMark/>
          </w:tcPr>
          <w:p w14:paraId="797DAB38" w14:textId="77777777" w:rsidR="006F4DC6" w:rsidRPr="00E856A1" w:rsidRDefault="006F4DC6" w:rsidP="0097410B">
            <w:pPr>
              <w:spacing w:after="0" w:line="480" w:lineRule="auto"/>
              <w:rPr>
                <w:rFonts w:eastAsia="Times New Roman" w:cstheme="minorHAnsi"/>
                <w:b/>
                <w:bCs/>
                <w:color w:val="000000"/>
                <w:lang w:val="en-US"/>
              </w:rPr>
            </w:pPr>
            <w:r w:rsidRPr="00E856A1">
              <w:rPr>
                <w:rFonts w:eastAsia="Times New Roman" w:cstheme="minorHAnsi"/>
                <w:b/>
                <w:bCs/>
                <w:color w:val="000000"/>
                <w:lang w:val="en-US"/>
              </w:rPr>
              <w:t>Definition</w:t>
            </w:r>
          </w:p>
        </w:tc>
      </w:tr>
      <w:tr w:rsidR="006F4DC6" w:rsidRPr="00E856A1" w14:paraId="0C207FD8" w14:textId="77777777" w:rsidTr="0097410B">
        <w:trPr>
          <w:trHeight w:val="283"/>
        </w:trPr>
        <w:tc>
          <w:tcPr>
            <w:tcW w:w="2110" w:type="dxa"/>
            <w:tcBorders>
              <w:top w:val="single" w:sz="4" w:space="0" w:color="auto"/>
              <w:left w:val="nil"/>
              <w:bottom w:val="nil"/>
              <w:right w:val="nil"/>
            </w:tcBorders>
            <w:shd w:val="clear" w:color="auto" w:fill="D9D9D9" w:themeFill="background1" w:themeFillShade="D9"/>
            <w:noWrap/>
            <w:hideMark/>
          </w:tcPr>
          <w:p w14:paraId="5B64E92A" w14:textId="77777777" w:rsidR="006F4DC6" w:rsidRPr="00E856A1" w:rsidRDefault="006F4DC6" w:rsidP="0097410B">
            <w:pPr>
              <w:spacing w:after="0" w:line="480" w:lineRule="auto"/>
              <w:rPr>
                <w:rFonts w:eastAsia="Times New Roman" w:cstheme="minorHAnsi"/>
                <w:color w:val="000000"/>
                <w:lang w:val="en-US"/>
              </w:rPr>
            </w:pPr>
            <w:r w:rsidRPr="00E856A1">
              <w:rPr>
                <w:rFonts w:eastAsia="Times New Roman" w:cstheme="minorHAnsi"/>
                <w:color w:val="000000"/>
                <w:lang w:val="en-US"/>
              </w:rPr>
              <w:t>Threshold</w:t>
            </w:r>
          </w:p>
        </w:tc>
        <w:tc>
          <w:tcPr>
            <w:tcW w:w="6751" w:type="dxa"/>
            <w:tcBorders>
              <w:top w:val="single" w:sz="4" w:space="0" w:color="auto"/>
              <w:left w:val="nil"/>
              <w:bottom w:val="nil"/>
              <w:right w:val="nil"/>
            </w:tcBorders>
            <w:shd w:val="clear" w:color="auto" w:fill="D9D9D9" w:themeFill="background1" w:themeFillShade="D9"/>
            <w:noWrap/>
            <w:hideMark/>
          </w:tcPr>
          <w:p w14:paraId="4951D39D"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A specific density of COTS that corresponds to altering important reef properties (e.g. 0.22 COTS/Tow)</w:t>
            </w:r>
          </w:p>
          <w:p w14:paraId="63300254" w14:textId="77777777" w:rsidR="006F4DC6" w:rsidRPr="00E856A1" w:rsidRDefault="006F4DC6" w:rsidP="0097410B">
            <w:pPr>
              <w:spacing w:after="0" w:line="480" w:lineRule="auto"/>
              <w:rPr>
                <w:rFonts w:eastAsia="Times New Roman" w:cstheme="minorHAnsi"/>
                <w:sz w:val="12"/>
                <w:szCs w:val="12"/>
                <w:lang w:val="en-US"/>
              </w:rPr>
            </w:pPr>
          </w:p>
          <w:p w14:paraId="43D6379E"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6CC6F678" w14:textId="77777777" w:rsidTr="0097410B">
        <w:trPr>
          <w:trHeight w:val="283"/>
        </w:trPr>
        <w:tc>
          <w:tcPr>
            <w:tcW w:w="2110" w:type="dxa"/>
            <w:tcBorders>
              <w:top w:val="nil"/>
              <w:left w:val="nil"/>
              <w:bottom w:val="nil"/>
              <w:right w:val="nil"/>
            </w:tcBorders>
            <w:shd w:val="clear" w:color="auto" w:fill="auto"/>
            <w:noWrap/>
            <w:hideMark/>
          </w:tcPr>
          <w:p w14:paraId="55D533F8"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Sector</w:t>
            </w:r>
          </w:p>
        </w:tc>
        <w:tc>
          <w:tcPr>
            <w:tcW w:w="6751" w:type="dxa"/>
            <w:tcBorders>
              <w:top w:val="nil"/>
              <w:left w:val="nil"/>
              <w:bottom w:val="nil"/>
              <w:right w:val="nil"/>
            </w:tcBorders>
            <w:shd w:val="clear" w:color="auto" w:fill="auto"/>
            <w:noWrap/>
            <w:hideMark/>
          </w:tcPr>
          <w:p w14:paraId="6F379B44" w14:textId="77777777" w:rsidR="006F4DC6" w:rsidRPr="00E856A1" w:rsidRDefault="006F4DC6" w:rsidP="0097410B">
            <w:pPr>
              <w:spacing w:after="0" w:line="480" w:lineRule="auto"/>
              <w:rPr>
                <w:rFonts w:eastAsia="Times New Roman" w:cstheme="minorHAnsi"/>
                <w:lang w:val="en-US"/>
              </w:rPr>
            </w:pPr>
            <w:r>
              <w:rPr>
                <w:rFonts w:eastAsia="Times New Roman" w:cstheme="minorHAnsi"/>
                <w:lang w:val="en-US"/>
              </w:rPr>
              <w:t>Latitudinal bands</w:t>
            </w:r>
            <w:r w:rsidRPr="00E856A1">
              <w:rPr>
                <w:rFonts w:eastAsia="Times New Roman" w:cstheme="minorHAnsi"/>
                <w:lang w:val="en-US"/>
              </w:rPr>
              <w:t xml:space="preserve"> used by AIMS to categorize reefs and track coral cover at broader scales. There are 11 sectors that span the entire length of the GBR which range in size from 7,500 – 55,000 km</w:t>
            </w:r>
            <w:r w:rsidRPr="00E856A1">
              <w:rPr>
                <w:rFonts w:eastAsia="Times New Roman" w:cstheme="minorHAnsi"/>
                <w:vertAlign w:val="superscript"/>
                <w:lang w:val="en-US"/>
              </w:rPr>
              <w:t>2</w:t>
            </w:r>
            <w:r w:rsidRPr="00E856A1">
              <w:rPr>
                <w:rFonts w:eastAsia="Times New Roman" w:cstheme="minorHAnsi"/>
                <w:lang w:val="en-US"/>
              </w:rPr>
              <w:t>.</w:t>
            </w:r>
          </w:p>
          <w:p w14:paraId="434C684E" w14:textId="77777777" w:rsidR="006F4DC6" w:rsidRPr="00E856A1" w:rsidRDefault="006F4DC6" w:rsidP="0097410B">
            <w:pPr>
              <w:spacing w:after="0" w:line="480" w:lineRule="auto"/>
              <w:rPr>
                <w:rFonts w:eastAsia="Times New Roman" w:cstheme="minorHAnsi"/>
                <w:sz w:val="12"/>
                <w:szCs w:val="12"/>
                <w:lang w:val="en-US"/>
              </w:rPr>
            </w:pPr>
          </w:p>
          <w:p w14:paraId="654A41B0"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357DFF24" w14:textId="77777777" w:rsidTr="0097410B">
        <w:trPr>
          <w:trHeight w:val="283"/>
        </w:trPr>
        <w:tc>
          <w:tcPr>
            <w:tcW w:w="2110" w:type="dxa"/>
            <w:tcBorders>
              <w:top w:val="nil"/>
              <w:left w:val="nil"/>
              <w:bottom w:val="nil"/>
              <w:right w:val="nil"/>
            </w:tcBorders>
            <w:shd w:val="clear" w:color="auto" w:fill="D9D9D9" w:themeFill="background1" w:themeFillShade="D9"/>
            <w:noWrap/>
          </w:tcPr>
          <w:p w14:paraId="27EA4B43"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Initiation Box</w:t>
            </w:r>
          </w:p>
        </w:tc>
        <w:tc>
          <w:tcPr>
            <w:tcW w:w="6751" w:type="dxa"/>
            <w:tcBorders>
              <w:top w:val="nil"/>
              <w:left w:val="nil"/>
              <w:bottom w:val="nil"/>
              <w:right w:val="nil"/>
            </w:tcBorders>
            <w:shd w:val="clear" w:color="auto" w:fill="D9D9D9" w:themeFill="background1" w:themeFillShade="D9"/>
            <w:noWrap/>
          </w:tcPr>
          <w:p w14:paraId="625611F2"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 xml:space="preserve">Reefs between Cairns and Lizard Island where primary outbreaks </w:t>
            </w:r>
            <w:r>
              <w:rPr>
                <w:rFonts w:eastAsia="Times New Roman" w:cstheme="minorHAnsi"/>
                <w:lang w:val="en-US"/>
              </w:rPr>
              <w:t xml:space="preserve">are believed to </w:t>
            </w:r>
            <w:r w:rsidRPr="00E856A1">
              <w:rPr>
                <w:rFonts w:eastAsia="Times New Roman" w:cstheme="minorHAnsi"/>
                <w:lang w:val="en-US"/>
              </w:rPr>
              <w:t>commence.</w:t>
            </w:r>
          </w:p>
          <w:p w14:paraId="1AFB4B21"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04C6E5DF" w14:textId="77777777" w:rsidTr="0097410B">
        <w:trPr>
          <w:trHeight w:val="57"/>
        </w:trPr>
        <w:tc>
          <w:tcPr>
            <w:tcW w:w="2110" w:type="dxa"/>
            <w:tcBorders>
              <w:top w:val="nil"/>
              <w:left w:val="nil"/>
              <w:bottom w:val="nil"/>
              <w:right w:val="nil"/>
            </w:tcBorders>
            <w:shd w:val="clear" w:color="auto" w:fill="auto"/>
            <w:noWrap/>
            <w:hideMark/>
          </w:tcPr>
          <w:p w14:paraId="3DB1CCDD"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Primary Outbreak</w:t>
            </w:r>
          </w:p>
        </w:tc>
        <w:tc>
          <w:tcPr>
            <w:tcW w:w="6751" w:type="dxa"/>
            <w:tcBorders>
              <w:top w:val="nil"/>
              <w:left w:val="nil"/>
              <w:bottom w:val="nil"/>
              <w:right w:val="nil"/>
            </w:tcBorders>
            <w:shd w:val="clear" w:color="auto" w:fill="auto"/>
            <w:noWrap/>
            <w:hideMark/>
          </w:tcPr>
          <w:p w14:paraId="690D0A62"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The first outbreaks observed within the cycle. These arise independently from other outbreaks and occur on reefs within the initiation box (between Lizard Island and Cairns).</w:t>
            </w:r>
          </w:p>
          <w:p w14:paraId="3454321C" w14:textId="77777777" w:rsidR="006F4DC6" w:rsidRPr="00E856A1" w:rsidRDefault="006F4DC6" w:rsidP="0097410B">
            <w:pPr>
              <w:spacing w:after="0" w:line="480" w:lineRule="auto"/>
              <w:rPr>
                <w:rFonts w:eastAsia="Times New Roman" w:cstheme="minorHAnsi"/>
                <w:sz w:val="12"/>
                <w:szCs w:val="12"/>
                <w:lang w:val="en-US"/>
              </w:rPr>
            </w:pPr>
          </w:p>
          <w:p w14:paraId="1D133437"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0832BAD6" w14:textId="77777777" w:rsidTr="0097410B">
        <w:trPr>
          <w:trHeight w:val="283"/>
        </w:trPr>
        <w:tc>
          <w:tcPr>
            <w:tcW w:w="2110" w:type="dxa"/>
            <w:tcBorders>
              <w:top w:val="nil"/>
              <w:left w:val="nil"/>
              <w:bottom w:val="nil"/>
              <w:right w:val="nil"/>
            </w:tcBorders>
            <w:shd w:val="clear" w:color="auto" w:fill="D9D9D9" w:themeFill="background1" w:themeFillShade="D9"/>
            <w:noWrap/>
            <w:hideMark/>
          </w:tcPr>
          <w:p w14:paraId="5D6D3EDA"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Secondary Outbreak</w:t>
            </w:r>
          </w:p>
        </w:tc>
        <w:tc>
          <w:tcPr>
            <w:tcW w:w="6751" w:type="dxa"/>
            <w:tcBorders>
              <w:top w:val="nil"/>
              <w:left w:val="nil"/>
              <w:bottom w:val="nil"/>
              <w:right w:val="nil"/>
            </w:tcBorders>
            <w:shd w:val="clear" w:color="auto" w:fill="D9D9D9" w:themeFill="background1" w:themeFillShade="D9"/>
            <w:noWrap/>
            <w:hideMark/>
          </w:tcPr>
          <w:p w14:paraId="43111CCB"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Successive outbreaks that result from increased larval supply from other outbreaks. Waves of secondary outbreaks generally move in a southward direction depending on prevailing currents.</w:t>
            </w:r>
          </w:p>
          <w:p w14:paraId="028A6B4C" w14:textId="77777777" w:rsidR="006F4DC6" w:rsidRPr="00E856A1" w:rsidRDefault="006F4DC6" w:rsidP="0097410B">
            <w:pPr>
              <w:spacing w:after="0" w:line="480" w:lineRule="auto"/>
              <w:rPr>
                <w:rFonts w:eastAsia="Times New Roman" w:cstheme="minorHAnsi"/>
                <w:sz w:val="12"/>
                <w:szCs w:val="12"/>
                <w:lang w:val="en-US"/>
              </w:rPr>
            </w:pPr>
          </w:p>
          <w:p w14:paraId="1342E408"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6B165173" w14:textId="77777777" w:rsidTr="0097410B">
        <w:trPr>
          <w:trHeight w:val="283"/>
        </w:trPr>
        <w:tc>
          <w:tcPr>
            <w:tcW w:w="2110" w:type="dxa"/>
            <w:tcBorders>
              <w:top w:val="nil"/>
              <w:left w:val="nil"/>
              <w:bottom w:val="nil"/>
              <w:right w:val="nil"/>
            </w:tcBorders>
            <w:shd w:val="clear" w:color="auto" w:fill="auto"/>
            <w:noWrap/>
            <w:hideMark/>
          </w:tcPr>
          <w:p w14:paraId="1D366981" w14:textId="77777777" w:rsidR="006F4DC6" w:rsidRPr="00E856A1" w:rsidRDefault="006F4DC6" w:rsidP="0097410B">
            <w:pPr>
              <w:spacing w:after="0" w:line="480" w:lineRule="auto"/>
              <w:rPr>
                <w:rFonts w:eastAsia="Times New Roman" w:cstheme="minorHAnsi"/>
                <w:lang w:val="en-US"/>
              </w:rPr>
            </w:pPr>
            <w:r>
              <w:rPr>
                <w:rFonts w:eastAsia="Times New Roman" w:cstheme="minorHAnsi"/>
                <w:lang w:val="en-US"/>
              </w:rPr>
              <w:t>GBRMPA</w:t>
            </w:r>
          </w:p>
        </w:tc>
        <w:tc>
          <w:tcPr>
            <w:tcW w:w="6751" w:type="dxa"/>
            <w:tcBorders>
              <w:top w:val="nil"/>
              <w:left w:val="nil"/>
              <w:bottom w:val="nil"/>
              <w:right w:val="nil"/>
            </w:tcBorders>
            <w:shd w:val="clear" w:color="auto" w:fill="auto"/>
            <w:noWrap/>
            <w:hideMark/>
          </w:tcPr>
          <w:p w14:paraId="4B7A3176"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Great Barrier Reef Marine Park Authority. The governing body that manages all activities and operations within the marine park.</w:t>
            </w:r>
          </w:p>
          <w:p w14:paraId="29C84D2B" w14:textId="77777777" w:rsidR="006F4DC6" w:rsidRPr="00E856A1" w:rsidRDefault="006F4DC6" w:rsidP="0097410B">
            <w:pPr>
              <w:spacing w:after="0" w:line="480" w:lineRule="auto"/>
              <w:rPr>
                <w:rFonts w:eastAsia="Times New Roman" w:cstheme="minorHAnsi"/>
                <w:sz w:val="12"/>
                <w:szCs w:val="12"/>
                <w:lang w:val="en-US"/>
              </w:rPr>
            </w:pPr>
          </w:p>
          <w:p w14:paraId="0445212C"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0AF56F2C" w14:textId="77777777" w:rsidTr="0097410B">
        <w:trPr>
          <w:trHeight w:val="283"/>
        </w:trPr>
        <w:tc>
          <w:tcPr>
            <w:tcW w:w="2110" w:type="dxa"/>
            <w:tcBorders>
              <w:top w:val="nil"/>
              <w:left w:val="nil"/>
              <w:bottom w:val="nil"/>
              <w:right w:val="nil"/>
            </w:tcBorders>
            <w:shd w:val="clear" w:color="auto" w:fill="D9D9D9" w:themeFill="background1" w:themeFillShade="D9"/>
            <w:noWrap/>
            <w:hideMark/>
          </w:tcPr>
          <w:p w14:paraId="523F9905"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AIMS</w:t>
            </w:r>
          </w:p>
        </w:tc>
        <w:tc>
          <w:tcPr>
            <w:tcW w:w="6751" w:type="dxa"/>
            <w:tcBorders>
              <w:top w:val="nil"/>
              <w:left w:val="nil"/>
              <w:bottom w:val="nil"/>
              <w:right w:val="nil"/>
            </w:tcBorders>
            <w:shd w:val="clear" w:color="auto" w:fill="D9D9D9" w:themeFill="background1" w:themeFillShade="D9"/>
            <w:noWrap/>
            <w:hideMark/>
          </w:tcPr>
          <w:p w14:paraId="6CDE328D"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Australian Institute of Marine Science. Government funded research institution focusing on tropical marine ecosystems in Australia.</w:t>
            </w:r>
          </w:p>
          <w:p w14:paraId="23462DFB" w14:textId="77777777" w:rsidR="006F4DC6" w:rsidRPr="00E856A1" w:rsidRDefault="006F4DC6" w:rsidP="0097410B">
            <w:pPr>
              <w:spacing w:after="0" w:line="480" w:lineRule="auto"/>
              <w:rPr>
                <w:rFonts w:eastAsia="Times New Roman" w:cstheme="minorHAnsi"/>
                <w:sz w:val="12"/>
                <w:szCs w:val="12"/>
                <w:lang w:val="en-US"/>
              </w:rPr>
            </w:pPr>
          </w:p>
          <w:p w14:paraId="565EB93E"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5696E9D2" w14:textId="77777777" w:rsidTr="0097410B">
        <w:trPr>
          <w:trHeight w:val="283"/>
        </w:trPr>
        <w:tc>
          <w:tcPr>
            <w:tcW w:w="2110" w:type="dxa"/>
            <w:tcBorders>
              <w:top w:val="nil"/>
              <w:left w:val="nil"/>
              <w:bottom w:val="nil"/>
              <w:right w:val="nil"/>
            </w:tcBorders>
            <w:shd w:val="clear" w:color="auto" w:fill="auto"/>
            <w:noWrap/>
            <w:hideMark/>
          </w:tcPr>
          <w:p w14:paraId="04B690D4"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LTMP</w:t>
            </w:r>
          </w:p>
        </w:tc>
        <w:tc>
          <w:tcPr>
            <w:tcW w:w="6751" w:type="dxa"/>
            <w:tcBorders>
              <w:top w:val="nil"/>
              <w:left w:val="nil"/>
              <w:bottom w:val="nil"/>
              <w:right w:val="nil"/>
            </w:tcBorders>
            <w:shd w:val="clear" w:color="auto" w:fill="auto"/>
            <w:noWrap/>
            <w:hideMark/>
          </w:tcPr>
          <w:p w14:paraId="6ADEBE13"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The AIMS Long-Term Monitoring Program. This is a large-scale assessment of coral cover on the entire GBR spanning four decades.</w:t>
            </w:r>
          </w:p>
          <w:p w14:paraId="7E2ECD6B" w14:textId="77777777" w:rsidR="006F4DC6" w:rsidRPr="00E856A1" w:rsidRDefault="006F4DC6" w:rsidP="0097410B">
            <w:pPr>
              <w:spacing w:after="0" w:line="480" w:lineRule="auto"/>
              <w:rPr>
                <w:rFonts w:eastAsia="Times New Roman" w:cstheme="minorHAnsi"/>
                <w:sz w:val="12"/>
                <w:szCs w:val="12"/>
                <w:lang w:val="en-US"/>
              </w:rPr>
            </w:pPr>
          </w:p>
          <w:p w14:paraId="648B7F13"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589C9793" w14:textId="77777777" w:rsidTr="0097410B">
        <w:trPr>
          <w:trHeight w:val="283"/>
        </w:trPr>
        <w:tc>
          <w:tcPr>
            <w:tcW w:w="2110" w:type="dxa"/>
            <w:tcBorders>
              <w:top w:val="nil"/>
              <w:left w:val="nil"/>
              <w:bottom w:val="nil"/>
              <w:right w:val="nil"/>
            </w:tcBorders>
            <w:shd w:val="clear" w:color="auto" w:fill="D9D9D9" w:themeFill="background1" w:themeFillShade="D9"/>
            <w:noWrap/>
          </w:tcPr>
          <w:p w14:paraId="76950908"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lastRenderedPageBreak/>
              <w:t>RRRC</w:t>
            </w:r>
          </w:p>
        </w:tc>
        <w:tc>
          <w:tcPr>
            <w:tcW w:w="6751" w:type="dxa"/>
            <w:tcBorders>
              <w:top w:val="nil"/>
              <w:left w:val="nil"/>
              <w:bottom w:val="nil"/>
              <w:right w:val="nil"/>
            </w:tcBorders>
            <w:shd w:val="clear" w:color="auto" w:fill="D9D9D9" w:themeFill="background1" w:themeFillShade="D9"/>
            <w:noWrap/>
          </w:tcPr>
          <w:p w14:paraId="4E887FC0"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The Reef and Rainforest Research Centre. One of the contractors that solicits operators to conduct the culling.</w:t>
            </w:r>
          </w:p>
          <w:p w14:paraId="6599CEBA"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41F455B7" w14:textId="77777777" w:rsidTr="0097410B">
        <w:trPr>
          <w:trHeight w:val="283"/>
        </w:trPr>
        <w:tc>
          <w:tcPr>
            <w:tcW w:w="2110" w:type="dxa"/>
            <w:tcBorders>
              <w:top w:val="nil"/>
              <w:left w:val="nil"/>
              <w:bottom w:val="nil"/>
              <w:right w:val="nil"/>
            </w:tcBorders>
            <w:shd w:val="clear" w:color="auto" w:fill="auto"/>
            <w:noWrap/>
          </w:tcPr>
          <w:p w14:paraId="0A6FD2B9"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GBRF</w:t>
            </w:r>
          </w:p>
        </w:tc>
        <w:tc>
          <w:tcPr>
            <w:tcW w:w="6751" w:type="dxa"/>
            <w:tcBorders>
              <w:top w:val="nil"/>
              <w:left w:val="nil"/>
              <w:bottom w:val="nil"/>
              <w:right w:val="nil"/>
            </w:tcBorders>
            <w:shd w:val="clear" w:color="auto" w:fill="auto"/>
            <w:noWrap/>
          </w:tcPr>
          <w:p w14:paraId="7EF3C165"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The Great Barrier Reef Foundation. A partner that manages the funds used to hire contractors.</w:t>
            </w:r>
          </w:p>
          <w:p w14:paraId="684F36C0"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3A313CCB" w14:textId="77777777" w:rsidTr="0097410B">
        <w:trPr>
          <w:trHeight w:val="283"/>
        </w:trPr>
        <w:tc>
          <w:tcPr>
            <w:tcW w:w="2110" w:type="dxa"/>
            <w:tcBorders>
              <w:top w:val="nil"/>
              <w:left w:val="nil"/>
              <w:bottom w:val="nil"/>
              <w:right w:val="nil"/>
            </w:tcBorders>
            <w:shd w:val="clear" w:color="auto" w:fill="D9D9D9" w:themeFill="background1" w:themeFillShade="D9"/>
            <w:noWrap/>
          </w:tcPr>
          <w:p w14:paraId="558931E2"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Severe Outbreak</w:t>
            </w:r>
          </w:p>
        </w:tc>
        <w:tc>
          <w:tcPr>
            <w:tcW w:w="6751" w:type="dxa"/>
            <w:tcBorders>
              <w:top w:val="nil"/>
              <w:left w:val="nil"/>
              <w:bottom w:val="nil"/>
              <w:right w:val="nil"/>
            </w:tcBorders>
            <w:shd w:val="clear" w:color="auto" w:fill="D9D9D9" w:themeFill="background1" w:themeFillShade="D9"/>
            <w:noWrap/>
          </w:tcPr>
          <w:p w14:paraId="0B4B943B"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When the average COTS/Tow for a reef exceeds 1</w:t>
            </w:r>
          </w:p>
          <w:p w14:paraId="6D8248D6"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5741437E" w14:textId="77777777" w:rsidTr="0097410B">
        <w:trPr>
          <w:trHeight w:val="283"/>
        </w:trPr>
        <w:tc>
          <w:tcPr>
            <w:tcW w:w="2110" w:type="dxa"/>
            <w:tcBorders>
              <w:top w:val="nil"/>
              <w:left w:val="nil"/>
              <w:bottom w:val="nil"/>
              <w:right w:val="nil"/>
            </w:tcBorders>
            <w:shd w:val="clear" w:color="auto" w:fill="auto"/>
            <w:noWrap/>
          </w:tcPr>
          <w:p w14:paraId="0DF605C0"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Established Outbreak</w:t>
            </w:r>
          </w:p>
        </w:tc>
        <w:tc>
          <w:tcPr>
            <w:tcW w:w="6751" w:type="dxa"/>
            <w:tcBorders>
              <w:top w:val="nil"/>
              <w:left w:val="nil"/>
              <w:bottom w:val="nil"/>
              <w:right w:val="nil"/>
            </w:tcBorders>
            <w:shd w:val="clear" w:color="auto" w:fill="auto"/>
            <w:noWrap/>
          </w:tcPr>
          <w:p w14:paraId="32474D99"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When the average COTS/Tow for a reef range between 0.22 to 1</w:t>
            </w:r>
          </w:p>
          <w:p w14:paraId="7478BEEB" w14:textId="77777777" w:rsidR="006F4DC6" w:rsidRPr="00E856A1" w:rsidRDefault="006F4DC6" w:rsidP="0097410B">
            <w:pPr>
              <w:spacing w:after="0" w:line="480" w:lineRule="auto"/>
              <w:rPr>
                <w:rFonts w:eastAsia="Times New Roman" w:cstheme="minorHAnsi"/>
                <w:sz w:val="12"/>
                <w:szCs w:val="12"/>
                <w:lang w:val="en-US"/>
              </w:rPr>
            </w:pPr>
          </w:p>
        </w:tc>
      </w:tr>
      <w:tr w:rsidR="006F4DC6" w:rsidRPr="00E856A1" w14:paraId="727E8F01" w14:textId="77777777" w:rsidTr="0097410B">
        <w:trPr>
          <w:trHeight w:val="283"/>
        </w:trPr>
        <w:tc>
          <w:tcPr>
            <w:tcW w:w="2110" w:type="dxa"/>
            <w:tcBorders>
              <w:top w:val="nil"/>
              <w:left w:val="nil"/>
              <w:bottom w:val="single" w:sz="4" w:space="0" w:color="auto"/>
              <w:right w:val="nil"/>
            </w:tcBorders>
            <w:shd w:val="clear" w:color="auto" w:fill="D9D9D9" w:themeFill="background1" w:themeFillShade="D9"/>
            <w:noWrap/>
          </w:tcPr>
          <w:p w14:paraId="7DC71801"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Potential Outbreak</w:t>
            </w:r>
          </w:p>
        </w:tc>
        <w:tc>
          <w:tcPr>
            <w:tcW w:w="6751" w:type="dxa"/>
            <w:tcBorders>
              <w:top w:val="nil"/>
              <w:left w:val="nil"/>
              <w:bottom w:val="single" w:sz="4" w:space="0" w:color="auto"/>
              <w:right w:val="nil"/>
            </w:tcBorders>
            <w:shd w:val="clear" w:color="auto" w:fill="D9D9D9" w:themeFill="background1" w:themeFillShade="D9"/>
            <w:noWrap/>
          </w:tcPr>
          <w:p w14:paraId="59F0D965" w14:textId="77777777" w:rsidR="006F4DC6" w:rsidRPr="00E856A1" w:rsidRDefault="006F4DC6" w:rsidP="0097410B">
            <w:pPr>
              <w:spacing w:after="0" w:line="480" w:lineRule="auto"/>
              <w:rPr>
                <w:rFonts w:eastAsia="Times New Roman" w:cstheme="minorHAnsi"/>
                <w:lang w:val="en-US"/>
              </w:rPr>
            </w:pPr>
            <w:r w:rsidRPr="00E856A1">
              <w:rPr>
                <w:rFonts w:eastAsia="Times New Roman" w:cstheme="minorHAnsi"/>
                <w:lang w:val="en-US"/>
              </w:rPr>
              <w:t>When the average COTS/Tow for a reef range between 0.11 to 0.22</w:t>
            </w:r>
          </w:p>
          <w:p w14:paraId="07D0DB6D" w14:textId="77777777" w:rsidR="006F4DC6" w:rsidRPr="00E856A1" w:rsidRDefault="006F4DC6" w:rsidP="0097410B">
            <w:pPr>
              <w:spacing w:after="0" w:line="480" w:lineRule="auto"/>
              <w:rPr>
                <w:rFonts w:eastAsia="Times New Roman" w:cstheme="minorHAnsi"/>
                <w:sz w:val="12"/>
                <w:szCs w:val="12"/>
                <w:lang w:val="en-US"/>
              </w:rPr>
            </w:pPr>
          </w:p>
        </w:tc>
      </w:tr>
    </w:tbl>
    <w:p w14:paraId="7C411238" w14:textId="77777777" w:rsidR="006F4DC6" w:rsidRPr="00E856A1" w:rsidRDefault="006F4DC6" w:rsidP="006F4DC6">
      <w:pPr>
        <w:spacing w:afterLines="160" w:after="384" w:line="480" w:lineRule="auto"/>
        <w:rPr>
          <w:rFonts w:cstheme="minorHAnsi"/>
        </w:rPr>
      </w:pPr>
    </w:p>
    <w:p w14:paraId="6764EE18" w14:textId="77777777" w:rsidR="006F4DC6" w:rsidRPr="00E856A1" w:rsidRDefault="006F4DC6" w:rsidP="006F4DC6">
      <w:pPr>
        <w:spacing w:afterLines="160" w:after="384" w:line="480" w:lineRule="auto"/>
        <w:rPr>
          <w:rFonts w:cstheme="minorHAnsi"/>
        </w:rPr>
      </w:pPr>
      <w:r w:rsidRPr="00E856A1">
        <w:rPr>
          <w:rFonts w:cstheme="minorHAnsi"/>
        </w:rPr>
        <w:br w:type="page"/>
      </w:r>
    </w:p>
    <w:p w14:paraId="260F0362" w14:textId="77777777" w:rsidR="006F4DC6" w:rsidRPr="00E856A1" w:rsidRDefault="006F4DC6" w:rsidP="006F4DC6">
      <w:pPr>
        <w:pStyle w:val="Caption"/>
        <w:spacing w:afterLines="160" w:after="384" w:line="480" w:lineRule="auto"/>
        <w:rPr>
          <w:rFonts w:cstheme="minorHAnsi"/>
        </w:rPr>
      </w:pPr>
      <w:r w:rsidRPr="00E856A1">
        <w:rPr>
          <w:rFonts w:cstheme="minorHAnsi"/>
        </w:rPr>
        <w:lastRenderedPageBreak/>
        <w:t>Table S</w:t>
      </w:r>
      <w:r>
        <w:rPr>
          <w:rFonts w:cstheme="minorHAnsi"/>
        </w:rPr>
        <w:t>2</w:t>
      </w:r>
      <w:r w:rsidRPr="00E856A1">
        <w:rPr>
          <w:rFonts w:cstheme="minorHAnsi"/>
        </w:rPr>
        <w:t>. Model formulae and the description of the variables analysed.</w:t>
      </w:r>
    </w:p>
    <w:tbl>
      <w:tblPr>
        <w:tblW w:w="8931" w:type="dxa"/>
        <w:tblLook w:val="04A0" w:firstRow="1" w:lastRow="0" w:firstColumn="1" w:lastColumn="0" w:noHBand="0" w:noVBand="1"/>
      </w:tblPr>
      <w:tblGrid>
        <w:gridCol w:w="4962"/>
        <w:gridCol w:w="3969"/>
      </w:tblGrid>
      <w:tr w:rsidR="006F4DC6" w:rsidRPr="00E856A1" w14:paraId="38BCA6FC" w14:textId="77777777" w:rsidTr="0097410B">
        <w:trPr>
          <w:trHeight w:val="397"/>
        </w:trPr>
        <w:tc>
          <w:tcPr>
            <w:tcW w:w="4962" w:type="dxa"/>
            <w:tcBorders>
              <w:top w:val="single" w:sz="4" w:space="0" w:color="auto"/>
              <w:left w:val="nil"/>
              <w:bottom w:val="single" w:sz="4" w:space="0" w:color="auto"/>
              <w:right w:val="nil"/>
            </w:tcBorders>
            <w:shd w:val="clear" w:color="auto" w:fill="auto"/>
            <w:noWrap/>
            <w:vAlign w:val="center"/>
            <w:hideMark/>
          </w:tcPr>
          <w:p w14:paraId="29019953" w14:textId="77777777" w:rsidR="006F4DC6" w:rsidRPr="00E856A1" w:rsidRDefault="006F4DC6" w:rsidP="0097410B">
            <w:pPr>
              <w:spacing w:after="120" w:line="480" w:lineRule="auto"/>
              <w:rPr>
                <w:rFonts w:eastAsia="Times New Roman" w:cstheme="minorHAnsi"/>
                <w:b/>
                <w:bCs/>
                <w:color w:val="000000"/>
                <w:lang w:val="en-US"/>
              </w:rPr>
            </w:pPr>
            <w:r w:rsidRPr="00E856A1">
              <w:rPr>
                <w:rFonts w:eastAsia="Times New Roman" w:cstheme="minorHAnsi"/>
                <w:b/>
                <w:bCs/>
                <w:color w:val="000000"/>
                <w:lang w:val="en-US"/>
              </w:rPr>
              <w:t>model formula</w:t>
            </w:r>
          </w:p>
        </w:tc>
        <w:tc>
          <w:tcPr>
            <w:tcW w:w="3969" w:type="dxa"/>
            <w:tcBorders>
              <w:top w:val="single" w:sz="4" w:space="0" w:color="auto"/>
              <w:left w:val="nil"/>
              <w:bottom w:val="single" w:sz="4" w:space="0" w:color="auto"/>
              <w:right w:val="nil"/>
            </w:tcBorders>
            <w:shd w:val="clear" w:color="auto" w:fill="auto"/>
            <w:noWrap/>
            <w:vAlign w:val="center"/>
            <w:hideMark/>
          </w:tcPr>
          <w:p w14:paraId="3D63CD02" w14:textId="77777777" w:rsidR="006F4DC6" w:rsidRPr="00E856A1" w:rsidRDefault="006F4DC6" w:rsidP="0097410B">
            <w:pPr>
              <w:spacing w:after="120" w:line="480" w:lineRule="auto"/>
              <w:rPr>
                <w:rFonts w:eastAsia="Times New Roman" w:cstheme="minorHAnsi"/>
                <w:b/>
                <w:bCs/>
                <w:color w:val="000000"/>
                <w:lang w:val="en-US"/>
              </w:rPr>
            </w:pPr>
            <w:r w:rsidRPr="00E856A1">
              <w:rPr>
                <w:rFonts w:eastAsia="Times New Roman" w:cstheme="minorHAnsi"/>
                <w:b/>
                <w:bCs/>
                <w:color w:val="000000"/>
                <w:lang w:val="en-US"/>
              </w:rPr>
              <w:t>Description</w:t>
            </w:r>
          </w:p>
        </w:tc>
      </w:tr>
      <w:tr w:rsidR="006F4DC6" w:rsidRPr="00E856A1" w14:paraId="2E4409FB" w14:textId="77777777" w:rsidTr="0097410B">
        <w:trPr>
          <w:trHeight w:val="300"/>
        </w:trPr>
        <w:tc>
          <w:tcPr>
            <w:tcW w:w="4962" w:type="dxa"/>
            <w:tcBorders>
              <w:top w:val="single" w:sz="4" w:space="0" w:color="auto"/>
              <w:left w:val="nil"/>
              <w:bottom w:val="nil"/>
              <w:right w:val="nil"/>
            </w:tcBorders>
            <w:shd w:val="clear" w:color="auto" w:fill="D9D9D9" w:themeFill="background1" w:themeFillShade="D9"/>
            <w:noWrap/>
            <w:hideMark/>
          </w:tcPr>
          <w:p w14:paraId="385EE28C" w14:textId="77777777" w:rsidR="006F4DC6" w:rsidRPr="00E856A1" w:rsidRDefault="006F4DC6" w:rsidP="0097410B">
            <w:pPr>
              <w:spacing w:after="120" w:line="480" w:lineRule="auto"/>
              <w:ind w:left="1455" w:hanging="1455"/>
              <w:rPr>
                <w:rFonts w:eastAsia="Times New Roman" w:cstheme="minorHAnsi"/>
                <w:color w:val="000000"/>
                <w:lang w:val="en-US"/>
              </w:rPr>
            </w:pPr>
            <w:r w:rsidRPr="00E856A1">
              <w:rPr>
                <w:rFonts w:eastAsia="Times New Roman" w:cstheme="minorHAnsi"/>
                <w:color w:val="000000"/>
              </w:rPr>
              <w:t>COTS density ~ Sector*Outbreak + (1|Reef)</w:t>
            </w:r>
          </w:p>
        </w:tc>
        <w:tc>
          <w:tcPr>
            <w:tcW w:w="3969" w:type="dxa"/>
            <w:tcBorders>
              <w:top w:val="single" w:sz="4" w:space="0" w:color="auto"/>
              <w:left w:val="nil"/>
              <w:bottom w:val="nil"/>
              <w:right w:val="nil"/>
            </w:tcBorders>
            <w:shd w:val="clear" w:color="auto" w:fill="D9D9D9" w:themeFill="background1" w:themeFillShade="D9"/>
            <w:noWrap/>
            <w:hideMark/>
          </w:tcPr>
          <w:p w14:paraId="3959349C" w14:textId="0C915969" w:rsidR="006F4DC6" w:rsidRPr="00E856A1" w:rsidRDefault="006F4DC6" w:rsidP="004470FC">
            <w:pPr>
              <w:spacing w:after="120" w:line="480" w:lineRule="auto"/>
              <w:jc w:val="both"/>
              <w:rPr>
                <w:rFonts w:eastAsia="Times New Roman" w:cstheme="minorHAnsi"/>
                <w:color w:val="000000"/>
                <w:sz w:val="20"/>
                <w:szCs w:val="20"/>
                <w:lang w:val="en-US"/>
              </w:rPr>
            </w:pPr>
            <w:r w:rsidRPr="00E856A1">
              <w:rPr>
                <w:rFonts w:eastAsia="Times New Roman" w:cstheme="minorHAnsi"/>
                <w:color w:val="000000"/>
                <w:sz w:val="20"/>
                <w:szCs w:val="20"/>
                <w:lang w:val="en-US"/>
              </w:rPr>
              <w:t>COTS density as a product of the sector (a proxy for management objective) and outbreak (3</w:t>
            </w:r>
            <w:r w:rsidRPr="00E856A1">
              <w:rPr>
                <w:rFonts w:eastAsia="Times New Roman" w:cstheme="minorHAnsi"/>
                <w:color w:val="000000"/>
                <w:sz w:val="20"/>
                <w:szCs w:val="20"/>
                <w:vertAlign w:val="superscript"/>
                <w:lang w:val="en-US"/>
              </w:rPr>
              <w:t>rd</w:t>
            </w:r>
            <w:r w:rsidRPr="00E856A1">
              <w:rPr>
                <w:rFonts w:eastAsia="Times New Roman" w:cstheme="minorHAnsi"/>
                <w:color w:val="000000"/>
                <w:sz w:val="20"/>
                <w:szCs w:val="20"/>
                <w:lang w:val="en-US"/>
              </w:rPr>
              <w:t xml:space="preserve"> vs 4</w:t>
            </w:r>
            <w:r w:rsidRPr="00E856A1">
              <w:rPr>
                <w:rFonts w:eastAsia="Times New Roman" w:cstheme="minorHAnsi"/>
                <w:color w:val="000000"/>
                <w:sz w:val="20"/>
                <w:szCs w:val="20"/>
                <w:vertAlign w:val="superscript"/>
                <w:lang w:val="en-US"/>
              </w:rPr>
              <w:t>th</w:t>
            </w:r>
            <w:r w:rsidRPr="00E856A1">
              <w:rPr>
                <w:rFonts w:eastAsia="Times New Roman" w:cstheme="minorHAnsi"/>
                <w:color w:val="000000"/>
                <w:sz w:val="20"/>
                <w:szCs w:val="20"/>
                <w:lang w:val="en-US"/>
              </w:rPr>
              <w:t xml:space="preserve">) with the interaction thereof. The specific reef is included as a random effect. </w:t>
            </w:r>
          </w:p>
        </w:tc>
      </w:tr>
      <w:tr w:rsidR="006F4DC6" w:rsidRPr="00E856A1" w14:paraId="3EDD4437" w14:textId="77777777" w:rsidTr="0097410B">
        <w:trPr>
          <w:trHeight w:val="300"/>
        </w:trPr>
        <w:tc>
          <w:tcPr>
            <w:tcW w:w="4962" w:type="dxa"/>
            <w:tcBorders>
              <w:top w:val="nil"/>
              <w:left w:val="nil"/>
              <w:bottom w:val="nil"/>
              <w:right w:val="nil"/>
            </w:tcBorders>
            <w:shd w:val="clear" w:color="auto" w:fill="D9D9D9" w:themeFill="background1" w:themeFillShade="D9"/>
            <w:noWrap/>
            <w:hideMark/>
          </w:tcPr>
          <w:p w14:paraId="033FBCB3" w14:textId="77777777" w:rsidR="006F4DC6" w:rsidRPr="00E856A1" w:rsidRDefault="006F4DC6" w:rsidP="0097410B">
            <w:pPr>
              <w:spacing w:after="120" w:line="480" w:lineRule="auto"/>
              <w:rPr>
                <w:rFonts w:eastAsia="Times New Roman" w:cstheme="minorHAnsi"/>
                <w:color w:val="000000"/>
                <w:lang w:val="en-US"/>
              </w:rPr>
            </w:pPr>
            <w:r w:rsidRPr="00E856A1">
              <w:rPr>
                <w:rFonts w:eastAsia="Times New Roman" w:cstheme="minorHAnsi"/>
                <w:color w:val="000000"/>
              </w:rPr>
              <w:t>Δ Coral Cover ~ Sector*Outbreak + (1|Reef)</w:t>
            </w:r>
          </w:p>
        </w:tc>
        <w:tc>
          <w:tcPr>
            <w:tcW w:w="3969" w:type="dxa"/>
            <w:tcBorders>
              <w:top w:val="nil"/>
              <w:left w:val="nil"/>
              <w:bottom w:val="nil"/>
              <w:right w:val="nil"/>
            </w:tcBorders>
            <w:shd w:val="clear" w:color="auto" w:fill="D9D9D9" w:themeFill="background1" w:themeFillShade="D9"/>
            <w:noWrap/>
            <w:hideMark/>
          </w:tcPr>
          <w:p w14:paraId="0FF1808C" w14:textId="76D7A31C" w:rsidR="006F4DC6" w:rsidRPr="00E856A1" w:rsidRDefault="006F4DC6" w:rsidP="004470FC">
            <w:pPr>
              <w:spacing w:after="120" w:line="480" w:lineRule="auto"/>
              <w:jc w:val="both"/>
              <w:rPr>
                <w:rFonts w:eastAsia="Times New Roman" w:cstheme="minorHAnsi"/>
                <w:b/>
                <w:bCs/>
                <w:color w:val="000000"/>
                <w:sz w:val="20"/>
                <w:szCs w:val="20"/>
                <w:lang w:val="en-US"/>
              </w:rPr>
            </w:pPr>
            <w:r w:rsidRPr="00E856A1">
              <w:rPr>
                <w:rFonts w:eastAsia="Times New Roman" w:cstheme="minorHAnsi"/>
                <w:color w:val="000000"/>
                <w:sz w:val="20"/>
                <w:szCs w:val="20"/>
                <w:lang w:val="en-US"/>
              </w:rPr>
              <w:t>Relative change in coral cover as a product of the sector (a proxy for management objective) and outbreak (3</w:t>
            </w:r>
            <w:r w:rsidRPr="00E856A1">
              <w:rPr>
                <w:rFonts w:eastAsia="Times New Roman" w:cstheme="minorHAnsi"/>
                <w:color w:val="000000"/>
                <w:sz w:val="20"/>
                <w:szCs w:val="20"/>
                <w:vertAlign w:val="superscript"/>
                <w:lang w:val="en-US"/>
              </w:rPr>
              <w:t>rd</w:t>
            </w:r>
            <w:r w:rsidRPr="00E856A1">
              <w:rPr>
                <w:rFonts w:eastAsia="Times New Roman" w:cstheme="minorHAnsi"/>
                <w:color w:val="000000"/>
                <w:sz w:val="20"/>
                <w:szCs w:val="20"/>
                <w:lang w:val="en-US"/>
              </w:rPr>
              <w:t xml:space="preserve"> vs 4</w:t>
            </w:r>
            <w:r w:rsidRPr="00E856A1">
              <w:rPr>
                <w:rFonts w:eastAsia="Times New Roman" w:cstheme="minorHAnsi"/>
                <w:color w:val="000000"/>
                <w:sz w:val="20"/>
                <w:szCs w:val="20"/>
                <w:vertAlign w:val="superscript"/>
                <w:lang w:val="en-US"/>
              </w:rPr>
              <w:t>th</w:t>
            </w:r>
            <w:r w:rsidRPr="00E856A1">
              <w:rPr>
                <w:rFonts w:eastAsia="Times New Roman" w:cstheme="minorHAnsi"/>
                <w:color w:val="000000"/>
                <w:sz w:val="20"/>
                <w:szCs w:val="20"/>
                <w:lang w:val="en-US"/>
              </w:rPr>
              <w:t xml:space="preserve">) with the interaction thereof. The specific reef is included as a random effect. </w:t>
            </w:r>
          </w:p>
        </w:tc>
      </w:tr>
      <w:tr w:rsidR="006F4DC6" w:rsidRPr="00E856A1" w14:paraId="05C164A9" w14:textId="77777777" w:rsidTr="0097410B">
        <w:trPr>
          <w:trHeight w:val="300"/>
        </w:trPr>
        <w:tc>
          <w:tcPr>
            <w:tcW w:w="4962" w:type="dxa"/>
            <w:tcBorders>
              <w:top w:val="nil"/>
              <w:left w:val="nil"/>
              <w:bottom w:val="nil"/>
              <w:right w:val="nil"/>
            </w:tcBorders>
            <w:shd w:val="clear" w:color="auto" w:fill="D9D9D9" w:themeFill="background1" w:themeFillShade="D9"/>
            <w:noWrap/>
          </w:tcPr>
          <w:p w14:paraId="498EC527" w14:textId="77777777" w:rsidR="006F4DC6" w:rsidRPr="00E856A1" w:rsidRDefault="006F4DC6" w:rsidP="0097410B">
            <w:pPr>
              <w:spacing w:after="120" w:line="480" w:lineRule="auto"/>
              <w:rPr>
                <w:rFonts w:eastAsia="Times New Roman" w:cstheme="minorHAnsi"/>
                <w:color w:val="000000"/>
              </w:rPr>
            </w:pPr>
            <w:r w:rsidRPr="00E856A1">
              <w:rPr>
                <w:rFonts w:eastAsia="Times New Roman" w:cstheme="minorHAnsi"/>
                <w:color w:val="000000"/>
              </w:rPr>
              <w:t xml:space="preserve">Δ Coral Cover ~ </w:t>
            </w:r>
            <w:proofErr w:type="gramStart"/>
            <w:r w:rsidRPr="00E856A1">
              <w:rPr>
                <w:rFonts w:eastAsia="Times New Roman" w:cstheme="minorHAnsi"/>
                <w:color w:val="000000"/>
              </w:rPr>
              <w:t>s(</w:t>
            </w:r>
            <w:proofErr w:type="gramEnd"/>
            <w:r w:rsidRPr="00E856A1">
              <w:rPr>
                <w:rFonts w:eastAsia="Times New Roman" w:cstheme="minorHAnsi"/>
                <w:color w:val="000000"/>
              </w:rPr>
              <w:t xml:space="preserve">Relative Year) </w:t>
            </w:r>
          </w:p>
        </w:tc>
        <w:tc>
          <w:tcPr>
            <w:tcW w:w="3969" w:type="dxa"/>
            <w:tcBorders>
              <w:top w:val="nil"/>
              <w:left w:val="nil"/>
              <w:bottom w:val="nil"/>
              <w:right w:val="nil"/>
            </w:tcBorders>
            <w:shd w:val="clear" w:color="auto" w:fill="D9D9D9" w:themeFill="background1" w:themeFillShade="D9"/>
            <w:noWrap/>
          </w:tcPr>
          <w:p w14:paraId="589FCE7D" w14:textId="08386717" w:rsidR="006F4DC6" w:rsidRPr="00E856A1" w:rsidRDefault="006F4DC6" w:rsidP="0097410B">
            <w:pPr>
              <w:spacing w:after="120" w:line="480" w:lineRule="auto"/>
              <w:jc w:val="both"/>
              <w:rPr>
                <w:rFonts w:eastAsia="Times New Roman" w:cstheme="minorHAnsi"/>
                <w:color w:val="000000"/>
                <w:sz w:val="20"/>
                <w:szCs w:val="20"/>
                <w:lang w:val="en-US"/>
              </w:rPr>
            </w:pPr>
            <w:r w:rsidRPr="00E856A1">
              <w:rPr>
                <w:rFonts w:eastAsia="Times New Roman" w:cstheme="minorHAnsi"/>
                <w:color w:val="000000"/>
                <w:sz w:val="20"/>
                <w:szCs w:val="20"/>
                <w:lang w:val="en-US"/>
              </w:rPr>
              <w:t xml:space="preserve">Relative change in coral cover as a smoothed product of the years since outbreak initiation within the sector. A model was fit to each sector individually and to each management objective. </w:t>
            </w:r>
          </w:p>
        </w:tc>
      </w:tr>
      <w:tr w:rsidR="006F4DC6" w:rsidRPr="00E856A1" w14:paraId="5242C202" w14:textId="77777777" w:rsidTr="0097410B">
        <w:trPr>
          <w:trHeight w:val="300"/>
        </w:trPr>
        <w:tc>
          <w:tcPr>
            <w:tcW w:w="4962" w:type="dxa"/>
            <w:tcBorders>
              <w:top w:val="nil"/>
              <w:left w:val="nil"/>
              <w:bottom w:val="nil"/>
              <w:right w:val="nil"/>
            </w:tcBorders>
            <w:shd w:val="clear" w:color="auto" w:fill="D9D9D9" w:themeFill="background1" w:themeFillShade="D9"/>
            <w:noWrap/>
          </w:tcPr>
          <w:p w14:paraId="673F534D" w14:textId="77777777" w:rsidR="006F4DC6" w:rsidRPr="00E856A1" w:rsidRDefault="006F4DC6" w:rsidP="0097410B">
            <w:pPr>
              <w:spacing w:after="120" w:line="480" w:lineRule="auto"/>
              <w:rPr>
                <w:rFonts w:eastAsia="Times New Roman" w:cstheme="minorHAnsi"/>
                <w:color w:val="000000"/>
              </w:rPr>
            </w:pPr>
            <w:r w:rsidRPr="00E856A1">
              <w:rPr>
                <w:rFonts w:eastAsia="Times New Roman" w:cstheme="minorHAnsi"/>
                <w:color w:val="000000"/>
              </w:rPr>
              <w:t>Δ Coral Cover</w:t>
            </w:r>
            <w:r>
              <w:rPr>
                <w:rFonts w:eastAsia="Times New Roman" w:cstheme="minorHAnsi"/>
                <w:color w:val="000000"/>
              </w:rPr>
              <w:t xml:space="preserve"> ~ Culling Effort + (1|Sector)</w:t>
            </w:r>
          </w:p>
        </w:tc>
        <w:tc>
          <w:tcPr>
            <w:tcW w:w="3969" w:type="dxa"/>
            <w:tcBorders>
              <w:top w:val="nil"/>
              <w:left w:val="nil"/>
              <w:bottom w:val="nil"/>
              <w:right w:val="nil"/>
            </w:tcBorders>
            <w:shd w:val="clear" w:color="auto" w:fill="D9D9D9" w:themeFill="background1" w:themeFillShade="D9"/>
            <w:noWrap/>
          </w:tcPr>
          <w:p w14:paraId="036B9BC0" w14:textId="46A5600F" w:rsidR="006F4DC6" w:rsidRPr="00E856A1" w:rsidRDefault="006F4DC6" w:rsidP="0097410B">
            <w:pPr>
              <w:spacing w:after="120" w:line="480" w:lineRule="auto"/>
              <w:jc w:val="both"/>
              <w:rPr>
                <w:rFonts w:eastAsia="Times New Roman" w:cstheme="minorHAnsi"/>
                <w:color w:val="000000"/>
                <w:sz w:val="20"/>
                <w:szCs w:val="20"/>
                <w:lang w:val="en-US"/>
              </w:rPr>
            </w:pPr>
            <w:r>
              <w:rPr>
                <w:rFonts w:eastAsia="Times New Roman" w:cstheme="minorHAnsi"/>
                <w:color w:val="000000"/>
                <w:sz w:val="20"/>
                <w:szCs w:val="20"/>
                <w:lang w:val="en-US"/>
              </w:rPr>
              <w:t xml:space="preserve">Absolute change in coral cover as a product of the degree of culling effort applied. The sector from which the reef is from is included as a random effect. </w:t>
            </w:r>
          </w:p>
        </w:tc>
      </w:tr>
    </w:tbl>
    <w:p w14:paraId="66199579" w14:textId="77777777" w:rsidR="006F4DC6" w:rsidRPr="00E856A1" w:rsidRDefault="006F4DC6" w:rsidP="006F4DC6">
      <w:pPr>
        <w:spacing w:afterLines="160" w:after="384" w:line="480" w:lineRule="auto"/>
        <w:rPr>
          <w:rFonts w:cstheme="minorHAnsi"/>
          <w:b/>
          <w:bCs/>
        </w:rPr>
      </w:pPr>
    </w:p>
    <w:p w14:paraId="7E883F7C" w14:textId="77777777" w:rsidR="006F4DC6" w:rsidRPr="00E856A1" w:rsidRDefault="006F4DC6" w:rsidP="006F4DC6">
      <w:pPr>
        <w:spacing w:afterLines="160" w:after="384" w:line="480" w:lineRule="auto"/>
        <w:rPr>
          <w:rFonts w:cstheme="minorHAnsi"/>
          <w:sz w:val="20"/>
        </w:rPr>
      </w:pPr>
      <w:r w:rsidRPr="00E856A1">
        <w:rPr>
          <w:rFonts w:cstheme="minorHAnsi"/>
          <w:iCs/>
          <w:sz w:val="20"/>
          <w:szCs w:val="18"/>
        </w:rPr>
        <w:br w:type="page"/>
      </w:r>
    </w:p>
    <w:p w14:paraId="4BF873E7" w14:textId="78BD91FC" w:rsidR="006F4DC6" w:rsidRPr="00E856A1" w:rsidRDefault="006F4DC6" w:rsidP="006F4DC6">
      <w:pPr>
        <w:pStyle w:val="Caption"/>
        <w:spacing w:afterLines="160" w:after="384" w:line="480" w:lineRule="auto"/>
        <w:rPr>
          <w:rFonts w:cstheme="minorHAnsi"/>
          <w:iCs w:val="0"/>
          <w:sz w:val="22"/>
          <w:szCs w:val="22"/>
        </w:rPr>
      </w:pPr>
      <w:r w:rsidRPr="00E856A1">
        <w:rPr>
          <w:rFonts w:cstheme="minorHAnsi"/>
        </w:rPr>
        <w:lastRenderedPageBreak/>
        <w:t>Table S</w:t>
      </w:r>
      <w:r w:rsidR="004470FC">
        <w:rPr>
          <w:rFonts w:cstheme="minorHAnsi"/>
        </w:rPr>
        <w:t>3</w:t>
      </w:r>
      <w:r w:rsidRPr="00E856A1">
        <w:rPr>
          <w:rFonts w:cstheme="minorHAnsi"/>
        </w:rPr>
        <w:t>. Summary statistics for COTS densities and Coral Cover for each outbreak by sector. The 90% highest posterior density (HPD) intervals are given in parentheses (lower 90</w:t>
      </w:r>
      <w:proofErr w:type="gramStart"/>
      <w:r w:rsidRPr="00E856A1">
        <w:rPr>
          <w:rFonts w:cstheme="minorHAnsi"/>
        </w:rPr>
        <w:t>% :</w:t>
      </w:r>
      <w:proofErr w:type="gramEnd"/>
      <w:r w:rsidRPr="00E856A1">
        <w:rPr>
          <w:rFonts w:cstheme="minorHAnsi"/>
        </w:rPr>
        <w:t xml:space="preserve"> upper 90%)</w:t>
      </w:r>
    </w:p>
    <w:tbl>
      <w:tblPr>
        <w:tblW w:w="10376" w:type="dxa"/>
        <w:tblLook w:val="04A0" w:firstRow="1" w:lastRow="0" w:firstColumn="1" w:lastColumn="0" w:noHBand="0" w:noVBand="1"/>
      </w:tblPr>
      <w:tblGrid>
        <w:gridCol w:w="241"/>
        <w:gridCol w:w="2673"/>
        <w:gridCol w:w="1895"/>
        <w:gridCol w:w="1897"/>
        <w:gridCol w:w="1749"/>
        <w:gridCol w:w="1921"/>
      </w:tblGrid>
      <w:tr w:rsidR="006F4DC6" w:rsidRPr="00E856A1" w14:paraId="45A7F70D" w14:textId="77777777" w:rsidTr="0097410B">
        <w:trPr>
          <w:trHeight w:val="226"/>
        </w:trPr>
        <w:tc>
          <w:tcPr>
            <w:tcW w:w="241" w:type="dxa"/>
            <w:tcBorders>
              <w:top w:val="single" w:sz="4" w:space="0" w:color="auto"/>
              <w:left w:val="nil"/>
              <w:bottom w:val="nil"/>
            </w:tcBorders>
          </w:tcPr>
          <w:p w14:paraId="15834880"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single" w:sz="4" w:space="0" w:color="auto"/>
              <w:bottom w:val="nil"/>
              <w:right w:val="single" w:sz="4" w:space="0" w:color="auto"/>
            </w:tcBorders>
            <w:shd w:val="clear" w:color="auto" w:fill="auto"/>
            <w:noWrap/>
            <w:vAlign w:val="bottom"/>
            <w:hideMark/>
          </w:tcPr>
          <w:p w14:paraId="68811955" w14:textId="77777777" w:rsidR="006F4DC6" w:rsidRPr="00E856A1" w:rsidRDefault="006F4DC6" w:rsidP="0097410B">
            <w:pPr>
              <w:spacing w:afterLines="160" w:after="384" w:line="480" w:lineRule="auto"/>
              <w:rPr>
                <w:rFonts w:eastAsia="Times New Roman" w:cstheme="minorHAnsi"/>
                <w:color w:val="000000"/>
                <w:lang w:val="en-US"/>
              </w:rPr>
            </w:pPr>
          </w:p>
        </w:tc>
        <w:tc>
          <w:tcPr>
            <w:tcW w:w="3792" w:type="dxa"/>
            <w:gridSpan w:val="2"/>
            <w:tcBorders>
              <w:top w:val="single" w:sz="4" w:space="0" w:color="auto"/>
              <w:left w:val="single" w:sz="4" w:space="0" w:color="auto"/>
              <w:bottom w:val="nil"/>
              <w:right w:val="single" w:sz="4" w:space="0" w:color="auto"/>
            </w:tcBorders>
            <w:shd w:val="clear" w:color="auto" w:fill="auto"/>
            <w:noWrap/>
            <w:vAlign w:val="bottom"/>
            <w:hideMark/>
          </w:tcPr>
          <w:p w14:paraId="3BB5D2FB" w14:textId="77777777" w:rsidR="006F4DC6" w:rsidRPr="00E856A1" w:rsidRDefault="006F4DC6" w:rsidP="0097410B">
            <w:pPr>
              <w:spacing w:afterLines="160" w:after="384" w:line="480" w:lineRule="auto"/>
              <w:jc w:val="center"/>
              <w:rPr>
                <w:rFonts w:eastAsia="Times New Roman" w:cstheme="minorHAnsi"/>
                <w:b/>
                <w:bCs/>
                <w:color w:val="000000"/>
                <w:lang w:val="en-US"/>
              </w:rPr>
            </w:pPr>
            <w:r w:rsidRPr="00E856A1">
              <w:rPr>
                <w:rFonts w:eastAsia="Times New Roman" w:cstheme="minorHAnsi"/>
                <w:b/>
                <w:bCs/>
                <w:color w:val="000000"/>
                <w:lang w:val="en-US"/>
              </w:rPr>
              <w:t>COTS Densities</w:t>
            </w:r>
          </w:p>
        </w:tc>
        <w:tc>
          <w:tcPr>
            <w:tcW w:w="3670" w:type="dxa"/>
            <w:gridSpan w:val="2"/>
            <w:tcBorders>
              <w:top w:val="single" w:sz="4" w:space="0" w:color="auto"/>
              <w:left w:val="single" w:sz="4" w:space="0" w:color="auto"/>
              <w:bottom w:val="nil"/>
              <w:right w:val="nil"/>
            </w:tcBorders>
            <w:shd w:val="clear" w:color="auto" w:fill="auto"/>
            <w:noWrap/>
            <w:vAlign w:val="bottom"/>
            <w:hideMark/>
          </w:tcPr>
          <w:p w14:paraId="496BBFC0" w14:textId="77777777" w:rsidR="006F4DC6" w:rsidRPr="00E856A1" w:rsidRDefault="006F4DC6" w:rsidP="0097410B">
            <w:pPr>
              <w:spacing w:afterLines="160" w:after="384" w:line="480" w:lineRule="auto"/>
              <w:ind w:right="-112"/>
              <w:jc w:val="center"/>
              <w:rPr>
                <w:rFonts w:eastAsia="Times New Roman" w:cstheme="minorHAnsi"/>
                <w:b/>
                <w:bCs/>
                <w:color w:val="000000"/>
                <w:lang w:val="en-US"/>
              </w:rPr>
            </w:pPr>
            <w:r w:rsidRPr="00E856A1">
              <w:rPr>
                <w:rFonts w:eastAsia="Times New Roman" w:cstheme="minorHAnsi"/>
                <w:b/>
                <w:bCs/>
                <w:color w:val="000000"/>
                <w:lang w:val="en-US"/>
              </w:rPr>
              <w:t>Coral Cover</w:t>
            </w:r>
          </w:p>
        </w:tc>
      </w:tr>
      <w:tr w:rsidR="006F4DC6" w:rsidRPr="00E856A1" w14:paraId="3C96F6A3" w14:textId="77777777" w:rsidTr="0097410B">
        <w:trPr>
          <w:trHeight w:val="226"/>
        </w:trPr>
        <w:tc>
          <w:tcPr>
            <w:tcW w:w="241" w:type="dxa"/>
            <w:tcBorders>
              <w:top w:val="nil"/>
              <w:left w:val="nil"/>
              <w:bottom w:val="single" w:sz="4" w:space="0" w:color="auto"/>
            </w:tcBorders>
          </w:tcPr>
          <w:p w14:paraId="57BD8071"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bottom w:val="single" w:sz="4" w:space="0" w:color="auto"/>
              <w:right w:val="single" w:sz="4" w:space="0" w:color="auto"/>
            </w:tcBorders>
            <w:shd w:val="clear" w:color="auto" w:fill="auto"/>
            <w:noWrap/>
            <w:vAlign w:val="bottom"/>
            <w:hideMark/>
          </w:tcPr>
          <w:p w14:paraId="1BF55D46"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Sector</w:t>
            </w:r>
          </w:p>
        </w:tc>
        <w:tc>
          <w:tcPr>
            <w:tcW w:w="1895" w:type="dxa"/>
            <w:tcBorders>
              <w:top w:val="nil"/>
              <w:left w:val="single" w:sz="4" w:space="0" w:color="auto"/>
              <w:bottom w:val="single" w:sz="4" w:space="0" w:color="auto"/>
              <w:right w:val="nil"/>
            </w:tcBorders>
            <w:shd w:val="clear" w:color="auto" w:fill="auto"/>
            <w:noWrap/>
            <w:vAlign w:val="bottom"/>
            <w:hideMark/>
          </w:tcPr>
          <w:p w14:paraId="2F080153"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3</w:t>
            </w:r>
            <w:r w:rsidRPr="00E856A1">
              <w:rPr>
                <w:rFonts w:eastAsia="Times New Roman" w:cstheme="minorHAnsi"/>
                <w:color w:val="000000"/>
                <w:vertAlign w:val="superscript"/>
                <w:lang w:val="en-US"/>
              </w:rPr>
              <w:t>rd</w:t>
            </w:r>
            <w:r w:rsidRPr="00E856A1">
              <w:rPr>
                <w:rFonts w:eastAsia="Times New Roman" w:cstheme="minorHAnsi"/>
                <w:color w:val="000000"/>
                <w:lang w:val="en-US"/>
              </w:rPr>
              <w:t xml:space="preserve"> Outbreak</w:t>
            </w:r>
          </w:p>
        </w:tc>
        <w:tc>
          <w:tcPr>
            <w:tcW w:w="1897" w:type="dxa"/>
            <w:tcBorders>
              <w:top w:val="nil"/>
              <w:left w:val="nil"/>
              <w:bottom w:val="single" w:sz="4" w:space="0" w:color="auto"/>
              <w:right w:val="single" w:sz="4" w:space="0" w:color="auto"/>
            </w:tcBorders>
            <w:shd w:val="clear" w:color="auto" w:fill="auto"/>
            <w:noWrap/>
            <w:vAlign w:val="bottom"/>
            <w:hideMark/>
          </w:tcPr>
          <w:p w14:paraId="61279E26"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4</w:t>
            </w:r>
            <w:r w:rsidRPr="00E856A1">
              <w:rPr>
                <w:rFonts w:eastAsia="Times New Roman" w:cstheme="minorHAnsi"/>
                <w:color w:val="000000"/>
                <w:vertAlign w:val="superscript"/>
                <w:lang w:val="en-US"/>
              </w:rPr>
              <w:t>th</w:t>
            </w:r>
            <w:r w:rsidRPr="00E856A1">
              <w:rPr>
                <w:rFonts w:eastAsia="Times New Roman" w:cstheme="minorHAnsi"/>
                <w:color w:val="000000"/>
                <w:lang w:val="en-US"/>
              </w:rPr>
              <w:t xml:space="preserve"> Outbreak</w:t>
            </w:r>
          </w:p>
        </w:tc>
        <w:tc>
          <w:tcPr>
            <w:tcW w:w="1749" w:type="dxa"/>
            <w:tcBorders>
              <w:top w:val="nil"/>
              <w:left w:val="single" w:sz="4" w:space="0" w:color="auto"/>
              <w:bottom w:val="single" w:sz="4" w:space="0" w:color="auto"/>
              <w:right w:val="nil"/>
            </w:tcBorders>
            <w:shd w:val="clear" w:color="auto" w:fill="auto"/>
            <w:noWrap/>
            <w:vAlign w:val="bottom"/>
            <w:hideMark/>
          </w:tcPr>
          <w:p w14:paraId="47EAFF35"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3</w:t>
            </w:r>
            <w:r w:rsidRPr="00E856A1">
              <w:rPr>
                <w:rFonts w:eastAsia="Times New Roman" w:cstheme="minorHAnsi"/>
                <w:color w:val="000000"/>
                <w:vertAlign w:val="superscript"/>
                <w:lang w:val="en-US"/>
              </w:rPr>
              <w:t>rd</w:t>
            </w:r>
            <w:r w:rsidRPr="00E856A1">
              <w:rPr>
                <w:rFonts w:eastAsia="Times New Roman" w:cstheme="minorHAnsi"/>
                <w:color w:val="000000"/>
                <w:lang w:val="en-US"/>
              </w:rPr>
              <w:t xml:space="preserve"> Outbreak</w:t>
            </w:r>
          </w:p>
        </w:tc>
        <w:tc>
          <w:tcPr>
            <w:tcW w:w="1921" w:type="dxa"/>
            <w:tcBorders>
              <w:top w:val="nil"/>
              <w:left w:val="nil"/>
              <w:bottom w:val="single" w:sz="4" w:space="0" w:color="auto"/>
              <w:right w:val="nil"/>
            </w:tcBorders>
            <w:shd w:val="clear" w:color="auto" w:fill="auto"/>
            <w:noWrap/>
            <w:vAlign w:val="bottom"/>
            <w:hideMark/>
          </w:tcPr>
          <w:p w14:paraId="1D4D6135"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4</w:t>
            </w:r>
            <w:r w:rsidRPr="00E856A1">
              <w:rPr>
                <w:rFonts w:eastAsia="Times New Roman" w:cstheme="minorHAnsi"/>
                <w:color w:val="000000"/>
                <w:vertAlign w:val="superscript"/>
                <w:lang w:val="en-US"/>
              </w:rPr>
              <w:t>th</w:t>
            </w:r>
            <w:r w:rsidRPr="00E856A1">
              <w:rPr>
                <w:rFonts w:eastAsia="Times New Roman" w:cstheme="minorHAnsi"/>
                <w:color w:val="000000"/>
                <w:lang w:val="en-US"/>
              </w:rPr>
              <w:t xml:space="preserve"> Outbreak</w:t>
            </w:r>
          </w:p>
        </w:tc>
      </w:tr>
      <w:tr w:rsidR="006F4DC6" w:rsidRPr="00E856A1" w14:paraId="008EDC4C" w14:textId="77777777" w:rsidTr="0097410B">
        <w:trPr>
          <w:trHeight w:val="226"/>
        </w:trPr>
        <w:tc>
          <w:tcPr>
            <w:tcW w:w="241" w:type="dxa"/>
            <w:tcBorders>
              <w:top w:val="single" w:sz="4" w:space="0" w:color="auto"/>
              <w:left w:val="nil"/>
              <w:bottom w:val="nil"/>
            </w:tcBorders>
            <w:shd w:val="clear" w:color="auto" w:fill="E69F00"/>
          </w:tcPr>
          <w:p w14:paraId="06809087"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single" w:sz="4" w:space="0" w:color="auto"/>
              <w:left w:val="nil"/>
              <w:bottom w:val="nil"/>
              <w:right w:val="single" w:sz="4" w:space="0" w:color="auto"/>
            </w:tcBorders>
            <w:shd w:val="clear" w:color="auto" w:fill="D9D9D9" w:themeFill="background1" w:themeFillShade="D9"/>
            <w:noWrap/>
            <w:vAlign w:val="bottom"/>
            <w:hideMark/>
          </w:tcPr>
          <w:p w14:paraId="0D353F32"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Cooktown-Lizard Island</w:t>
            </w:r>
          </w:p>
        </w:tc>
        <w:tc>
          <w:tcPr>
            <w:tcW w:w="1895" w:type="dxa"/>
            <w:tcBorders>
              <w:top w:val="nil"/>
              <w:left w:val="single" w:sz="4" w:space="0" w:color="auto"/>
              <w:bottom w:val="nil"/>
              <w:right w:val="nil"/>
            </w:tcBorders>
            <w:shd w:val="clear" w:color="auto" w:fill="D9D9D9" w:themeFill="background1" w:themeFillShade="D9"/>
            <w:noWrap/>
            <w:vAlign w:val="bottom"/>
            <w:hideMark/>
          </w:tcPr>
          <w:p w14:paraId="4EC624D3"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0.43 [0.23:0.69]</w:t>
            </w:r>
          </w:p>
        </w:tc>
        <w:tc>
          <w:tcPr>
            <w:tcW w:w="1897" w:type="dxa"/>
            <w:tcBorders>
              <w:top w:val="nil"/>
              <w:left w:val="nil"/>
              <w:bottom w:val="nil"/>
              <w:right w:val="single" w:sz="4" w:space="0" w:color="auto"/>
            </w:tcBorders>
            <w:shd w:val="clear" w:color="auto" w:fill="D9D9D9" w:themeFill="background1" w:themeFillShade="D9"/>
            <w:noWrap/>
            <w:vAlign w:val="bottom"/>
            <w:hideMark/>
          </w:tcPr>
          <w:p w14:paraId="227F8D51"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0.90 [0.42:1.48]</w:t>
            </w:r>
          </w:p>
        </w:tc>
        <w:tc>
          <w:tcPr>
            <w:tcW w:w="1749" w:type="dxa"/>
            <w:tcBorders>
              <w:top w:val="nil"/>
              <w:left w:val="single" w:sz="4" w:space="0" w:color="auto"/>
              <w:bottom w:val="nil"/>
              <w:right w:val="nil"/>
            </w:tcBorders>
            <w:shd w:val="clear" w:color="auto" w:fill="D9D9D9" w:themeFill="background1" w:themeFillShade="D9"/>
            <w:noWrap/>
            <w:vAlign w:val="bottom"/>
            <w:hideMark/>
          </w:tcPr>
          <w:p w14:paraId="125D2E07"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-11% [-</w:t>
            </w:r>
            <w:proofErr w:type="gramStart"/>
            <w:r w:rsidRPr="00E856A1">
              <w:rPr>
                <w:rFonts w:eastAsia="Times New Roman" w:cstheme="minorHAnsi"/>
                <w:lang w:val="en-US"/>
              </w:rPr>
              <w:t>24:+</w:t>
            </w:r>
            <w:proofErr w:type="gramEnd"/>
            <w:r w:rsidRPr="00E856A1">
              <w:rPr>
                <w:rFonts w:eastAsia="Times New Roman" w:cstheme="minorHAnsi"/>
                <w:lang w:val="en-US"/>
              </w:rPr>
              <w:t>4]</w:t>
            </w:r>
          </w:p>
        </w:tc>
        <w:tc>
          <w:tcPr>
            <w:tcW w:w="1921" w:type="dxa"/>
            <w:tcBorders>
              <w:top w:val="nil"/>
              <w:left w:val="nil"/>
              <w:bottom w:val="nil"/>
              <w:right w:val="nil"/>
            </w:tcBorders>
            <w:shd w:val="clear" w:color="auto" w:fill="D9D9D9" w:themeFill="background1" w:themeFillShade="D9"/>
            <w:noWrap/>
            <w:vAlign w:val="bottom"/>
            <w:hideMark/>
          </w:tcPr>
          <w:p w14:paraId="1BBB6E9A"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-41% [-</w:t>
            </w:r>
            <w:proofErr w:type="gramStart"/>
            <w:r w:rsidRPr="00E856A1">
              <w:rPr>
                <w:rFonts w:eastAsia="Times New Roman" w:cstheme="minorHAnsi"/>
                <w:lang w:val="en-US"/>
              </w:rPr>
              <w:t>58:-</w:t>
            </w:r>
            <w:proofErr w:type="gramEnd"/>
            <w:r w:rsidRPr="00E856A1">
              <w:rPr>
                <w:rFonts w:eastAsia="Times New Roman" w:cstheme="minorHAnsi"/>
                <w:lang w:val="en-US"/>
              </w:rPr>
              <w:t>25]</w:t>
            </w:r>
          </w:p>
        </w:tc>
      </w:tr>
      <w:tr w:rsidR="006F4DC6" w:rsidRPr="00E856A1" w14:paraId="0E21CCC1" w14:textId="77777777" w:rsidTr="0097410B">
        <w:trPr>
          <w:trHeight w:val="226"/>
        </w:trPr>
        <w:tc>
          <w:tcPr>
            <w:tcW w:w="241" w:type="dxa"/>
            <w:tcBorders>
              <w:top w:val="nil"/>
              <w:left w:val="nil"/>
              <w:bottom w:val="nil"/>
            </w:tcBorders>
            <w:shd w:val="clear" w:color="auto" w:fill="F0E442"/>
          </w:tcPr>
          <w:p w14:paraId="03A5F4A1"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nil"/>
              <w:right w:val="single" w:sz="4" w:space="0" w:color="auto"/>
            </w:tcBorders>
            <w:shd w:val="clear" w:color="auto" w:fill="auto"/>
            <w:noWrap/>
            <w:vAlign w:val="bottom"/>
            <w:hideMark/>
          </w:tcPr>
          <w:p w14:paraId="10A66DA1"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Cairns</w:t>
            </w:r>
          </w:p>
        </w:tc>
        <w:tc>
          <w:tcPr>
            <w:tcW w:w="1895" w:type="dxa"/>
            <w:tcBorders>
              <w:top w:val="nil"/>
              <w:left w:val="single" w:sz="4" w:space="0" w:color="auto"/>
              <w:bottom w:val="nil"/>
              <w:right w:val="nil"/>
            </w:tcBorders>
            <w:shd w:val="clear" w:color="auto" w:fill="auto"/>
            <w:noWrap/>
            <w:vAlign w:val="bottom"/>
            <w:hideMark/>
          </w:tcPr>
          <w:p w14:paraId="5BC86DBF"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0.20 [0.08:0.34]</w:t>
            </w:r>
          </w:p>
        </w:tc>
        <w:tc>
          <w:tcPr>
            <w:tcW w:w="1897" w:type="dxa"/>
            <w:tcBorders>
              <w:top w:val="nil"/>
              <w:left w:val="nil"/>
              <w:bottom w:val="nil"/>
              <w:right w:val="single" w:sz="4" w:space="0" w:color="auto"/>
            </w:tcBorders>
            <w:shd w:val="clear" w:color="auto" w:fill="auto"/>
            <w:noWrap/>
            <w:vAlign w:val="bottom"/>
            <w:hideMark/>
          </w:tcPr>
          <w:p w14:paraId="3327120F"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0.14 [0.04:0.32]</w:t>
            </w:r>
          </w:p>
        </w:tc>
        <w:tc>
          <w:tcPr>
            <w:tcW w:w="1749" w:type="dxa"/>
            <w:tcBorders>
              <w:top w:val="nil"/>
              <w:left w:val="single" w:sz="4" w:space="0" w:color="auto"/>
              <w:bottom w:val="nil"/>
              <w:right w:val="nil"/>
            </w:tcBorders>
            <w:shd w:val="clear" w:color="auto" w:fill="auto"/>
            <w:noWrap/>
            <w:vAlign w:val="bottom"/>
            <w:hideMark/>
          </w:tcPr>
          <w:p w14:paraId="7CEC950C"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-11% [-</w:t>
            </w:r>
            <w:proofErr w:type="gramStart"/>
            <w:r w:rsidRPr="00E856A1">
              <w:rPr>
                <w:rFonts w:eastAsia="Times New Roman" w:cstheme="minorHAnsi"/>
                <w:lang w:val="en-US"/>
              </w:rPr>
              <w:t>29:+</w:t>
            </w:r>
            <w:proofErr w:type="gramEnd"/>
            <w:r w:rsidRPr="00E856A1">
              <w:rPr>
                <w:rFonts w:eastAsia="Times New Roman" w:cstheme="minorHAnsi"/>
                <w:lang w:val="en-US"/>
              </w:rPr>
              <w:t>8]</w:t>
            </w:r>
          </w:p>
        </w:tc>
        <w:tc>
          <w:tcPr>
            <w:tcW w:w="1921" w:type="dxa"/>
            <w:tcBorders>
              <w:top w:val="nil"/>
              <w:left w:val="nil"/>
              <w:bottom w:val="nil"/>
              <w:right w:val="nil"/>
            </w:tcBorders>
            <w:shd w:val="clear" w:color="auto" w:fill="auto"/>
            <w:noWrap/>
            <w:vAlign w:val="bottom"/>
            <w:hideMark/>
          </w:tcPr>
          <w:p w14:paraId="1B1EF821"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+4</w:t>
            </w:r>
            <w:proofErr w:type="gramStart"/>
            <w:r w:rsidRPr="00E856A1">
              <w:rPr>
                <w:rFonts w:eastAsia="Times New Roman" w:cstheme="minorHAnsi"/>
                <w:lang w:val="en-US"/>
              </w:rPr>
              <w:t>%  [</w:t>
            </w:r>
            <w:proofErr w:type="gramEnd"/>
            <w:r w:rsidRPr="00E856A1">
              <w:rPr>
                <w:rFonts w:eastAsia="Times New Roman" w:cstheme="minorHAnsi"/>
                <w:lang w:val="en-US"/>
              </w:rPr>
              <w:t>-18:+28]</w:t>
            </w:r>
          </w:p>
        </w:tc>
      </w:tr>
      <w:tr w:rsidR="006F4DC6" w:rsidRPr="00E856A1" w14:paraId="072A3D7C" w14:textId="77777777" w:rsidTr="0097410B">
        <w:trPr>
          <w:trHeight w:val="226"/>
        </w:trPr>
        <w:tc>
          <w:tcPr>
            <w:tcW w:w="241" w:type="dxa"/>
            <w:tcBorders>
              <w:top w:val="nil"/>
              <w:left w:val="nil"/>
              <w:bottom w:val="nil"/>
            </w:tcBorders>
            <w:shd w:val="clear" w:color="auto" w:fill="F0E442"/>
          </w:tcPr>
          <w:p w14:paraId="41B8B585"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nil"/>
              <w:right w:val="single" w:sz="4" w:space="0" w:color="auto"/>
            </w:tcBorders>
            <w:shd w:val="clear" w:color="auto" w:fill="D9D9D9" w:themeFill="background1" w:themeFillShade="D9"/>
            <w:noWrap/>
            <w:vAlign w:val="bottom"/>
            <w:hideMark/>
          </w:tcPr>
          <w:p w14:paraId="66188C00"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Innisfail</w:t>
            </w:r>
          </w:p>
        </w:tc>
        <w:tc>
          <w:tcPr>
            <w:tcW w:w="1895" w:type="dxa"/>
            <w:tcBorders>
              <w:top w:val="nil"/>
              <w:left w:val="single" w:sz="4" w:space="0" w:color="auto"/>
              <w:bottom w:val="nil"/>
              <w:right w:val="nil"/>
            </w:tcBorders>
            <w:shd w:val="clear" w:color="auto" w:fill="D9D9D9" w:themeFill="background1" w:themeFillShade="D9"/>
            <w:noWrap/>
            <w:vAlign w:val="bottom"/>
            <w:hideMark/>
          </w:tcPr>
          <w:p w14:paraId="56BFD04A"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0.69 [0.24:1.30]</w:t>
            </w:r>
          </w:p>
        </w:tc>
        <w:tc>
          <w:tcPr>
            <w:tcW w:w="1897" w:type="dxa"/>
            <w:tcBorders>
              <w:top w:val="nil"/>
              <w:left w:val="nil"/>
              <w:bottom w:val="nil"/>
              <w:right w:val="single" w:sz="4" w:space="0" w:color="auto"/>
            </w:tcBorders>
            <w:shd w:val="clear" w:color="auto" w:fill="D9D9D9" w:themeFill="background1" w:themeFillShade="D9"/>
            <w:noWrap/>
            <w:vAlign w:val="bottom"/>
            <w:hideMark/>
          </w:tcPr>
          <w:p w14:paraId="17A67D21"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0.50 [0.18:1.02]</w:t>
            </w:r>
          </w:p>
        </w:tc>
        <w:tc>
          <w:tcPr>
            <w:tcW w:w="1749" w:type="dxa"/>
            <w:tcBorders>
              <w:top w:val="nil"/>
              <w:left w:val="single" w:sz="4" w:space="0" w:color="auto"/>
              <w:bottom w:val="nil"/>
              <w:right w:val="nil"/>
            </w:tcBorders>
            <w:shd w:val="clear" w:color="auto" w:fill="D9D9D9" w:themeFill="background1" w:themeFillShade="D9"/>
            <w:noWrap/>
            <w:vAlign w:val="bottom"/>
            <w:hideMark/>
          </w:tcPr>
          <w:p w14:paraId="691B1116"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-33% [-</w:t>
            </w:r>
            <w:proofErr w:type="gramStart"/>
            <w:r w:rsidRPr="00E856A1">
              <w:rPr>
                <w:rFonts w:eastAsia="Times New Roman" w:cstheme="minorHAnsi"/>
                <w:lang w:val="en-US"/>
              </w:rPr>
              <w:t>53:-</w:t>
            </w:r>
            <w:proofErr w:type="gramEnd"/>
            <w:r w:rsidRPr="00E856A1">
              <w:rPr>
                <w:rFonts w:eastAsia="Times New Roman" w:cstheme="minorHAnsi"/>
                <w:lang w:val="en-US"/>
              </w:rPr>
              <w:t>12]</w:t>
            </w:r>
          </w:p>
        </w:tc>
        <w:tc>
          <w:tcPr>
            <w:tcW w:w="1921" w:type="dxa"/>
            <w:tcBorders>
              <w:top w:val="nil"/>
              <w:left w:val="nil"/>
              <w:bottom w:val="nil"/>
              <w:right w:val="nil"/>
            </w:tcBorders>
            <w:shd w:val="clear" w:color="auto" w:fill="D9D9D9" w:themeFill="background1" w:themeFillShade="D9"/>
            <w:noWrap/>
            <w:vAlign w:val="bottom"/>
            <w:hideMark/>
          </w:tcPr>
          <w:p w14:paraId="4E6B5860"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-28% [-</w:t>
            </w:r>
            <w:proofErr w:type="gramStart"/>
            <w:r w:rsidRPr="00E856A1">
              <w:rPr>
                <w:rFonts w:eastAsia="Times New Roman" w:cstheme="minorHAnsi"/>
                <w:lang w:val="en-US"/>
              </w:rPr>
              <w:t>49:-</w:t>
            </w:r>
            <w:proofErr w:type="gramEnd"/>
            <w:r w:rsidRPr="00E856A1">
              <w:rPr>
                <w:rFonts w:eastAsia="Times New Roman" w:cstheme="minorHAnsi"/>
                <w:lang w:val="en-US"/>
              </w:rPr>
              <w:t>7]</w:t>
            </w:r>
          </w:p>
        </w:tc>
      </w:tr>
      <w:tr w:rsidR="006F4DC6" w:rsidRPr="00E856A1" w14:paraId="6E296A40" w14:textId="77777777" w:rsidTr="0097410B">
        <w:trPr>
          <w:trHeight w:val="226"/>
        </w:trPr>
        <w:tc>
          <w:tcPr>
            <w:tcW w:w="241" w:type="dxa"/>
            <w:tcBorders>
              <w:top w:val="nil"/>
              <w:left w:val="nil"/>
              <w:bottom w:val="nil"/>
            </w:tcBorders>
            <w:shd w:val="clear" w:color="auto" w:fill="009E73"/>
          </w:tcPr>
          <w:p w14:paraId="7A857305"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nil"/>
              <w:right w:val="single" w:sz="4" w:space="0" w:color="auto"/>
            </w:tcBorders>
            <w:shd w:val="clear" w:color="auto" w:fill="auto"/>
            <w:noWrap/>
            <w:vAlign w:val="bottom"/>
            <w:hideMark/>
          </w:tcPr>
          <w:p w14:paraId="6C9A70C3"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Townsville</w:t>
            </w:r>
          </w:p>
        </w:tc>
        <w:tc>
          <w:tcPr>
            <w:tcW w:w="1895" w:type="dxa"/>
            <w:tcBorders>
              <w:top w:val="nil"/>
              <w:left w:val="single" w:sz="4" w:space="0" w:color="auto"/>
              <w:bottom w:val="nil"/>
              <w:right w:val="nil"/>
            </w:tcBorders>
            <w:shd w:val="clear" w:color="auto" w:fill="auto"/>
            <w:noWrap/>
            <w:vAlign w:val="bottom"/>
            <w:hideMark/>
          </w:tcPr>
          <w:p w14:paraId="7BE4E30B"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1.50 [0.52:2.68]</w:t>
            </w:r>
          </w:p>
        </w:tc>
        <w:tc>
          <w:tcPr>
            <w:tcW w:w="1897" w:type="dxa"/>
            <w:tcBorders>
              <w:top w:val="nil"/>
              <w:left w:val="nil"/>
              <w:bottom w:val="nil"/>
              <w:right w:val="single" w:sz="4" w:space="0" w:color="auto"/>
            </w:tcBorders>
            <w:shd w:val="clear" w:color="auto" w:fill="auto"/>
            <w:noWrap/>
            <w:vAlign w:val="bottom"/>
            <w:hideMark/>
          </w:tcPr>
          <w:p w14:paraId="16E72717"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0.21 [0.07:0.41]</w:t>
            </w:r>
          </w:p>
        </w:tc>
        <w:tc>
          <w:tcPr>
            <w:tcW w:w="1749" w:type="dxa"/>
            <w:tcBorders>
              <w:top w:val="nil"/>
              <w:left w:val="single" w:sz="4" w:space="0" w:color="auto"/>
              <w:bottom w:val="nil"/>
              <w:right w:val="nil"/>
            </w:tcBorders>
            <w:shd w:val="clear" w:color="auto" w:fill="auto"/>
            <w:noWrap/>
            <w:vAlign w:val="bottom"/>
            <w:hideMark/>
          </w:tcPr>
          <w:p w14:paraId="3CD36E34"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-37% [-</w:t>
            </w:r>
            <w:proofErr w:type="gramStart"/>
            <w:r w:rsidRPr="00E856A1">
              <w:rPr>
                <w:rFonts w:eastAsia="Times New Roman" w:cstheme="minorHAnsi"/>
                <w:lang w:val="en-US"/>
              </w:rPr>
              <w:t>51:-</w:t>
            </w:r>
            <w:proofErr w:type="gramEnd"/>
            <w:r w:rsidRPr="00E856A1">
              <w:rPr>
                <w:rFonts w:eastAsia="Times New Roman" w:cstheme="minorHAnsi"/>
                <w:lang w:val="en-US"/>
              </w:rPr>
              <w:t>20]</w:t>
            </w:r>
          </w:p>
        </w:tc>
        <w:tc>
          <w:tcPr>
            <w:tcW w:w="1921" w:type="dxa"/>
            <w:tcBorders>
              <w:top w:val="nil"/>
              <w:left w:val="nil"/>
              <w:bottom w:val="nil"/>
              <w:right w:val="nil"/>
            </w:tcBorders>
            <w:shd w:val="clear" w:color="auto" w:fill="auto"/>
            <w:noWrap/>
            <w:vAlign w:val="bottom"/>
            <w:hideMark/>
          </w:tcPr>
          <w:p w14:paraId="16379A5C"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+44% [+</w:t>
            </w:r>
            <w:proofErr w:type="gramStart"/>
            <w:r w:rsidRPr="00E856A1">
              <w:rPr>
                <w:rFonts w:eastAsia="Times New Roman" w:cstheme="minorHAnsi"/>
                <w:lang w:val="en-US"/>
              </w:rPr>
              <w:t>23:+</w:t>
            </w:r>
            <w:proofErr w:type="gramEnd"/>
            <w:r w:rsidRPr="00E856A1">
              <w:rPr>
                <w:rFonts w:eastAsia="Times New Roman" w:cstheme="minorHAnsi"/>
                <w:lang w:val="en-US"/>
              </w:rPr>
              <w:t>62]</w:t>
            </w:r>
          </w:p>
        </w:tc>
      </w:tr>
      <w:tr w:rsidR="006F4DC6" w:rsidRPr="00E856A1" w14:paraId="4E5C0AF1" w14:textId="77777777" w:rsidTr="0097410B">
        <w:trPr>
          <w:trHeight w:val="226"/>
        </w:trPr>
        <w:tc>
          <w:tcPr>
            <w:tcW w:w="241" w:type="dxa"/>
            <w:tcBorders>
              <w:top w:val="nil"/>
              <w:left w:val="nil"/>
              <w:bottom w:val="nil"/>
            </w:tcBorders>
            <w:shd w:val="clear" w:color="auto" w:fill="56B4E9"/>
          </w:tcPr>
          <w:p w14:paraId="45DE073F"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nil"/>
              <w:right w:val="single" w:sz="4" w:space="0" w:color="auto"/>
            </w:tcBorders>
            <w:shd w:val="clear" w:color="auto" w:fill="D9D9D9" w:themeFill="background1" w:themeFillShade="D9"/>
            <w:noWrap/>
            <w:vAlign w:val="bottom"/>
            <w:hideMark/>
          </w:tcPr>
          <w:p w14:paraId="71C8C83C"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Cape Upstart</w:t>
            </w:r>
          </w:p>
        </w:tc>
        <w:tc>
          <w:tcPr>
            <w:tcW w:w="1895" w:type="dxa"/>
            <w:tcBorders>
              <w:top w:val="nil"/>
              <w:left w:val="single" w:sz="4" w:space="0" w:color="auto"/>
              <w:bottom w:val="nil"/>
              <w:right w:val="nil"/>
            </w:tcBorders>
            <w:shd w:val="clear" w:color="auto" w:fill="D9D9D9" w:themeFill="background1" w:themeFillShade="D9"/>
            <w:noWrap/>
            <w:vAlign w:val="bottom"/>
            <w:hideMark/>
          </w:tcPr>
          <w:p w14:paraId="3EB6A985"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0.56 [0.09:1.45]</w:t>
            </w:r>
          </w:p>
        </w:tc>
        <w:tc>
          <w:tcPr>
            <w:tcW w:w="1897" w:type="dxa"/>
            <w:tcBorders>
              <w:top w:val="nil"/>
              <w:left w:val="nil"/>
              <w:bottom w:val="nil"/>
              <w:right w:val="single" w:sz="4" w:space="0" w:color="auto"/>
            </w:tcBorders>
            <w:shd w:val="clear" w:color="auto" w:fill="D9D9D9" w:themeFill="background1" w:themeFillShade="D9"/>
            <w:noWrap/>
            <w:vAlign w:val="bottom"/>
            <w:hideMark/>
          </w:tcPr>
          <w:p w14:paraId="009239BF"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0.11 [0.01:0.50]</w:t>
            </w:r>
          </w:p>
        </w:tc>
        <w:tc>
          <w:tcPr>
            <w:tcW w:w="1749" w:type="dxa"/>
            <w:tcBorders>
              <w:top w:val="nil"/>
              <w:left w:val="single" w:sz="4" w:space="0" w:color="auto"/>
              <w:bottom w:val="nil"/>
              <w:right w:val="nil"/>
            </w:tcBorders>
            <w:shd w:val="clear" w:color="auto" w:fill="D9D9D9" w:themeFill="background1" w:themeFillShade="D9"/>
            <w:noWrap/>
            <w:vAlign w:val="bottom"/>
            <w:hideMark/>
          </w:tcPr>
          <w:p w14:paraId="04BE137B"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-31% [-</w:t>
            </w:r>
            <w:proofErr w:type="gramStart"/>
            <w:r w:rsidRPr="00E856A1">
              <w:rPr>
                <w:rFonts w:eastAsia="Times New Roman" w:cstheme="minorHAnsi"/>
                <w:lang w:val="en-US"/>
              </w:rPr>
              <w:t>60:+</w:t>
            </w:r>
            <w:proofErr w:type="gramEnd"/>
            <w:r w:rsidRPr="00E856A1">
              <w:rPr>
                <w:rFonts w:eastAsia="Times New Roman" w:cstheme="minorHAnsi"/>
                <w:lang w:val="en-US"/>
              </w:rPr>
              <w:t>1]</w:t>
            </w:r>
          </w:p>
        </w:tc>
        <w:tc>
          <w:tcPr>
            <w:tcW w:w="1921" w:type="dxa"/>
            <w:tcBorders>
              <w:top w:val="nil"/>
              <w:left w:val="nil"/>
              <w:bottom w:val="nil"/>
              <w:right w:val="nil"/>
            </w:tcBorders>
            <w:shd w:val="clear" w:color="auto" w:fill="D9D9D9" w:themeFill="background1" w:themeFillShade="D9"/>
            <w:noWrap/>
            <w:vAlign w:val="bottom"/>
            <w:hideMark/>
          </w:tcPr>
          <w:p w14:paraId="0AFE06EB"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+14% [-</w:t>
            </w:r>
            <w:proofErr w:type="gramStart"/>
            <w:r w:rsidRPr="00E856A1">
              <w:rPr>
                <w:rFonts w:eastAsia="Times New Roman" w:cstheme="minorHAnsi"/>
                <w:lang w:val="en-US"/>
              </w:rPr>
              <w:t>33:+</w:t>
            </w:r>
            <w:proofErr w:type="gramEnd"/>
            <w:r w:rsidRPr="00E856A1">
              <w:rPr>
                <w:rFonts w:eastAsia="Times New Roman" w:cstheme="minorHAnsi"/>
                <w:lang w:val="en-US"/>
              </w:rPr>
              <w:t>61]</w:t>
            </w:r>
          </w:p>
        </w:tc>
      </w:tr>
      <w:tr w:rsidR="006F4DC6" w:rsidRPr="00E856A1" w14:paraId="682DACCA" w14:textId="77777777" w:rsidTr="0097410B">
        <w:trPr>
          <w:trHeight w:val="226"/>
        </w:trPr>
        <w:tc>
          <w:tcPr>
            <w:tcW w:w="241" w:type="dxa"/>
            <w:tcBorders>
              <w:top w:val="nil"/>
              <w:left w:val="nil"/>
              <w:bottom w:val="nil"/>
            </w:tcBorders>
            <w:shd w:val="clear" w:color="auto" w:fill="009E73"/>
          </w:tcPr>
          <w:p w14:paraId="3C1CA882"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nil"/>
              <w:right w:val="single" w:sz="4" w:space="0" w:color="auto"/>
            </w:tcBorders>
            <w:shd w:val="clear" w:color="auto" w:fill="D9D9D9" w:themeFill="background1" w:themeFillShade="D9"/>
            <w:noWrap/>
            <w:vAlign w:val="bottom"/>
            <w:hideMark/>
          </w:tcPr>
          <w:p w14:paraId="327950EE"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Capricorn Bunker</w:t>
            </w:r>
          </w:p>
        </w:tc>
        <w:tc>
          <w:tcPr>
            <w:tcW w:w="1895" w:type="dxa"/>
            <w:tcBorders>
              <w:top w:val="nil"/>
              <w:left w:val="single" w:sz="4" w:space="0" w:color="auto"/>
              <w:bottom w:val="nil"/>
              <w:right w:val="nil"/>
            </w:tcBorders>
            <w:shd w:val="clear" w:color="auto" w:fill="D9D9D9" w:themeFill="background1" w:themeFillShade="D9"/>
            <w:noWrap/>
            <w:vAlign w:val="bottom"/>
            <w:hideMark/>
          </w:tcPr>
          <w:p w14:paraId="73227BCC"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NA</w:t>
            </w:r>
          </w:p>
        </w:tc>
        <w:tc>
          <w:tcPr>
            <w:tcW w:w="1897" w:type="dxa"/>
            <w:tcBorders>
              <w:top w:val="nil"/>
              <w:left w:val="nil"/>
              <w:bottom w:val="nil"/>
              <w:right w:val="single" w:sz="4" w:space="0" w:color="auto"/>
            </w:tcBorders>
            <w:shd w:val="clear" w:color="auto" w:fill="D9D9D9" w:themeFill="background1" w:themeFillShade="D9"/>
            <w:noWrap/>
            <w:vAlign w:val="bottom"/>
            <w:hideMark/>
          </w:tcPr>
          <w:p w14:paraId="0CF429F0"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0.25 [0.03:0.83]</w:t>
            </w:r>
          </w:p>
        </w:tc>
        <w:tc>
          <w:tcPr>
            <w:tcW w:w="1749" w:type="dxa"/>
            <w:tcBorders>
              <w:top w:val="nil"/>
              <w:left w:val="single" w:sz="4" w:space="0" w:color="auto"/>
              <w:bottom w:val="nil"/>
              <w:right w:val="nil"/>
            </w:tcBorders>
            <w:shd w:val="clear" w:color="auto" w:fill="D9D9D9" w:themeFill="background1" w:themeFillShade="D9"/>
            <w:noWrap/>
            <w:vAlign w:val="bottom"/>
            <w:hideMark/>
          </w:tcPr>
          <w:p w14:paraId="0DF9942A"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NA</w:t>
            </w:r>
          </w:p>
        </w:tc>
        <w:tc>
          <w:tcPr>
            <w:tcW w:w="1921" w:type="dxa"/>
            <w:tcBorders>
              <w:top w:val="nil"/>
              <w:left w:val="nil"/>
              <w:bottom w:val="nil"/>
              <w:right w:val="nil"/>
            </w:tcBorders>
            <w:shd w:val="clear" w:color="auto" w:fill="D9D9D9" w:themeFill="background1" w:themeFillShade="D9"/>
            <w:noWrap/>
            <w:vAlign w:val="bottom"/>
            <w:hideMark/>
          </w:tcPr>
          <w:p w14:paraId="3AB5B6AC" w14:textId="77777777" w:rsidR="006F4DC6" w:rsidRPr="00E856A1" w:rsidRDefault="006F4DC6" w:rsidP="0097410B">
            <w:pPr>
              <w:spacing w:afterLines="160" w:after="384" w:line="480" w:lineRule="auto"/>
              <w:rPr>
                <w:rFonts w:eastAsia="Times New Roman" w:cstheme="minorHAnsi"/>
                <w:lang w:val="en-US"/>
              </w:rPr>
            </w:pPr>
            <w:r w:rsidRPr="00E856A1">
              <w:rPr>
                <w:rFonts w:eastAsia="Times New Roman" w:cstheme="minorHAnsi"/>
                <w:lang w:val="en-US"/>
              </w:rPr>
              <w:t>+46% [+</w:t>
            </w:r>
            <w:proofErr w:type="gramStart"/>
            <w:r w:rsidRPr="00E856A1">
              <w:rPr>
                <w:rFonts w:eastAsia="Times New Roman" w:cstheme="minorHAnsi"/>
                <w:lang w:val="en-US"/>
              </w:rPr>
              <w:t>4:+</w:t>
            </w:r>
            <w:proofErr w:type="gramEnd"/>
            <w:r w:rsidRPr="00E856A1">
              <w:rPr>
                <w:rFonts w:eastAsia="Times New Roman" w:cstheme="minorHAnsi"/>
                <w:lang w:val="en-US"/>
              </w:rPr>
              <w:t>81]</w:t>
            </w:r>
          </w:p>
        </w:tc>
      </w:tr>
      <w:tr w:rsidR="006F4DC6" w:rsidRPr="00E856A1" w14:paraId="5B985735" w14:textId="77777777" w:rsidTr="0097410B">
        <w:trPr>
          <w:trHeight w:val="226"/>
        </w:trPr>
        <w:tc>
          <w:tcPr>
            <w:tcW w:w="241" w:type="dxa"/>
            <w:tcBorders>
              <w:top w:val="nil"/>
              <w:left w:val="nil"/>
              <w:bottom w:val="single" w:sz="4" w:space="0" w:color="auto"/>
            </w:tcBorders>
            <w:shd w:val="clear" w:color="auto" w:fill="E69F00"/>
          </w:tcPr>
          <w:p w14:paraId="3B4AA616" w14:textId="77777777" w:rsidR="006F4DC6" w:rsidRPr="00E856A1" w:rsidRDefault="006F4DC6" w:rsidP="0097410B">
            <w:pPr>
              <w:spacing w:afterLines="160" w:after="384" w:line="480" w:lineRule="auto"/>
              <w:rPr>
                <w:rFonts w:eastAsia="Times New Roman" w:cstheme="minorHAnsi"/>
                <w:color w:val="000000"/>
                <w:lang w:val="en-US"/>
              </w:rPr>
            </w:pPr>
          </w:p>
        </w:tc>
        <w:tc>
          <w:tcPr>
            <w:tcW w:w="2673" w:type="dxa"/>
            <w:tcBorders>
              <w:top w:val="nil"/>
              <w:left w:val="nil"/>
              <w:bottom w:val="single" w:sz="4" w:space="0" w:color="auto"/>
              <w:right w:val="single" w:sz="4" w:space="0" w:color="auto"/>
            </w:tcBorders>
            <w:shd w:val="clear" w:color="auto" w:fill="auto"/>
            <w:noWrap/>
            <w:vAlign w:val="bottom"/>
            <w:hideMark/>
          </w:tcPr>
          <w:p w14:paraId="39D278A1"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Swain</w:t>
            </w:r>
          </w:p>
        </w:tc>
        <w:tc>
          <w:tcPr>
            <w:tcW w:w="1895" w:type="dxa"/>
            <w:tcBorders>
              <w:top w:val="nil"/>
              <w:left w:val="single" w:sz="4" w:space="0" w:color="auto"/>
              <w:bottom w:val="single" w:sz="4" w:space="0" w:color="auto"/>
              <w:right w:val="nil"/>
            </w:tcBorders>
            <w:shd w:val="clear" w:color="auto" w:fill="auto"/>
            <w:noWrap/>
            <w:vAlign w:val="bottom"/>
            <w:hideMark/>
          </w:tcPr>
          <w:p w14:paraId="5A6A7BC6"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1.45 [0.39:3.18]</w:t>
            </w:r>
          </w:p>
        </w:tc>
        <w:tc>
          <w:tcPr>
            <w:tcW w:w="1897" w:type="dxa"/>
            <w:tcBorders>
              <w:top w:val="nil"/>
              <w:left w:val="nil"/>
              <w:bottom w:val="single" w:sz="4" w:space="0" w:color="auto"/>
              <w:right w:val="single" w:sz="4" w:space="0" w:color="auto"/>
            </w:tcBorders>
            <w:shd w:val="clear" w:color="auto" w:fill="auto"/>
            <w:noWrap/>
            <w:vAlign w:val="bottom"/>
            <w:hideMark/>
          </w:tcPr>
          <w:p w14:paraId="421B391D"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1.72 [0.74:3.34]</w:t>
            </w:r>
          </w:p>
        </w:tc>
        <w:tc>
          <w:tcPr>
            <w:tcW w:w="1749" w:type="dxa"/>
            <w:tcBorders>
              <w:top w:val="nil"/>
              <w:left w:val="single" w:sz="4" w:space="0" w:color="auto"/>
              <w:bottom w:val="single" w:sz="4" w:space="0" w:color="auto"/>
              <w:right w:val="nil"/>
            </w:tcBorders>
            <w:shd w:val="clear" w:color="auto" w:fill="auto"/>
            <w:noWrap/>
            <w:vAlign w:val="bottom"/>
            <w:hideMark/>
          </w:tcPr>
          <w:p w14:paraId="296AF3BD"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-50% [-</w:t>
            </w:r>
            <w:proofErr w:type="gramStart"/>
            <w:r w:rsidRPr="00E856A1">
              <w:rPr>
                <w:rFonts w:eastAsia="Times New Roman" w:cstheme="minorHAnsi"/>
                <w:color w:val="000000"/>
                <w:lang w:val="en-US"/>
              </w:rPr>
              <w:t>74:-</w:t>
            </w:r>
            <w:proofErr w:type="gramEnd"/>
            <w:r w:rsidRPr="00E856A1">
              <w:rPr>
                <w:rFonts w:eastAsia="Times New Roman" w:cstheme="minorHAnsi"/>
                <w:color w:val="000000"/>
                <w:lang w:val="en-US"/>
              </w:rPr>
              <w:t>27]</w:t>
            </w:r>
          </w:p>
        </w:tc>
        <w:tc>
          <w:tcPr>
            <w:tcW w:w="1921" w:type="dxa"/>
            <w:tcBorders>
              <w:top w:val="nil"/>
              <w:left w:val="nil"/>
              <w:bottom w:val="single" w:sz="4" w:space="0" w:color="auto"/>
              <w:right w:val="nil"/>
            </w:tcBorders>
            <w:shd w:val="clear" w:color="auto" w:fill="auto"/>
            <w:noWrap/>
            <w:vAlign w:val="bottom"/>
            <w:hideMark/>
          </w:tcPr>
          <w:p w14:paraId="07156A36" w14:textId="77777777" w:rsidR="006F4DC6" w:rsidRPr="00E856A1" w:rsidRDefault="006F4DC6" w:rsidP="0097410B">
            <w:pPr>
              <w:spacing w:afterLines="160" w:after="384" w:line="480" w:lineRule="auto"/>
              <w:rPr>
                <w:rFonts w:eastAsia="Times New Roman" w:cstheme="minorHAnsi"/>
                <w:color w:val="000000"/>
                <w:lang w:val="en-US"/>
              </w:rPr>
            </w:pPr>
            <w:r w:rsidRPr="00E856A1">
              <w:rPr>
                <w:rFonts w:eastAsia="Times New Roman" w:cstheme="minorHAnsi"/>
                <w:color w:val="000000"/>
                <w:lang w:val="en-US"/>
              </w:rPr>
              <w:t>-46% [-</w:t>
            </w:r>
            <w:proofErr w:type="gramStart"/>
            <w:r w:rsidRPr="00E856A1">
              <w:rPr>
                <w:rFonts w:eastAsia="Times New Roman" w:cstheme="minorHAnsi"/>
                <w:color w:val="000000"/>
                <w:lang w:val="en-US"/>
              </w:rPr>
              <w:t>68:-</w:t>
            </w:r>
            <w:proofErr w:type="gramEnd"/>
            <w:r w:rsidRPr="00E856A1">
              <w:rPr>
                <w:rFonts w:eastAsia="Times New Roman" w:cstheme="minorHAnsi"/>
                <w:color w:val="000000"/>
                <w:lang w:val="en-US"/>
              </w:rPr>
              <w:t>27]</w:t>
            </w:r>
          </w:p>
        </w:tc>
      </w:tr>
    </w:tbl>
    <w:p w14:paraId="7E5671EE" w14:textId="77777777" w:rsidR="006F4DC6" w:rsidRPr="00E856A1" w:rsidRDefault="006F4DC6" w:rsidP="006F4DC6">
      <w:pPr>
        <w:pStyle w:val="NormalWeb"/>
        <w:spacing w:afterLines="160" w:after="384" w:afterAutospacing="0" w:line="480" w:lineRule="auto"/>
        <w:rPr>
          <w:rFonts w:asciiTheme="minorHAnsi" w:hAnsiTheme="minorHAnsi" w:cstheme="minorHAnsi"/>
          <w:iCs/>
          <w:sz w:val="20"/>
          <w:szCs w:val="18"/>
        </w:rPr>
      </w:pPr>
      <w:r w:rsidRPr="00E856A1">
        <w:rPr>
          <w:rFonts w:asciiTheme="minorHAnsi" w:hAnsiTheme="minorHAnsi" w:cstheme="minorHAnsi"/>
          <w:iCs/>
          <w:sz w:val="20"/>
          <w:szCs w:val="18"/>
        </w:rPr>
        <w:br/>
      </w:r>
    </w:p>
    <w:p w14:paraId="555DA3F5" w14:textId="77777777" w:rsidR="006F4DC6" w:rsidRPr="00E856A1" w:rsidRDefault="006F4DC6" w:rsidP="006F4DC6">
      <w:pPr>
        <w:pStyle w:val="NormalWeb"/>
        <w:spacing w:afterLines="160" w:after="384" w:afterAutospacing="0" w:line="480" w:lineRule="auto"/>
        <w:jc w:val="center"/>
        <w:rPr>
          <w:rFonts w:asciiTheme="minorHAnsi" w:hAnsiTheme="minorHAnsi" w:cstheme="minorHAnsi"/>
          <w:sz w:val="20"/>
          <w:szCs w:val="20"/>
        </w:rPr>
      </w:pPr>
      <w:r w:rsidRPr="00E856A1">
        <w:rPr>
          <w:rFonts w:asciiTheme="minorHAnsi" w:hAnsiTheme="minorHAnsi" w:cstheme="minorHAnsi"/>
          <w:sz w:val="20"/>
          <w:szCs w:val="20"/>
        </w:rPr>
        <w:br w:type="page"/>
      </w:r>
    </w:p>
    <w:p w14:paraId="3A10E7DB" w14:textId="77777777" w:rsidR="000C7AF4" w:rsidRDefault="000C7AF4"/>
    <w:sectPr w:rsidR="000C7AF4" w:rsidSect="00BC07F6">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02EB" w14:textId="77777777" w:rsidR="000D5534" w:rsidRDefault="000D5534">
      <w:pPr>
        <w:spacing w:after="0" w:line="240" w:lineRule="auto"/>
      </w:pPr>
      <w:r>
        <w:separator/>
      </w:r>
    </w:p>
  </w:endnote>
  <w:endnote w:type="continuationSeparator" w:id="0">
    <w:p w14:paraId="7BD96D33" w14:textId="77777777" w:rsidR="000D5534" w:rsidRDefault="000D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32443"/>
      <w:docPartObj>
        <w:docPartGallery w:val="Page Numbers (Bottom of Page)"/>
        <w:docPartUnique/>
      </w:docPartObj>
    </w:sdtPr>
    <w:sdtEndPr/>
    <w:sdtContent>
      <w:sdt>
        <w:sdtPr>
          <w:id w:val="-1769616900"/>
          <w:docPartObj>
            <w:docPartGallery w:val="Page Numbers (Top of Page)"/>
            <w:docPartUnique/>
          </w:docPartObj>
        </w:sdtPr>
        <w:sdtEndPr/>
        <w:sdtContent>
          <w:p w14:paraId="692E4882" w14:textId="77777777" w:rsidR="006F4DC6" w:rsidRDefault="006F4D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48</w:t>
            </w:r>
            <w:r>
              <w:rPr>
                <w:b/>
                <w:bCs/>
                <w:sz w:val="24"/>
                <w:szCs w:val="24"/>
              </w:rPr>
              <w:fldChar w:fldCharType="end"/>
            </w:r>
          </w:p>
        </w:sdtContent>
      </w:sdt>
    </w:sdtContent>
  </w:sdt>
  <w:p w14:paraId="2FA080D0" w14:textId="77777777" w:rsidR="006F4DC6" w:rsidRDefault="006F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4700" w14:textId="77777777" w:rsidR="000D5534" w:rsidRDefault="000D5534">
      <w:pPr>
        <w:spacing w:after="0" w:line="240" w:lineRule="auto"/>
      </w:pPr>
      <w:r>
        <w:separator/>
      </w:r>
    </w:p>
  </w:footnote>
  <w:footnote w:type="continuationSeparator" w:id="0">
    <w:p w14:paraId="123108C7" w14:textId="77777777" w:rsidR="000D5534" w:rsidRDefault="000D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4F40" w14:textId="77777777" w:rsidR="006F4DC6" w:rsidRDefault="006F4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4F33"/>
    <w:multiLevelType w:val="hybridMultilevel"/>
    <w:tmpl w:val="45FC5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781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6"/>
    <w:rsid w:val="00067372"/>
    <w:rsid w:val="00096436"/>
    <w:rsid w:val="000C7AF4"/>
    <w:rsid w:val="000D400C"/>
    <w:rsid w:val="000D5534"/>
    <w:rsid w:val="000E1922"/>
    <w:rsid w:val="000E49E8"/>
    <w:rsid w:val="000E4FAF"/>
    <w:rsid w:val="00110DF9"/>
    <w:rsid w:val="001502C0"/>
    <w:rsid w:val="001559D4"/>
    <w:rsid w:val="001A35B5"/>
    <w:rsid w:val="00206798"/>
    <w:rsid w:val="00213B8C"/>
    <w:rsid w:val="002170C5"/>
    <w:rsid w:val="002630A3"/>
    <w:rsid w:val="00307E55"/>
    <w:rsid w:val="00313CDE"/>
    <w:rsid w:val="00321E4B"/>
    <w:rsid w:val="0038406E"/>
    <w:rsid w:val="00391B8A"/>
    <w:rsid w:val="003F45AC"/>
    <w:rsid w:val="004470FC"/>
    <w:rsid w:val="00451C85"/>
    <w:rsid w:val="004633B2"/>
    <w:rsid w:val="00471946"/>
    <w:rsid w:val="00473452"/>
    <w:rsid w:val="004F6870"/>
    <w:rsid w:val="00533629"/>
    <w:rsid w:val="00557054"/>
    <w:rsid w:val="005C59CF"/>
    <w:rsid w:val="005E2446"/>
    <w:rsid w:val="005E5349"/>
    <w:rsid w:val="005F0DE7"/>
    <w:rsid w:val="00612AA0"/>
    <w:rsid w:val="00623CE6"/>
    <w:rsid w:val="006523CC"/>
    <w:rsid w:val="006C7896"/>
    <w:rsid w:val="006F4DC6"/>
    <w:rsid w:val="00752EEF"/>
    <w:rsid w:val="00770FB3"/>
    <w:rsid w:val="0078100A"/>
    <w:rsid w:val="007C3A4E"/>
    <w:rsid w:val="00884C1F"/>
    <w:rsid w:val="00910390"/>
    <w:rsid w:val="0093298C"/>
    <w:rsid w:val="009349BA"/>
    <w:rsid w:val="009378CF"/>
    <w:rsid w:val="00A645C4"/>
    <w:rsid w:val="00A94F92"/>
    <w:rsid w:val="00B206B7"/>
    <w:rsid w:val="00BE4606"/>
    <w:rsid w:val="00C56079"/>
    <w:rsid w:val="00C941F3"/>
    <w:rsid w:val="00C94A7F"/>
    <w:rsid w:val="00CA2F9F"/>
    <w:rsid w:val="00CF72A6"/>
    <w:rsid w:val="00D14F34"/>
    <w:rsid w:val="00D848C0"/>
    <w:rsid w:val="00DC2B07"/>
    <w:rsid w:val="00DE35BC"/>
    <w:rsid w:val="00E33630"/>
    <w:rsid w:val="00E40F23"/>
    <w:rsid w:val="00E450BA"/>
    <w:rsid w:val="00E90D21"/>
    <w:rsid w:val="00E918B4"/>
    <w:rsid w:val="00EA1B36"/>
    <w:rsid w:val="00EC773D"/>
    <w:rsid w:val="00F51AD7"/>
    <w:rsid w:val="00F73187"/>
    <w:rsid w:val="00FE7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EB9C"/>
  <w15:chartTrackingRefBased/>
  <w15:docId w15:val="{059E9758-123E-4938-ACBA-CCD70095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C6"/>
    <w:rPr>
      <w14:ligatures w14:val="none"/>
    </w:rPr>
  </w:style>
  <w:style w:type="paragraph" w:styleId="Heading1">
    <w:name w:val="heading 1"/>
    <w:basedOn w:val="Normal"/>
    <w:next w:val="Normal"/>
    <w:link w:val="Heading1Char"/>
    <w:uiPriority w:val="9"/>
    <w:qFormat/>
    <w:rsid w:val="006F4DC6"/>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Heading3"/>
    <w:next w:val="Normal"/>
    <w:link w:val="Heading2Char"/>
    <w:uiPriority w:val="9"/>
    <w:unhideWhenUsed/>
    <w:qFormat/>
    <w:rsid w:val="006F4DC6"/>
    <w:pPr>
      <w:spacing w:before="120" w:after="120" w:line="240" w:lineRule="auto"/>
      <w:outlineLvl w:val="1"/>
    </w:pPr>
    <w:rPr>
      <w:b w:val="0"/>
      <w:i w:val="0"/>
      <w:iCs w:val="0"/>
      <w:sz w:val="24"/>
      <w:szCs w:val="24"/>
    </w:rPr>
  </w:style>
  <w:style w:type="paragraph" w:styleId="Heading3">
    <w:name w:val="heading 3"/>
    <w:basedOn w:val="Heading4"/>
    <w:next w:val="Normal"/>
    <w:link w:val="Heading3Char"/>
    <w:uiPriority w:val="9"/>
    <w:unhideWhenUsed/>
    <w:qFormat/>
    <w:rsid w:val="006F4DC6"/>
    <w:pPr>
      <w:spacing w:before="160" w:after="160"/>
      <w:outlineLvl w:val="2"/>
    </w:pPr>
    <w:rPr>
      <w:b/>
      <w:bCs/>
    </w:rPr>
  </w:style>
  <w:style w:type="paragraph" w:styleId="Heading4">
    <w:name w:val="heading 4"/>
    <w:basedOn w:val="Normal"/>
    <w:next w:val="Normal"/>
    <w:link w:val="Heading4Char"/>
    <w:uiPriority w:val="9"/>
    <w:semiHidden/>
    <w:unhideWhenUsed/>
    <w:qFormat/>
    <w:rsid w:val="006F4D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C6"/>
    <w:rPr>
      <w:rFonts w:asciiTheme="majorHAnsi" w:eastAsiaTheme="majorEastAsia" w:hAnsiTheme="majorHAnsi" w:cstheme="majorBidi"/>
      <w:color w:val="2F5496" w:themeColor="accent1" w:themeShade="BF"/>
      <w:sz w:val="28"/>
      <w:szCs w:val="32"/>
      <w14:ligatures w14:val="none"/>
    </w:rPr>
  </w:style>
  <w:style w:type="character" w:customStyle="1" w:styleId="Heading2Char">
    <w:name w:val="Heading 2 Char"/>
    <w:basedOn w:val="DefaultParagraphFont"/>
    <w:link w:val="Heading2"/>
    <w:uiPriority w:val="9"/>
    <w:rsid w:val="006F4DC6"/>
    <w:rPr>
      <w:rFonts w:asciiTheme="majorHAnsi" w:eastAsiaTheme="majorEastAsia" w:hAnsiTheme="majorHAnsi" w:cstheme="majorBidi"/>
      <w:bCs/>
      <w:color w:val="2F5496" w:themeColor="accent1" w:themeShade="BF"/>
      <w:sz w:val="24"/>
      <w:szCs w:val="24"/>
      <w14:ligatures w14:val="none"/>
    </w:rPr>
  </w:style>
  <w:style w:type="character" w:customStyle="1" w:styleId="Heading3Char">
    <w:name w:val="Heading 3 Char"/>
    <w:basedOn w:val="DefaultParagraphFont"/>
    <w:link w:val="Heading3"/>
    <w:uiPriority w:val="9"/>
    <w:rsid w:val="006F4DC6"/>
    <w:rPr>
      <w:rFonts w:asciiTheme="majorHAnsi" w:eastAsiaTheme="majorEastAsia" w:hAnsiTheme="majorHAnsi" w:cstheme="majorBidi"/>
      <w:b/>
      <w:bCs/>
      <w:i/>
      <w:iCs/>
      <w:color w:val="2F5496" w:themeColor="accent1" w:themeShade="BF"/>
      <w14:ligatures w14:val="none"/>
    </w:rPr>
  </w:style>
  <w:style w:type="paragraph" w:styleId="ListParagraph">
    <w:name w:val="List Paragraph"/>
    <w:aliases w:val="List Paragraph1,Recommendation,List Paragraph11,L,DDM Gen Text,1 heading,NFP GP Bulleted List,Dot pt,Bullet point,bullet point list,Dot point 1.5 line spacing,List Paragraph - bullets,Rec para,CV text,F5 List Paragraph,Bullet 1,Table text"/>
    <w:basedOn w:val="Normal"/>
    <w:link w:val="ListParagraphChar"/>
    <w:uiPriority w:val="34"/>
    <w:qFormat/>
    <w:rsid w:val="006F4DC6"/>
    <w:pPr>
      <w:ind w:left="720"/>
      <w:contextualSpacing/>
    </w:pPr>
  </w:style>
  <w:style w:type="character" w:styleId="Strong">
    <w:name w:val="Strong"/>
    <w:basedOn w:val="DefaultParagraphFont"/>
    <w:uiPriority w:val="22"/>
    <w:qFormat/>
    <w:rsid w:val="006F4DC6"/>
    <w:rPr>
      <w:b/>
      <w:bCs/>
    </w:rPr>
  </w:style>
  <w:style w:type="character" w:styleId="CommentReference">
    <w:name w:val="annotation reference"/>
    <w:basedOn w:val="DefaultParagraphFont"/>
    <w:uiPriority w:val="99"/>
    <w:semiHidden/>
    <w:unhideWhenUsed/>
    <w:rsid w:val="006F4DC6"/>
    <w:rPr>
      <w:sz w:val="16"/>
      <w:szCs w:val="16"/>
    </w:rPr>
  </w:style>
  <w:style w:type="paragraph" w:styleId="CommentText">
    <w:name w:val="annotation text"/>
    <w:basedOn w:val="Normal"/>
    <w:link w:val="CommentTextChar"/>
    <w:uiPriority w:val="99"/>
    <w:unhideWhenUsed/>
    <w:rsid w:val="006F4DC6"/>
    <w:pPr>
      <w:spacing w:line="240" w:lineRule="auto"/>
    </w:pPr>
    <w:rPr>
      <w:sz w:val="20"/>
      <w:szCs w:val="20"/>
    </w:rPr>
  </w:style>
  <w:style w:type="character" w:customStyle="1" w:styleId="CommentTextChar">
    <w:name w:val="Comment Text Char"/>
    <w:basedOn w:val="DefaultParagraphFont"/>
    <w:link w:val="CommentText"/>
    <w:uiPriority w:val="99"/>
    <w:rsid w:val="006F4DC6"/>
    <w:rPr>
      <w:sz w:val="20"/>
      <w:szCs w:val="20"/>
      <w14:ligatures w14:val="none"/>
    </w:rPr>
  </w:style>
  <w:style w:type="paragraph" w:styleId="Header">
    <w:name w:val="header"/>
    <w:basedOn w:val="Normal"/>
    <w:link w:val="HeaderChar"/>
    <w:uiPriority w:val="99"/>
    <w:unhideWhenUsed/>
    <w:rsid w:val="006F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C6"/>
    <w:rPr>
      <w14:ligatures w14:val="none"/>
    </w:rPr>
  </w:style>
  <w:style w:type="paragraph" w:styleId="Footer">
    <w:name w:val="footer"/>
    <w:basedOn w:val="Normal"/>
    <w:link w:val="FooterChar"/>
    <w:uiPriority w:val="99"/>
    <w:unhideWhenUsed/>
    <w:rsid w:val="006F4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C6"/>
    <w:rPr>
      <w14:ligatures w14:val="none"/>
    </w:rPr>
  </w:style>
  <w:style w:type="character" w:customStyle="1" w:styleId="ListParagraphChar">
    <w:name w:val="List Paragraph Char"/>
    <w:aliases w:val="List Paragraph1 Char,Recommendation Char,List Paragraph11 Char,L Char,DDM Gen Text Char,1 heading Char,NFP GP Bulleted List Char,Dot pt Char,Bullet point Char,bullet point list Char,Dot point 1.5 line spacing Char,Rec para Char"/>
    <w:basedOn w:val="DefaultParagraphFont"/>
    <w:link w:val="ListParagraph"/>
    <w:uiPriority w:val="34"/>
    <w:qFormat/>
    <w:locked/>
    <w:rsid w:val="006F4DC6"/>
    <w:rPr>
      <w14:ligatures w14:val="none"/>
    </w:rPr>
  </w:style>
  <w:style w:type="paragraph" w:styleId="Caption">
    <w:name w:val="caption"/>
    <w:basedOn w:val="Normal"/>
    <w:next w:val="Normal"/>
    <w:uiPriority w:val="35"/>
    <w:unhideWhenUsed/>
    <w:qFormat/>
    <w:rsid w:val="006F4DC6"/>
    <w:pPr>
      <w:spacing w:after="0" w:line="240" w:lineRule="auto"/>
      <w:jc w:val="both"/>
    </w:pPr>
    <w:rPr>
      <w:iCs/>
      <w:sz w:val="20"/>
      <w:szCs w:val="18"/>
    </w:rPr>
  </w:style>
  <w:style w:type="paragraph" w:styleId="NormalWeb">
    <w:name w:val="Normal (Web)"/>
    <w:basedOn w:val="Normal"/>
    <w:uiPriority w:val="99"/>
    <w:unhideWhenUsed/>
    <w:rsid w:val="006F4DC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4Char">
    <w:name w:val="Heading 4 Char"/>
    <w:basedOn w:val="DefaultParagraphFont"/>
    <w:link w:val="Heading4"/>
    <w:uiPriority w:val="9"/>
    <w:semiHidden/>
    <w:rsid w:val="006F4DC6"/>
    <w:rPr>
      <w:rFonts w:asciiTheme="majorHAnsi" w:eastAsiaTheme="majorEastAsia" w:hAnsiTheme="majorHAnsi" w:cstheme="majorBidi"/>
      <w:i/>
      <w:iCs/>
      <w:color w:val="2F5496" w:themeColor="accent1" w:themeShade="BF"/>
      <w14:ligatures w14:val="none"/>
    </w:rPr>
  </w:style>
  <w:style w:type="character" w:styleId="LineNumber">
    <w:name w:val="line number"/>
    <w:basedOn w:val="DefaultParagraphFont"/>
    <w:uiPriority w:val="99"/>
    <w:semiHidden/>
    <w:unhideWhenUsed/>
    <w:rsid w:val="006F4DC6"/>
  </w:style>
  <w:style w:type="paragraph" w:styleId="Revision">
    <w:name w:val="Revision"/>
    <w:hidden/>
    <w:uiPriority w:val="99"/>
    <w:semiHidden/>
    <w:rsid w:val="00A645C4"/>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B4CEB2E754710A1B3CF6F74E1CEFA"/>
        <w:category>
          <w:name w:val="General"/>
          <w:gallery w:val="placeholder"/>
        </w:category>
        <w:types>
          <w:type w:val="bbPlcHdr"/>
        </w:types>
        <w:behaviors>
          <w:behavior w:val="content"/>
        </w:behaviors>
        <w:guid w:val="{F735664B-BA71-4DE6-A1FB-C51CA987785A}"/>
      </w:docPartPr>
      <w:docPartBody>
        <w:p w:rsidR="0042178D" w:rsidRDefault="0042178D" w:rsidP="0042178D">
          <w:pPr>
            <w:pStyle w:val="592B4CEB2E754710A1B3CF6F74E1CEFA"/>
          </w:pPr>
          <w:r w:rsidRPr="00E344F0">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8D"/>
    <w:rsid w:val="003E1897"/>
    <w:rsid w:val="0042178D"/>
    <w:rsid w:val="008A2206"/>
    <w:rsid w:val="00E43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8D"/>
    <w:rPr>
      <w:color w:val="808080"/>
    </w:rPr>
  </w:style>
  <w:style w:type="paragraph" w:customStyle="1" w:styleId="592B4CEB2E754710A1B3CF6F74E1CEFA">
    <w:name w:val="592B4CEB2E754710A1B3CF6F74E1CEFA"/>
    <w:rsid w:val="00421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999106F6D143A0087D9AC0811621" ma:contentTypeVersion="14" ma:contentTypeDescription="Create a new document." ma:contentTypeScope="" ma:versionID="a8615088c39b0e4ec40a0e4285c884dd">
  <xsd:schema xmlns:xsd="http://www.w3.org/2001/XMLSchema" xmlns:xs="http://www.w3.org/2001/XMLSchema" xmlns:p="http://schemas.microsoft.com/office/2006/metadata/properties" xmlns:ns1="http://schemas.microsoft.com/sharepoint/v3" xmlns:ns2="3d71ce2b-03e6-48bb-82ca-3532c93441bc" xmlns:ns3="1d31fcf4-f668-4708-8a49-28589b7bcb0b" targetNamespace="http://schemas.microsoft.com/office/2006/metadata/properties" ma:root="true" ma:fieldsID="2eb11f0a65d05d6eb794c3ae17a86d85" ns1:_="" ns2:_="" ns3:_="">
    <xsd:import namespace="http://schemas.microsoft.com/sharepoint/v3"/>
    <xsd:import namespace="3d71ce2b-03e6-48bb-82ca-3532c93441bc"/>
    <xsd:import namespace="1d31fcf4-f668-4708-8a49-28589b7bcb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1ce2b-03e6-48bb-82ca-3532c9344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13b4810-26ab-499b-8b22-6634a791f65b}" ma:internalName="TaxCatchAll" ma:showField="CatchAllData" ma:web="3d71ce2b-03e6-48bb-82ca-3532c93441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31fcf4-f668-4708-8a49-28589b7bc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e4dd597-fe34-4389-95e2-7f45f8acd3a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d31fcf4-f668-4708-8a49-28589b7bcb0b">
      <Terms xmlns="http://schemas.microsoft.com/office/infopath/2007/PartnerControls"/>
    </lcf76f155ced4ddcb4097134ff3c332f>
    <TaxCatchAll xmlns="3d71ce2b-03e6-48bb-82ca-3532c93441bc" xsi:nil="true"/>
  </documentManagement>
</p:properties>
</file>

<file path=customXml/itemProps1.xml><?xml version="1.0" encoding="utf-8"?>
<ds:datastoreItem xmlns:ds="http://schemas.openxmlformats.org/officeDocument/2006/customXml" ds:itemID="{2F4B205F-4128-4136-B3EF-B490A1B5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71ce2b-03e6-48bb-82ca-3532c93441bc"/>
    <ds:schemaRef ds:uri="1d31fcf4-f668-4708-8a49-28589b7bc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478B2-354F-4975-9B2F-D1A966D037D2}">
  <ds:schemaRefs>
    <ds:schemaRef ds:uri="http://schemas.microsoft.com/sharepoint/v3/contenttype/forms"/>
  </ds:schemaRefs>
</ds:datastoreItem>
</file>

<file path=customXml/itemProps3.xml><?xml version="1.0" encoding="utf-8"?>
<ds:datastoreItem xmlns:ds="http://schemas.openxmlformats.org/officeDocument/2006/customXml" ds:itemID="{B6060796-603A-4A70-BA00-777B8AAB9F3B}">
  <ds:schemaRefs>
    <ds:schemaRef ds:uri="http://purl.org/dc/dcmitype/"/>
    <ds:schemaRef ds:uri="http://schemas.microsoft.com/sharepoint/v3"/>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d31fcf4-f668-4708-8a49-28589b7bcb0b"/>
    <ds:schemaRef ds:uri="3d71ce2b-03e6-48bb-82ca-3532c93441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8673</Characters>
  <Application>Microsoft Office Word</Application>
  <DocSecurity>0</DocSecurity>
  <Lines>234</Lines>
  <Paragraphs>116</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Matthews</dc:creator>
  <cp:keywords>[SEC=UNOFFICIAL]</cp:keywords>
  <dc:description/>
  <cp:lastModifiedBy>Sam Matthews</cp:lastModifiedBy>
  <cp:revision>2</cp:revision>
  <dcterms:created xsi:type="dcterms:W3CDTF">2024-02-01T06:32:00Z</dcterms:created>
  <dcterms:modified xsi:type="dcterms:W3CDTF">2024-02-01T06:32:00Z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v=2022.1;a=SHA256;h=843792FB697A120C9ECA2E04D9AA4E7FE4DFA54E396253B5D88139C59BFFAEAD</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ProtectiveMarkingValue_Header">
    <vt:lpwstr>UNOFFICIAL</vt:lpwstr>
  </property>
  <property fmtid="{D5CDD505-2E9C-101B-9397-08002B2CF9AE}" pid="10" name="PM_OriginationTimeStamp">
    <vt:lpwstr>2023-10-08T23:04:26Z</vt:lpwstr>
  </property>
  <property fmtid="{D5CDD505-2E9C-101B-9397-08002B2CF9AE}" pid="11" name="PM_Markers">
    <vt:lpwstr/>
  </property>
  <property fmtid="{D5CDD505-2E9C-101B-9397-08002B2CF9AE}" pid="12" name="PM_InsertionValue">
    <vt:lpwstr>UNOFFICIAL</vt:lpwstr>
  </property>
  <property fmtid="{D5CDD505-2E9C-101B-9397-08002B2CF9AE}" pid="13" name="PM_Originator_Hash_SHA1">
    <vt:lpwstr>6F0737FA7809934E2151D77C1194BF5E7E19A03E</vt:lpwstr>
  </property>
  <property fmtid="{D5CDD505-2E9C-101B-9397-08002B2CF9AE}" pid="14" name="PM_DisplayValueSecClassificationWithQualifier">
    <vt:lpwstr>UNOFFICIAL</vt:lpwstr>
  </property>
  <property fmtid="{D5CDD505-2E9C-101B-9397-08002B2CF9AE}" pid="15" name="PM_Originating_FileId">
    <vt:lpwstr>6AE8DCF0F0694B399B1017A927867377</vt:lpwstr>
  </property>
  <property fmtid="{D5CDD505-2E9C-101B-9397-08002B2CF9AE}" pid="16" name="PM_ProtectiveMarkingValue_Footer">
    <vt:lpwstr>UNOFFICIAL</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UNOFFICIAL</vt:lpwstr>
  </property>
  <property fmtid="{D5CDD505-2E9C-101B-9397-08002B2CF9AE}" pid="20" name="PM_OriginatorUserAccountName_SHA256">
    <vt:lpwstr>1504A7D3294EE2C3C19A37327D9E5A9BF83943FAB658EBCEA1502C6D92BE89E1</vt:lpwstr>
  </property>
  <property fmtid="{D5CDD505-2E9C-101B-9397-08002B2CF9AE}" pid="21" name="PM_OriginatorDomainName_SHA256">
    <vt:lpwstr>9A988350159DC73E2A571A8555265440416A0328BBAEAAFA2FE6270B587BE976</vt:lpwstr>
  </property>
  <property fmtid="{D5CDD505-2E9C-101B-9397-08002B2CF9AE}" pid="22" name="PMUuid">
    <vt:lpwstr>v=2022.2;d=gov.au;g=65417EFE-F3B9-5E66-BD91-1E689FEC2EA6</vt:lpwstr>
  </property>
  <property fmtid="{D5CDD505-2E9C-101B-9397-08002B2CF9AE}" pid="23" name="PM_Hash_Version">
    <vt:lpwstr>2022.1</vt:lpwstr>
  </property>
  <property fmtid="{D5CDD505-2E9C-101B-9397-08002B2CF9AE}" pid="24" name="PM_Hash_Salt_Prev">
    <vt:lpwstr>49FED76240287BF4B4E1ECE70A2373BB</vt:lpwstr>
  </property>
  <property fmtid="{D5CDD505-2E9C-101B-9397-08002B2CF9AE}" pid="25" name="PM_Hash_Salt">
    <vt:lpwstr>B08C81FB0B18D0F94085B6ABE73506F9</vt:lpwstr>
  </property>
  <property fmtid="{D5CDD505-2E9C-101B-9397-08002B2CF9AE}" pid="26" name="PM_Hash_SHA1">
    <vt:lpwstr>E40B059A9D07CBFB4668230B44FA8EEAE6C092F3</vt:lpwstr>
  </property>
  <property fmtid="{D5CDD505-2E9C-101B-9397-08002B2CF9AE}" pid="27" name="ContentTypeId">
    <vt:lpwstr>0x0101004458999106F6D143A0087D9AC0811621</vt:lpwstr>
  </property>
  <property fmtid="{D5CDD505-2E9C-101B-9397-08002B2CF9AE}" pid="28" name="MediaServiceImageTags">
    <vt:lpwstr/>
  </property>
  <property fmtid="{D5CDD505-2E9C-101B-9397-08002B2CF9AE}" pid="29" name="PM_SecurityClassification_Prev">
    <vt:lpwstr>UNOFFICIAL</vt:lpwstr>
  </property>
  <property fmtid="{D5CDD505-2E9C-101B-9397-08002B2CF9AE}" pid="30" name="PM_Qualifier_Prev">
    <vt:lpwstr/>
  </property>
</Properties>
</file>