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AD2D" w14:textId="77777777" w:rsidR="00492840" w:rsidRPr="00341563" w:rsidRDefault="00492840" w:rsidP="00FC179A">
      <w:pPr>
        <w:pStyle w:val="Heading1"/>
        <w:spacing w:line="480" w:lineRule="auto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341563">
        <w:rPr>
          <w:rFonts w:ascii="Times New Roman" w:hAnsi="Times New Roman" w:cs="Times New Roman"/>
          <w:b/>
          <w:color w:val="auto"/>
          <w:sz w:val="36"/>
          <w:szCs w:val="36"/>
        </w:rPr>
        <w:t>S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1 </w:t>
      </w:r>
      <w:r w:rsidR="006A4D58">
        <w:rPr>
          <w:rFonts w:ascii="Times New Roman" w:hAnsi="Times New Roman" w:cs="Times New Roman"/>
          <w:b/>
          <w:color w:val="auto"/>
          <w:sz w:val="36"/>
          <w:szCs w:val="36"/>
        </w:rPr>
        <w:t>Text</w:t>
      </w:r>
      <w:r w:rsidRPr="00341563">
        <w:rPr>
          <w:rFonts w:ascii="Times New Roman" w:hAnsi="Times New Roman" w:cs="Times New Roman"/>
          <w:b/>
          <w:color w:val="auto"/>
          <w:sz w:val="36"/>
          <w:szCs w:val="36"/>
        </w:rPr>
        <w:t>: Methods</w:t>
      </w:r>
    </w:p>
    <w:p w14:paraId="4A4A62A6" w14:textId="77777777" w:rsidR="00492840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2B76933" w14:textId="77777777" w:rsidR="00492840" w:rsidRDefault="00492840" w:rsidP="00FC179A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41563">
        <w:rPr>
          <w:rFonts w:ascii="Times New Roman" w:hAnsi="Times New Roman" w:cs="Times New Roman"/>
          <w:b/>
          <w:color w:val="auto"/>
          <w:sz w:val="32"/>
          <w:szCs w:val="32"/>
        </w:rPr>
        <w:t xml:space="preserve">Human ancient DNA analysis </w:t>
      </w:r>
    </w:p>
    <w:p w14:paraId="714B9CC5" w14:textId="77777777" w:rsidR="00492840" w:rsidRPr="00341563" w:rsidRDefault="00492840" w:rsidP="00FC179A">
      <w:pPr>
        <w:spacing w:line="480" w:lineRule="auto"/>
      </w:pPr>
    </w:p>
    <w:p w14:paraId="7CCA2A33" w14:textId="6AE6B62F" w:rsidR="00492840" w:rsidRDefault="00492840" w:rsidP="00FC179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FE849F7">
        <w:rPr>
          <w:rFonts w:ascii="Times New Roman" w:hAnsi="Times New Roman" w:cs="Times New Roman"/>
          <w:sz w:val="24"/>
          <w:szCs w:val="24"/>
        </w:rPr>
        <w:t>The inhum</w:t>
      </w:r>
      <w:r w:rsidR="00C30336">
        <w:rPr>
          <w:rFonts w:ascii="Times New Roman" w:hAnsi="Times New Roman" w:cs="Times New Roman"/>
          <w:sz w:val="24"/>
          <w:szCs w:val="24"/>
        </w:rPr>
        <w:t>ed</w:t>
      </w:r>
      <w:r w:rsidRPr="3FE849F7">
        <w:rPr>
          <w:rFonts w:ascii="Times New Roman" w:hAnsi="Times New Roman" w:cs="Times New Roman"/>
          <w:sz w:val="24"/>
          <w:szCs w:val="24"/>
        </w:rPr>
        <w:t xml:space="preserve"> individuals from </w:t>
      </w:r>
      <w:r w:rsidRPr="3FE849F7">
        <w:rPr>
          <w:rFonts w:ascii="Times New Roman" w:hAnsi="Times New Roman" w:cs="Times New Roman"/>
          <w:i/>
          <w:iCs/>
          <w:sz w:val="24"/>
          <w:szCs w:val="24"/>
        </w:rPr>
        <w:t xml:space="preserve">Seminario </w:t>
      </w:r>
      <w:proofErr w:type="spellStart"/>
      <w:r w:rsidRPr="3FE849F7">
        <w:rPr>
          <w:rFonts w:ascii="Times New Roman" w:hAnsi="Times New Roman" w:cs="Times New Roman"/>
          <w:i/>
          <w:iCs/>
          <w:sz w:val="24"/>
          <w:szCs w:val="24"/>
        </w:rPr>
        <w:t>Vescovile</w:t>
      </w:r>
      <w:proofErr w:type="spellEnd"/>
      <w:r w:rsidRPr="3FE849F7">
        <w:rPr>
          <w:rFonts w:ascii="Times New Roman" w:hAnsi="Times New Roman" w:cs="Times New Roman"/>
          <w:sz w:val="24"/>
          <w:szCs w:val="24"/>
        </w:rPr>
        <w:t xml:space="preserve"> first </w:t>
      </w:r>
      <w:r w:rsidR="00C30336">
        <w:rPr>
          <w:rFonts w:ascii="Times New Roman" w:hAnsi="Times New Roman" w:cs="Times New Roman"/>
          <w:sz w:val="24"/>
          <w:szCs w:val="24"/>
        </w:rPr>
        <w:t xml:space="preserve">underwent a </w:t>
      </w:r>
      <w:r w:rsidRPr="3FE849F7">
        <w:rPr>
          <w:rFonts w:ascii="Times New Roman" w:hAnsi="Times New Roman" w:cs="Times New Roman"/>
          <w:sz w:val="24"/>
          <w:szCs w:val="24"/>
        </w:rPr>
        <w:t>molecular screening in order to assess the authenticity and preservation of the ancient DNA</w:t>
      </w:r>
      <w:r w:rsidR="00B87E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7EBC">
        <w:rPr>
          <w:rFonts w:ascii="Times New Roman" w:hAnsi="Times New Roman" w:cs="Times New Roman"/>
          <w:sz w:val="24"/>
          <w:szCs w:val="24"/>
        </w:rPr>
        <w:t>aDNA</w:t>
      </w:r>
      <w:proofErr w:type="spellEnd"/>
      <w:r w:rsidR="00B87EBC">
        <w:rPr>
          <w:rFonts w:ascii="Times New Roman" w:hAnsi="Times New Roman" w:cs="Times New Roman"/>
          <w:sz w:val="24"/>
          <w:szCs w:val="24"/>
        </w:rPr>
        <w:t>)</w:t>
      </w:r>
      <w:r w:rsidRPr="3FE849F7">
        <w:rPr>
          <w:rFonts w:ascii="Times New Roman" w:hAnsi="Times New Roman" w:cs="Times New Roman"/>
          <w:sz w:val="24"/>
          <w:szCs w:val="24"/>
        </w:rPr>
        <w:t xml:space="preserve">. </w:t>
      </w:r>
      <w:r w:rsidRPr="3FE849F7">
        <w:rPr>
          <w:rFonts w:ascii="Times New Roman" w:hAnsi="Times New Roman" w:cs="Times New Roman"/>
        </w:rPr>
        <w:t>A</w:t>
      </w:r>
      <w:r w:rsidRPr="3FE849F7">
        <w:rPr>
          <w:rFonts w:ascii="Times New Roman" w:hAnsi="Times New Roman" w:cs="Times New Roman"/>
          <w:sz w:val="24"/>
          <w:szCs w:val="24"/>
        </w:rPr>
        <w:t xml:space="preserve">pproximately 150 mg of powdered bone was collected from the inner part of the Pars </w:t>
      </w:r>
      <w:r w:rsidR="00C30336">
        <w:rPr>
          <w:rFonts w:ascii="Times New Roman" w:hAnsi="Times New Roman" w:cs="Times New Roman"/>
          <w:sz w:val="24"/>
          <w:szCs w:val="24"/>
        </w:rPr>
        <w:t>p</w:t>
      </w:r>
      <w:r w:rsidRPr="3FE849F7">
        <w:rPr>
          <w:rFonts w:ascii="Times New Roman" w:hAnsi="Times New Roman" w:cs="Times New Roman"/>
          <w:sz w:val="24"/>
          <w:szCs w:val="24"/>
        </w:rPr>
        <w:t>etrosa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[1]</w:t>
      </w:r>
      <w:r w:rsidRPr="3FE849F7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,</w:t>
      </w:r>
      <w:r w:rsidRPr="3FE849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3FE849F7">
        <w:rPr>
          <w:rFonts w:ascii="Times New Roman" w:hAnsi="Times New Roman" w:cs="Times New Roman"/>
          <w:sz w:val="24"/>
          <w:szCs w:val="24"/>
        </w:rPr>
        <w:t>isolated or still anatomically connected to the skull) for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3FE849F7">
        <w:rPr>
          <w:rFonts w:ascii="Times New Roman" w:hAnsi="Times New Roman" w:cs="Times New Roman"/>
          <w:sz w:val="24"/>
          <w:szCs w:val="24"/>
        </w:rPr>
        <w:t xml:space="preserve"> human samples using a drill in a dedicated pre-PCR area of the </w:t>
      </w:r>
      <w:proofErr w:type="spellStart"/>
      <w:r w:rsidR="00C30336">
        <w:rPr>
          <w:rFonts w:ascii="Times New Roman" w:hAnsi="Times New Roman" w:cs="Times New Roman"/>
          <w:sz w:val="24"/>
          <w:szCs w:val="24"/>
        </w:rPr>
        <w:t>a</w:t>
      </w:r>
      <w:r w:rsidRPr="3FE849F7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3FE849F7">
        <w:rPr>
          <w:rFonts w:ascii="Times New Roman" w:hAnsi="Times New Roman" w:cs="Times New Roman"/>
          <w:sz w:val="24"/>
          <w:szCs w:val="24"/>
        </w:rPr>
        <w:t xml:space="preserve"> laboratory of EURAC in Bolzano (Italy). All necessary precautions for </w:t>
      </w:r>
      <w:proofErr w:type="spellStart"/>
      <w:r w:rsidR="00B87EBC">
        <w:rPr>
          <w:rFonts w:ascii="Times New Roman" w:hAnsi="Times New Roman" w:cs="Times New Roman"/>
          <w:sz w:val="24"/>
          <w:szCs w:val="24"/>
        </w:rPr>
        <w:t>aDNA</w:t>
      </w:r>
      <w:proofErr w:type="spellEnd"/>
      <w:r w:rsidRPr="3FE849F7">
        <w:rPr>
          <w:rFonts w:ascii="Times New Roman" w:hAnsi="Times New Roman" w:cs="Times New Roman"/>
          <w:sz w:val="24"/>
          <w:szCs w:val="24"/>
        </w:rPr>
        <w:t xml:space="preserve"> analyses were taken during the laboratory process. DNA samples were extracted using a modified</w:t>
      </w:r>
      <w:r w:rsidR="00C30336">
        <w:rPr>
          <w:rFonts w:ascii="Times New Roman" w:hAnsi="Times New Roman" w:cs="Times New Roman"/>
          <w:sz w:val="24"/>
          <w:szCs w:val="24"/>
        </w:rPr>
        <w:t>,</w:t>
      </w:r>
      <w:r w:rsidRPr="3FE849F7">
        <w:rPr>
          <w:rFonts w:ascii="Times New Roman" w:hAnsi="Times New Roman" w:cs="Times New Roman"/>
          <w:sz w:val="24"/>
          <w:szCs w:val="24"/>
        </w:rPr>
        <w:t xml:space="preserve"> silica-based method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[2, 3]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FE849F7">
        <w:rPr>
          <w:rFonts w:ascii="Times New Roman" w:hAnsi="Times New Roman" w:cs="Times New Roman"/>
          <w:sz w:val="24"/>
          <w:szCs w:val="24"/>
        </w:rPr>
        <w:t>and double-stranded genomic libraries were then constructed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[4]</w:t>
      </w:r>
      <w:r w:rsidRPr="3FE849F7">
        <w:rPr>
          <w:rFonts w:ascii="Times New Roman" w:hAnsi="Times New Roman" w:cs="Times New Roman"/>
          <w:sz w:val="24"/>
          <w:szCs w:val="24"/>
        </w:rPr>
        <w:t xml:space="preserve"> and sent to an external company (</w:t>
      </w:r>
      <w:proofErr w:type="spellStart"/>
      <w:r w:rsidRPr="003A3670">
        <w:rPr>
          <w:rFonts w:ascii="Times New Roman" w:hAnsi="Times New Roman" w:cs="Times New Roman"/>
          <w:sz w:val="24"/>
          <w:szCs w:val="24"/>
        </w:rPr>
        <w:t>Macrogen</w:t>
      </w:r>
      <w:proofErr w:type="spellEnd"/>
      <w:r w:rsidRPr="003A3670">
        <w:rPr>
          <w:rFonts w:ascii="Times New Roman" w:hAnsi="Times New Roman" w:cs="Times New Roman"/>
          <w:sz w:val="24"/>
          <w:szCs w:val="24"/>
        </w:rPr>
        <w:t xml:space="preserve"> Sequencing Centre</w:t>
      </w:r>
      <w:r w:rsidR="007E1BCB" w:rsidRPr="007E1BCB">
        <w:rPr>
          <w:rFonts w:ascii="Times New Roman" w:hAnsi="Times New Roman" w:cs="Times New Roman"/>
          <w:sz w:val="24"/>
          <w:szCs w:val="24"/>
        </w:rPr>
        <w:t>, Seoul</w:t>
      </w:r>
      <w:r w:rsidRPr="3FE849F7">
        <w:rPr>
          <w:rFonts w:ascii="Times New Roman" w:hAnsi="Times New Roman" w:cs="Times New Roman"/>
          <w:sz w:val="24"/>
          <w:szCs w:val="24"/>
        </w:rPr>
        <w:t xml:space="preserve">) for shotgun sequencing [150bp paired-end (PE) </w:t>
      </w:r>
      <w:proofErr w:type="spellStart"/>
      <w:r w:rsidRPr="3FE849F7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3FE849F7">
        <w:rPr>
          <w:rFonts w:ascii="Times New Roman" w:hAnsi="Times New Roman" w:cs="Times New Roman"/>
          <w:sz w:val="24"/>
          <w:szCs w:val="24"/>
        </w:rPr>
        <w:t>-X systems, Illumina].</w:t>
      </w:r>
    </w:p>
    <w:p w14:paraId="72C1D172" w14:textId="4F912A52" w:rsidR="00492840" w:rsidRPr="004D3C8D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E849F7">
        <w:rPr>
          <w:rFonts w:ascii="Times New Roman" w:hAnsi="Times New Roman" w:cs="Times New Roman"/>
          <w:sz w:val="24"/>
          <w:szCs w:val="24"/>
        </w:rPr>
        <w:t xml:space="preserve">In addition, 11 available samples were analyzed for more than 1.3 million </w:t>
      </w:r>
      <w:r w:rsidRPr="00FA3B42">
        <w:rPr>
          <w:rFonts w:ascii="Times New Roman" w:hAnsi="Times New Roman" w:cs="Times New Roman"/>
          <w:sz w:val="24"/>
          <w:szCs w:val="24"/>
        </w:rPr>
        <w:t xml:space="preserve">SNPs (see </w:t>
      </w:r>
      <w:r w:rsidR="003A084E">
        <w:rPr>
          <w:rFonts w:ascii="Times New Roman" w:hAnsi="Times New Roman" w:cs="Times New Roman"/>
          <w:sz w:val="24"/>
          <w:szCs w:val="24"/>
        </w:rPr>
        <w:t>S</w:t>
      </w:r>
      <w:r w:rsidR="005B5B31">
        <w:rPr>
          <w:rFonts w:ascii="Times New Roman" w:hAnsi="Times New Roman" w:cs="Times New Roman"/>
          <w:sz w:val="24"/>
          <w:szCs w:val="24"/>
        </w:rPr>
        <w:t>4</w:t>
      </w:r>
      <w:r w:rsidR="00E1634A">
        <w:rPr>
          <w:rFonts w:ascii="Times New Roman" w:hAnsi="Times New Roman" w:cs="Times New Roman"/>
          <w:sz w:val="24"/>
          <w:szCs w:val="24"/>
        </w:rPr>
        <w:t xml:space="preserve"> Table</w:t>
      </w:r>
      <w:r w:rsidRPr="00FA3B42">
        <w:rPr>
          <w:rFonts w:ascii="Times New Roman" w:hAnsi="Times New Roman" w:cs="Times New Roman"/>
          <w:sz w:val="24"/>
          <w:szCs w:val="24"/>
        </w:rPr>
        <w:t>)</w:t>
      </w:r>
      <w:r w:rsidRPr="3FE849F7">
        <w:rPr>
          <w:rFonts w:ascii="Times New Roman" w:hAnsi="Times New Roman" w:cs="Times New Roman"/>
          <w:sz w:val="24"/>
          <w:szCs w:val="24"/>
        </w:rPr>
        <w:t xml:space="preserve"> using the in-solution target capture kit "Twist Ancient DNA" (Twist Bioscience) optimized for </w:t>
      </w:r>
      <w:proofErr w:type="spellStart"/>
      <w:r w:rsidRPr="3FE849F7">
        <w:rPr>
          <w:rFonts w:ascii="Times New Roman" w:hAnsi="Times New Roman" w:cs="Times New Roman"/>
          <w:sz w:val="24"/>
          <w:szCs w:val="24"/>
        </w:rPr>
        <w:t>aDNA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[5]</w:t>
      </w:r>
      <w:r w:rsidRPr="3FE849F7">
        <w:rPr>
          <w:rFonts w:ascii="Times New Roman" w:hAnsi="Times New Roman" w:cs="Times New Roman"/>
          <w:sz w:val="24"/>
          <w:szCs w:val="24"/>
        </w:rPr>
        <w:t>. The original protocol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[6]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FE849F7">
        <w:rPr>
          <w:rFonts w:ascii="Times New Roman" w:hAnsi="Times New Roman" w:cs="Times New Roman"/>
          <w:sz w:val="24"/>
          <w:szCs w:val="24"/>
        </w:rPr>
        <w:t xml:space="preserve">was modified by reducing the post-enrichment amplification cycle number from 23 to 15. Then, the enriched samples were sequenced under the same conditions as </w:t>
      </w:r>
      <w:r w:rsidR="003A084E">
        <w:rPr>
          <w:rFonts w:ascii="Times New Roman" w:hAnsi="Times New Roman" w:cs="Times New Roman"/>
          <w:sz w:val="24"/>
          <w:szCs w:val="24"/>
        </w:rPr>
        <w:t xml:space="preserve">the </w:t>
      </w:r>
      <w:r w:rsidRPr="3FE849F7">
        <w:rPr>
          <w:rFonts w:ascii="Times New Roman" w:hAnsi="Times New Roman" w:cs="Times New Roman"/>
          <w:sz w:val="24"/>
          <w:szCs w:val="24"/>
        </w:rPr>
        <w:t xml:space="preserve">shotgun sequencing </w:t>
      </w:r>
      <w:r>
        <w:rPr>
          <w:rFonts w:ascii="Times New Roman" w:hAnsi="Times New Roman" w:cs="Times New Roman"/>
          <w:sz w:val="24"/>
          <w:szCs w:val="24"/>
        </w:rPr>
        <w:t xml:space="preserve">(for all laboratory work raw data, please refer </w:t>
      </w:r>
      <w:r w:rsidRPr="00FA3B42">
        <w:rPr>
          <w:rFonts w:ascii="Times New Roman" w:hAnsi="Times New Roman" w:cs="Times New Roman"/>
          <w:sz w:val="24"/>
          <w:szCs w:val="24"/>
        </w:rPr>
        <w:t xml:space="preserve">to </w:t>
      </w:r>
      <w:r w:rsidR="003A084E" w:rsidRPr="005B5B31">
        <w:rPr>
          <w:rFonts w:ascii="Times New Roman" w:hAnsi="Times New Roman" w:cs="Times New Roman"/>
          <w:sz w:val="24"/>
          <w:szCs w:val="24"/>
        </w:rPr>
        <w:t>S</w:t>
      </w:r>
      <w:r w:rsidR="005B5B31">
        <w:rPr>
          <w:rFonts w:ascii="Times New Roman" w:hAnsi="Times New Roman" w:cs="Times New Roman"/>
          <w:sz w:val="24"/>
          <w:szCs w:val="24"/>
        </w:rPr>
        <w:t>4</w:t>
      </w:r>
      <w:r w:rsidR="005745B8" w:rsidRPr="005B5B31">
        <w:rPr>
          <w:rFonts w:ascii="Times New Roman" w:hAnsi="Times New Roman" w:cs="Times New Roman"/>
          <w:sz w:val="24"/>
          <w:szCs w:val="24"/>
        </w:rPr>
        <w:t xml:space="preserve"> Table</w:t>
      </w:r>
      <w:r w:rsidRPr="005B5B31">
        <w:rPr>
          <w:rFonts w:ascii="Times New Roman" w:hAnsi="Times New Roman" w:cs="Times New Roman"/>
          <w:sz w:val="24"/>
          <w:szCs w:val="24"/>
        </w:rPr>
        <w:t>).</w:t>
      </w:r>
    </w:p>
    <w:p w14:paraId="108D0A6A" w14:textId="0F11597E" w:rsidR="00492840" w:rsidRPr="004D3C8D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C8D"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fastq</w:t>
      </w:r>
      <w:proofErr w:type="spellEnd"/>
      <w:r w:rsidRPr="004D3C8D">
        <w:rPr>
          <w:rFonts w:ascii="Times New Roman" w:hAnsi="Times New Roman" w:cs="Times New Roman"/>
          <w:iCs/>
          <w:sz w:val="24"/>
          <w:szCs w:val="24"/>
        </w:rPr>
        <w:t xml:space="preserve"> files from different libraries and sequencing runs (shotgun and capture) were merged into a single 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fastq</w:t>
      </w:r>
      <w:proofErr w:type="spellEnd"/>
      <w:r w:rsidRPr="004D3C8D">
        <w:rPr>
          <w:rFonts w:ascii="Times New Roman" w:hAnsi="Times New Roman" w:cs="Times New Roman"/>
          <w:iCs/>
          <w:sz w:val="24"/>
          <w:szCs w:val="24"/>
        </w:rPr>
        <w:t xml:space="preserve"> file for each sample.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total 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reads were then </w:t>
      </w:r>
      <w:r>
        <w:rPr>
          <w:rFonts w:ascii="Times New Roman" w:hAnsi="Times New Roman" w:cs="Times New Roman"/>
          <w:iCs/>
          <w:sz w:val="24"/>
          <w:szCs w:val="24"/>
        </w:rPr>
        <w:t xml:space="preserve">trimmed and merged 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using 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fastp</w:t>
      </w:r>
      <w:proofErr w:type="spellEnd"/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[7]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. Using </w:t>
      </w:r>
      <w:r>
        <w:rPr>
          <w:rFonts w:ascii="Times New Roman" w:hAnsi="Times New Roman" w:cs="Times New Roman"/>
          <w:iCs/>
          <w:sz w:val="24"/>
          <w:szCs w:val="24"/>
        </w:rPr>
        <w:t>BWA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[8]</w:t>
      </w:r>
      <w:r w:rsidRPr="004D3C8D">
        <w:rPr>
          <w:rFonts w:ascii="Times New Roman" w:hAnsi="Times New Roman" w:cs="Times New Roman"/>
          <w:iCs/>
          <w:sz w:val="24"/>
          <w:szCs w:val="24"/>
        </w:rPr>
        <w:t>, the reads were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3C8D">
        <w:rPr>
          <w:rFonts w:ascii="Times New Roman" w:hAnsi="Times New Roman" w:cs="Times New Roman"/>
          <w:iCs/>
          <w:sz w:val="24"/>
          <w:szCs w:val="24"/>
        </w:rPr>
        <w:t>aligned to both the Genome Reference Consortium Human Build 37 (hg19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[9]</w:t>
      </w:r>
      <w:r w:rsidRPr="004D3C8D">
        <w:rPr>
          <w:rFonts w:ascii="Times New Roman" w:hAnsi="Times New Roman" w:cs="Times New Roman"/>
          <w:iCs/>
          <w:sz w:val="24"/>
          <w:szCs w:val="24"/>
        </w:rPr>
        <w:t>) and the revised Cambridge Reference Sequence (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rCRS</w:t>
      </w:r>
      <w:proofErr w:type="spellEnd"/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[10]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of the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mitochondrial DNA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mtDNA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with a minimum mapping quality set at 30. Duplicate reads were removed using 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Dedup</w:t>
      </w:r>
      <w:proofErr w:type="spellEnd"/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[11]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MapDamage</w:t>
      </w:r>
      <w:proofErr w:type="spellEnd"/>
      <w:r w:rsidRPr="004D3C8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software </w:t>
      </w:r>
      <w:r w:rsidRPr="004D3C8D">
        <w:rPr>
          <w:rFonts w:ascii="Times New Roman" w:hAnsi="Times New Roman" w:cs="Times New Roman"/>
          <w:iCs/>
          <w:sz w:val="24"/>
          <w:szCs w:val="24"/>
        </w:rPr>
        <w:t>was used to track and quantify damage patterns among the ancient reads, including fragmentation and misincorporation patterns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[12]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5B31">
        <w:rPr>
          <w:rFonts w:ascii="Times New Roman" w:hAnsi="Times New Roman" w:cs="Times New Roman"/>
          <w:iCs/>
          <w:sz w:val="24"/>
          <w:szCs w:val="24"/>
        </w:rPr>
        <w:t>(</w:t>
      </w:r>
      <w:r w:rsidR="003A084E" w:rsidRPr="005B5B31">
        <w:rPr>
          <w:rFonts w:ascii="Times New Roman" w:hAnsi="Times New Roman" w:cs="Times New Roman"/>
          <w:iCs/>
          <w:sz w:val="24"/>
          <w:szCs w:val="24"/>
        </w:rPr>
        <w:t>S</w:t>
      </w:r>
      <w:r w:rsidR="005B5B31">
        <w:rPr>
          <w:rFonts w:ascii="Times New Roman" w:hAnsi="Times New Roman" w:cs="Times New Roman"/>
          <w:iCs/>
          <w:sz w:val="24"/>
          <w:szCs w:val="24"/>
        </w:rPr>
        <w:t>1</w:t>
      </w:r>
      <w:r w:rsidR="005745B8" w:rsidRPr="005B5B31">
        <w:rPr>
          <w:rFonts w:ascii="Times New Roman" w:hAnsi="Times New Roman" w:cs="Times New Roman"/>
          <w:iCs/>
          <w:sz w:val="24"/>
          <w:szCs w:val="24"/>
        </w:rPr>
        <w:t xml:space="preserve"> Fig</w:t>
      </w:r>
      <w:r w:rsidRPr="005B5B31">
        <w:rPr>
          <w:rFonts w:ascii="Times New Roman" w:hAnsi="Times New Roman" w:cs="Times New Roman"/>
          <w:iCs/>
          <w:sz w:val="24"/>
          <w:szCs w:val="24"/>
        </w:rPr>
        <w:t>).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 Contamination estimates </w:t>
      </w:r>
      <w:r>
        <w:rPr>
          <w:rFonts w:ascii="Times New Roman" w:hAnsi="Times New Roman" w:cs="Times New Roman"/>
          <w:iCs/>
          <w:sz w:val="24"/>
          <w:szCs w:val="24"/>
        </w:rPr>
        <w:t xml:space="preserve">from modern human DNA 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were inferred for all samples using 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mtDNA</w:t>
      </w:r>
      <w:proofErr w:type="spellEnd"/>
      <w:r w:rsidRPr="004D3C8D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4D3C8D">
        <w:rPr>
          <w:rFonts w:ascii="Times New Roman" w:hAnsi="Times New Roman" w:cs="Times New Roman"/>
          <w:iCs/>
          <w:sz w:val="24"/>
          <w:szCs w:val="24"/>
        </w:rPr>
        <w:t>Schmutzi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[13]</w:t>
      </w:r>
      <w:r w:rsidR="003A084E">
        <w:rPr>
          <w:rFonts w:ascii="Times New Roman" w:hAnsi="Times New Roman" w:cs="Times New Roman"/>
          <w:iCs/>
          <w:sz w:val="24"/>
          <w:szCs w:val="24"/>
        </w:rPr>
        <w:t xml:space="preserve"> and X-chromosome data (</w:t>
      </w:r>
      <w:r w:rsidR="003A084E" w:rsidRPr="004D3C8D">
        <w:rPr>
          <w:rFonts w:ascii="Times New Roman" w:hAnsi="Times New Roman" w:cs="Times New Roman"/>
          <w:iCs/>
          <w:sz w:val="24"/>
          <w:szCs w:val="24"/>
        </w:rPr>
        <w:t>ANGSD</w:t>
      </w:r>
      <w:r w:rsidR="003A084E">
        <w:rPr>
          <w:rFonts w:ascii="Times New Roman" w:hAnsi="Times New Roman" w:cs="Times New Roman"/>
          <w:iCs/>
          <w:sz w:val="24"/>
          <w:szCs w:val="24"/>
        </w:rPr>
        <w:t>)</w:t>
      </w:r>
      <w:r w:rsidR="003A084E">
        <w:rPr>
          <w:rFonts w:ascii="Times New Roman" w:hAnsi="Times New Roman" w:cs="Times New Roman"/>
          <w:iCs/>
          <w:noProof/>
          <w:sz w:val="24"/>
          <w:szCs w:val="24"/>
        </w:rPr>
        <w:t xml:space="preserve"> [14] </w:t>
      </w:r>
      <w:r w:rsidR="003A084E">
        <w:rPr>
          <w:rFonts w:ascii="Times New Roman" w:hAnsi="Times New Roman" w:cs="Times New Roman"/>
          <w:iCs/>
          <w:sz w:val="24"/>
          <w:szCs w:val="24"/>
        </w:rPr>
        <w:t>was additionally applied to males.</w:t>
      </w:r>
    </w:p>
    <w:p w14:paraId="0DD52BB3" w14:textId="48A67BE6" w:rsidR="00492840" w:rsidRPr="004D3C8D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C8D">
        <w:rPr>
          <w:rFonts w:ascii="Times New Roman" w:hAnsi="Times New Roman" w:cs="Times New Roman"/>
          <w:iCs/>
          <w:sz w:val="24"/>
          <w:szCs w:val="24"/>
        </w:rPr>
        <w:t xml:space="preserve">The genetic sex was estimated </w:t>
      </w:r>
      <w:r w:rsidR="003A084E">
        <w:rPr>
          <w:rFonts w:ascii="Times New Roman" w:hAnsi="Times New Roman" w:cs="Times New Roman"/>
          <w:iCs/>
          <w:sz w:val="24"/>
          <w:szCs w:val="24"/>
        </w:rPr>
        <w:t>using both</w:t>
      </w:r>
      <w:r w:rsidR="007E1BCB" w:rsidRPr="007E1BCB">
        <w:rPr>
          <w:rFonts w:ascii="Times New Roman" w:hAnsi="Times New Roman" w:cs="Times New Roman"/>
          <w:iCs/>
          <w:sz w:val="24"/>
          <w:szCs w:val="24"/>
        </w:rPr>
        <w:t xml:space="preserve"> capture and shotgun data </w:t>
      </w:r>
      <w:r w:rsidRPr="004D3C8D">
        <w:rPr>
          <w:rFonts w:ascii="Times New Roman" w:hAnsi="Times New Roman" w:cs="Times New Roman"/>
          <w:iCs/>
          <w:sz w:val="24"/>
          <w:szCs w:val="24"/>
        </w:rPr>
        <w:t>by calculating the ratio of sequences aligning to the X</w:t>
      </w:r>
      <w:r w:rsidR="008D369E">
        <w:rPr>
          <w:rFonts w:ascii="Times New Roman" w:hAnsi="Times New Roman" w:cs="Times New Roman"/>
          <w:iCs/>
          <w:sz w:val="24"/>
          <w:szCs w:val="24"/>
        </w:rPr>
        <w:t>-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 and Y</w:t>
      </w:r>
      <w:r w:rsidR="008D369E">
        <w:rPr>
          <w:rFonts w:ascii="Times New Roman" w:hAnsi="Times New Roman" w:cs="Times New Roman"/>
          <w:iCs/>
          <w:sz w:val="24"/>
          <w:szCs w:val="24"/>
        </w:rPr>
        <w:t>-</w:t>
      </w:r>
      <w:r w:rsidRPr="004D3C8D">
        <w:rPr>
          <w:rFonts w:ascii="Times New Roman" w:hAnsi="Times New Roman" w:cs="Times New Roman"/>
          <w:iCs/>
          <w:sz w:val="24"/>
          <w:szCs w:val="24"/>
        </w:rPr>
        <w:t>chromosomes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[15, 16]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5FA256E" w14:textId="13950453" w:rsidR="00492840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4D3C8D">
        <w:rPr>
          <w:rFonts w:ascii="Times New Roman" w:hAnsi="Times New Roman" w:cs="Times New Roman"/>
          <w:iCs/>
          <w:sz w:val="24"/>
          <w:szCs w:val="24"/>
        </w:rPr>
        <w:t>iological relatedness</w:t>
      </w:r>
      <w:r>
        <w:rPr>
          <w:rFonts w:ascii="Times New Roman" w:hAnsi="Times New Roman" w:cs="Times New Roman"/>
          <w:iCs/>
          <w:sz w:val="24"/>
          <w:szCs w:val="24"/>
        </w:rPr>
        <w:t xml:space="preserve"> (kinship) 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among the individuals from </w:t>
      </w:r>
      <w:r w:rsidRPr="00880784">
        <w:rPr>
          <w:rFonts w:ascii="Times New Roman" w:hAnsi="Times New Roman" w:cs="Times New Roman"/>
          <w:i/>
          <w:sz w:val="24"/>
          <w:szCs w:val="24"/>
        </w:rPr>
        <w:t xml:space="preserve">Seminario </w:t>
      </w:r>
      <w:proofErr w:type="spellStart"/>
      <w:r w:rsidRPr="00880784">
        <w:rPr>
          <w:rFonts w:ascii="Times New Roman" w:hAnsi="Times New Roman" w:cs="Times New Roman"/>
          <w:i/>
          <w:sz w:val="24"/>
          <w:szCs w:val="24"/>
        </w:rPr>
        <w:t>Vescovile</w:t>
      </w:r>
      <w:proofErr w:type="spellEnd"/>
      <w:r w:rsidRPr="004D3C8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was inferred </w:t>
      </w:r>
      <w:r w:rsidRPr="004D3C8D">
        <w:rPr>
          <w:rFonts w:ascii="Times New Roman" w:hAnsi="Times New Roman" w:cs="Times New Roman"/>
          <w:iCs/>
          <w:sz w:val="24"/>
          <w:szCs w:val="24"/>
        </w:rPr>
        <w:t>using three different methods</w:t>
      </w:r>
      <w:r>
        <w:rPr>
          <w:rFonts w:ascii="Times New Roman" w:hAnsi="Times New Roman" w:cs="Times New Roman"/>
          <w:iCs/>
          <w:sz w:val="24"/>
          <w:szCs w:val="24"/>
        </w:rPr>
        <w:t xml:space="preserve"> developed especially for low-coverage </w:t>
      </w:r>
      <w:proofErr w:type="spellStart"/>
      <w:r w:rsidR="008D369E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DNA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data</w:t>
      </w:r>
      <w:r w:rsidRPr="004D3C8D">
        <w:rPr>
          <w:rFonts w:ascii="Times New Roman" w:hAnsi="Times New Roman" w:cs="Times New Roman"/>
          <w:iCs/>
          <w:sz w:val="24"/>
          <w:szCs w:val="24"/>
        </w:rPr>
        <w:t xml:space="preserve">: READ, TKGWV2, and KIN. </w:t>
      </w:r>
      <w:r>
        <w:rPr>
          <w:rFonts w:ascii="Times New Roman" w:hAnsi="Times New Roman" w:cs="Times New Roman"/>
          <w:iCs/>
          <w:sz w:val="24"/>
          <w:szCs w:val="24"/>
        </w:rPr>
        <w:t>The first (</w:t>
      </w:r>
      <w:r w:rsidRPr="004D3C8D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C8D">
        <w:rPr>
          <w:rFonts w:ascii="Times New Roman" w:hAnsi="Times New Roman" w:cs="Times New Roman"/>
          <w:sz w:val="24"/>
          <w:szCs w:val="24"/>
        </w:rPr>
        <w:t>Relationship Estimation from Ancient DNA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[17]</w:t>
      </w:r>
      <w:r w:rsidRPr="004D3C8D">
        <w:rPr>
          <w:rFonts w:ascii="Times New Roman" w:hAnsi="Times New Roman" w:cs="Times New Roman"/>
          <w:sz w:val="24"/>
          <w:szCs w:val="24"/>
        </w:rPr>
        <w:t>) calculates pairwise mismatch rates in non-overlapping windows across the entire genome using pseudo-haploid data. Normalization was</w:t>
      </w:r>
      <w:r w:rsidR="00AA5479">
        <w:rPr>
          <w:rFonts w:ascii="Times New Roman" w:hAnsi="Times New Roman" w:cs="Times New Roman"/>
          <w:sz w:val="24"/>
          <w:szCs w:val="24"/>
        </w:rPr>
        <w:t xml:space="preserve"> </w:t>
      </w:r>
      <w:r w:rsidRPr="004D3C8D">
        <w:rPr>
          <w:rFonts w:ascii="Times New Roman" w:hAnsi="Times New Roman" w:cs="Times New Roman"/>
          <w:sz w:val="24"/>
          <w:szCs w:val="24"/>
        </w:rPr>
        <w:t>carried out using standard parameters. TKGWV2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[18]</w:t>
      </w:r>
      <w:r w:rsidRPr="004D3C8D">
        <w:rPr>
          <w:rFonts w:ascii="Times New Roman" w:hAnsi="Times New Roman" w:cs="Times New Roman"/>
          <w:sz w:val="24"/>
          <w:szCs w:val="24"/>
        </w:rPr>
        <w:t xml:space="preserve">, on the other hand, </w:t>
      </w:r>
      <w:r>
        <w:rPr>
          <w:rFonts w:ascii="Times New Roman" w:hAnsi="Times New Roman" w:cs="Times New Roman"/>
          <w:sz w:val="24"/>
          <w:szCs w:val="24"/>
        </w:rPr>
        <w:t>utilizes</w:t>
      </w:r>
      <w:r w:rsidRPr="004D3C8D">
        <w:rPr>
          <w:rFonts w:ascii="Times New Roman" w:hAnsi="Times New Roman" w:cs="Times New Roman"/>
          <w:sz w:val="24"/>
          <w:szCs w:val="24"/>
        </w:rPr>
        <w:t xml:space="preserve"> genotype likelihoods and population allele frequencies </w:t>
      </w:r>
      <w:r>
        <w:rPr>
          <w:rFonts w:ascii="Times New Roman" w:hAnsi="Times New Roman" w:cs="Times New Roman"/>
          <w:sz w:val="24"/>
          <w:szCs w:val="24"/>
        </w:rPr>
        <w:t xml:space="preserve">of genome-wide variants </w:t>
      </w:r>
      <w:r w:rsidRPr="0065023E">
        <w:rPr>
          <w:rFonts w:ascii="Times New Roman" w:hAnsi="Times New Roman" w:cs="Times New Roman"/>
          <w:sz w:val="24"/>
          <w:szCs w:val="24"/>
        </w:rPr>
        <w:t>present in the 1000 Genomes Project Phase 3</w:t>
      </w:r>
      <w:r w:rsidRPr="004D3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CD">
        <w:rPr>
          <w:rFonts w:ascii="Times New Roman" w:hAnsi="Times New Roman" w:cs="Times New Roman"/>
          <w:sz w:val="24"/>
          <w:szCs w:val="24"/>
        </w:rPr>
        <w:t>These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CD">
        <w:rPr>
          <w:rFonts w:ascii="Times New Roman" w:hAnsi="Times New Roman" w:cs="Times New Roman"/>
          <w:sz w:val="24"/>
          <w:szCs w:val="24"/>
        </w:rPr>
        <w:t xml:space="preserve">methods </w:t>
      </w:r>
      <w:r>
        <w:rPr>
          <w:rFonts w:ascii="Times New Roman" w:hAnsi="Times New Roman" w:cs="Times New Roman"/>
          <w:sz w:val="24"/>
          <w:szCs w:val="24"/>
        </w:rPr>
        <w:t>allow</w:t>
      </w:r>
      <w:r w:rsidRPr="0037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Pr="003745CD">
        <w:rPr>
          <w:rFonts w:ascii="Times New Roman" w:hAnsi="Times New Roman" w:cs="Times New Roman"/>
          <w:sz w:val="24"/>
          <w:szCs w:val="24"/>
        </w:rPr>
        <w:t xml:space="preserve">to infer </w:t>
      </w:r>
      <w:r>
        <w:rPr>
          <w:rFonts w:ascii="Times New Roman" w:hAnsi="Times New Roman" w:cs="Times New Roman"/>
          <w:sz w:val="24"/>
          <w:szCs w:val="24"/>
        </w:rPr>
        <w:t xml:space="preserve">genetic relatedness only </w:t>
      </w:r>
      <w:r w:rsidRPr="003745CD">
        <w:rPr>
          <w:rFonts w:ascii="Times New Roman" w:hAnsi="Times New Roman" w:cs="Times New Roman"/>
          <w:sz w:val="24"/>
          <w:szCs w:val="24"/>
        </w:rPr>
        <w:t>up to the 2</w:t>
      </w:r>
      <w:r w:rsidRPr="002C79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745CD">
        <w:rPr>
          <w:rFonts w:ascii="Times New Roman" w:hAnsi="Times New Roman" w:cs="Times New Roman"/>
          <w:sz w:val="24"/>
          <w:szCs w:val="24"/>
        </w:rPr>
        <w:t xml:space="preserve"> degree.</w:t>
      </w:r>
      <w:r w:rsidR="00281E19">
        <w:rPr>
          <w:rFonts w:ascii="Times New Roman" w:hAnsi="Times New Roman" w:cs="Times New Roman"/>
          <w:sz w:val="24"/>
          <w:szCs w:val="24"/>
        </w:rPr>
        <w:t xml:space="preserve"> Lastly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C8D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[19]</w:t>
      </w:r>
      <w:r>
        <w:rPr>
          <w:rFonts w:ascii="Times New Roman" w:hAnsi="Times New Roman" w:cs="Times New Roman"/>
          <w:sz w:val="24"/>
          <w:szCs w:val="24"/>
        </w:rPr>
        <w:t>, which uses a</w:t>
      </w:r>
      <w:r w:rsidRPr="004D3C8D">
        <w:rPr>
          <w:rFonts w:ascii="Times New Roman" w:hAnsi="Times New Roman" w:cs="Times New Roman"/>
          <w:sz w:val="24"/>
          <w:szCs w:val="24"/>
        </w:rPr>
        <w:t xml:space="preserve"> Hidden-Markov-Model-based approach</w:t>
      </w:r>
      <w:r>
        <w:rPr>
          <w:rFonts w:ascii="Times New Roman" w:hAnsi="Times New Roman" w:cs="Times New Roman"/>
          <w:sz w:val="24"/>
          <w:szCs w:val="24"/>
        </w:rPr>
        <w:t>, can identify</w:t>
      </w:r>
      <w:r w:rsidRPr="004D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kinship </w:t>
      </w:r>
      <w:r w:rsidRPr="004D3C8D">
        <w:rPr>
          <w:rFonts w:ascii="Times New Roman" w:hAnsi="Times New Roman" w:cs="Times New Roman"/>
          <w:sz w:val="24"/>
          <w:szCs w:val="24"/>
        </w:rPr>
        <w:t xml:space="preserve">up to </w:t>
      </w:r>
      <w:r w:rsidR="00281E19">
        <w:rPr>
          <w:rFonts w:ascii="Times New Roman" w:hAnsi="Times New Roman" w:cs="Times New Roman"/>
          <w:sz w:val="24"/>
          <w:szCs w:val="24"/>
        </w:rPr>
        <w:t xml:space="preserve">the </w:t>
      </w:r>
      <w:r w:rsidRPr="004D3C8D">
        <w:rPr>
          <w:rFonts w:ascii="Times New Roman" w:hAnsi="Times New Roman" w:cs="Times New Roman"/>
          <w:sz w:val="24"/>
          <w:szCs w:val="24"/>
        </w:rPr>
        <w:t>3</w:t>
      </w:r>
      <w:r w:rsidRPr="002C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3C8D">
        <w:rPr>
          <w:rFonts w:ascii="Times New Roman" w:hAnsi="Times New Roman" w:cs="Times New Roman"/>
          <w:sz w:val="24"/>
          <w:szCs w:val="24"/>
        </w:rPr>
        <w:t xml:space="preserve">-degree and distinguishes between sibling and parent-child relationships. </w:t>
      </w:r>
    </w:p>
    <w:p w14:paraId="287AB7AB" w14:textId="77777777" w:rsidR="00492840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4D246" w14:textId="77777777" w:rsidR="00492840" w:rsidRDefault="00492840" w:rsidP="00FC179A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41563">
        <w:rPr>
          <w:rFonts w:ascii="Times New Roman" w:hAnsi="Times New Roman" w:cs="Times New Roman"/>
          <w:b/>
          <w:color w:val="auto"/>
          <w:sz w:val="32"/>
          <w:szCs w:val="32"/>
        </w:rPr>
        <w:t>Radiocarbon analysis</w:t>
      </w:r>
    </w:p>
    <w:p w14:paraId="13636EEC" w14:textId="77777777" w:rsidR="00492840" w:rsidRPr="00341563" w:rsidRDefault="00492840" w:rsidP="00FC179A">
      <w:pPr>
        <w:spacing w:line="480" w:lineRule="auto"/>
      </w:pPr>
    </w:p>
    <w:p w14:paraId="68A2FCA5" w14:textId="57701E1F" w:rsidR="00492840" w:rsidRPr="008B0CD3" w:rsidRDefault="00492840" w:rsidP="00FC179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preparation of the bones followed </w:t>
      </w:r>
      <w:r w:rsidRPr="00135131">
        <w:rPr>
          <w:rFonts w:ascii="Times New Roman" w:hAnsi="Times New Roman" w:cs="Times New Roman"/>
          <w:sz w:val="24"/>
          <w:szCs w:val="24"/>
        </w:rPr>
        <w:t>Szidat et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[20]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E19">
        <w:rPr>
          <w:rFonts w:ascii="Times New Roman" w:hAnsi="Times New Roman" w:cs="Times New Roman"/>
          <w:sz w:val="24"/>
          <w:szCs w:val="24"/>
        </w:rPr>
        <w:t xml:space="preserve">with a slight modification that included </w:t>
      </w:r>
      <w:r w:rsidRPr="00135131">
        <w:rPr>
          <w:rFonts w:ascii="Times New Roman" w:hAnsi="Times New Roman" w:cs="Times New Roman"/>
          <w:sz w:val="24"/>
          <w:szCs w:val="24"/>
        </w:rPr>
        <w:t xml:space="preserve"> an ultrafiltration step</w:t>
      </w:r>
      <w:r>
        <w:rPr>
          <w:rFonts w:ascii="Times New Roman" w:hAnsi="Times New Roman" w:cs="Times New Roman"/>
          <w:sz w:val="24"/>
          <w:szCs w:val="24"/>
        </w:rPr>
        <w:t xml:space="preserve">, as recently </w:t>
      </w:r>
      <w:r w:rsidR="00281E19">
        <w:rPr>
          <w:rFonts w:ascii="Times New Roman" w:hAnsi="Times New Roman" w:cs="Times New Roman"/>
          <w:sz w:val="24"/>
          <w:szCs w:val="24"/>
        </w:rPr>
        <w:t xml:space="preserve">carried </w:t>
      </w:r>
      <w:r w:rsidR="00C00CF3">
        <w:rPr>
          <w:rFonts w:ascii="Times New Roman" w:hAnsi="Times New Roman" w:cs="Times New Roman"/>
          <w:sz w:val="24"/>
          <w:szCs w:val="24"/>
        </w:rPr>
        <w:t>out</w:t>
      </w:r>
      <w:r w:rsidR="0028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Steuri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[21]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CD3">
        <w:rPr>
          <w:rFonts w:ascii="Times New Roman" w:hAnsi="Times New Roman" w:cs="Times New Roman"/>
          <w:sz w:val="24"/>
          <w:szCs w:val="24"/>
        </w:rPr>
        <w:t>The bones were cleaned by ultra</w:t>
      </w:r>
      <w:r w:rsidR="00C00CF3">
        <w:rPr>
          <w:rFonts w:ascii="Times New Roman" w:hAnsi="Times New Roman" w:cs="Times New Roman"/>
          <w:sz w:val="24"/>
          <w:szCs w:val="24"/>
        </w:rPr>
        <w:t>-</w:t>
      </w:r>
      <w:r w:rsidRPr="008B0CD3">
        <w:rPr>
          <w:rFonts w:ascii="Times New Roman" w:hAnsi="Times New Roman" w:cs="Times New Roman"/>
          <w:sz w:val="24"/>
          <w:szCs w:val="24"/>
        </w:rPr>
        <w:t xml:space="preserve">sonication in ultra-pure water and ground to 0.5–1 mm with a ball mill. The chemical treatment included the following steps: 0.5 mol/L hydrochloric acid (HCl) for 60 </w:t>
      </w:r>
      <w:proofErr w:type="spellStart"/>
      <w:r w:rsidRPr="008B0CD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8B0CD3">
        <w:rPr>
          <w:rFonts w:ascii="Times New Roman" w:hAnsi="Times New Roman" w:cs="Times New Roman"/>
          <w:sz w:val="24"/>
          <w:szCs w:val="24"/>
        </w:rPr>
        <w:t xml:space="preserve">, </w:t>
      </w:r>
      <w:r w:rsidRPr="008B0CD3">
        <w:rPr>
          <w:rFonts w:ascii="Times New Roman" w:hAnsi="Times New Roman" w:cs="Times New Roman"/>
          <w:sz w:val="24"/>
          <w:szCs w:val="24"/>
        </w:rPr>
        <w:lastRenderedPageBreak/>
        <w:t xml:space="preserve">0.25 mol/L sodium hydroxide (NaOH) for 1 </w:t>
      </w:r>
      <w:proofErr w:type="spellStart"/>
      <w:r w:rsidRPr="008B0CD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8B0CD3">
        <w:rPr>
          <w:rFonts w:ascii="Times New Roman" w:hAnsi="Times New Roman" w:cs="Times New Roman"/>
          <w:sz w:val="24"/>
          <w:szCs w:val="24"/>
        </w:rPr>
        <w:t xml:space="preserve">, 0.5 mol/L HCl for 1 </w:t>
      </w:r>
      <w:proofErr w:type="spellStart"/>
      <w:r w:rsidRPr="008B0CD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8B0CD3">
        <w:rPr>
          <w:rFonts w:ascii="Times New Roman" w:hAnsi="Times New Roman" w:cs="Times New Roman"/>
          <w:sz w:val="24"/>
          <w:szCs w:val="24"/>
        </w:rPr>
        <w:t>, followed by a gelatinization in diluted HCl at pH 3 and 60°C overnight. The warm solution was filtered using pre</w:t>
      </w:r>
      <w:r w:rsidR="00C00CF3">
        <w:rPr>
          <w:rFonts w:ascii="Times New Roman" w:hAnsi="Times New Roman" w:cs="Times New Roman"/>
          <w:sz w:val="24"/>
          <w:szCs w:val="24"/>
        </w:rPr>
        <w:t>-</w:t>
      </w:r>
      <w:r w:rsidRPr="008B0CD3">
        <w:rPr>
          <w:rFonts w:ascii="Times New Roman" w:hAnsi="Times New Roman" w:cs="Times New Roman"/>
          <w:sz w:val="24"/>
          <w:szCs w:val="24"/>
        </w:rPr>
        <w:t>cleaned Ezee-Filters</w:t>
      </w:r>
      <w:r w:rsidR="00C00CF3">
        <w:rPr>
          <w:rFonts w:ascii="Times New Roman" w:hAnsi="Times New Roman" w:cs="Times New Roman"/>
          <w:sz w:val="24"/>
          <w:szCs w:val="24"/>
        </w:rPr>
        <w:t xml:space="preserve"> and</w:t>
      </w:r>
      <w:r w:rsidRPr="008B0CD3">
        <w:rPr>
          <w:rFonts w:ascii="Times New Roman" w:hAnsi="Times New Roman" w:cs="Times New Roman"/>
          <w:sz w:val="24"/>
          <w:szCs w:val="24"/>
        </w:rPr>
        <w:t xml:space="preserve"> ultrafiltration was performed with </w:t>
      </w:r>
      <w:proofErr w:type="spellStart"/>
      <w:r w:rsidRPr="008B0CD3">
        <w:rPr>
          <w:rFonts w:ascii="Times New Roman" w:hAnsi="Times New Roman" w:cs="Times New Roman"/>
          <w:sz w:val="24"/>
          <w:szCs w:val="24"/>
        </w:rPr>
        <w:t>Vivaspin</w:t>
      </w:r>
      <w:proofErr w:type="spellEnd"/>
      <w:r w:rsidRPr="008B0CD3">
        <w:rPr>
          <w:rFonts w:ascii="Times New Roman" w:hAnsi="Times New Roman" w:cs="Times New Roman"/>
          <w:sz w:val="24"/>
          <w:szCs w:val="24"/>
        </w:rPr>
        <w:t xml:space="preserve">™ 15 30 </w:t>
      </w:r>
      <w:proofErr w:type="spellStart"/>
      <w:r w:rsidRPr="008B0CD3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8B0CD3">
        <w:rPr>
          <w:rFonts w:ascii="Times New Roman" w:hAnsi="Times New Roman" w:cs="Times New Roman"/>
          <w:sz w:val="24"/>
          <w:szCs w:val="24"/>
        </w:rPr>
        <w:t xml:space="preserve"> molecular weight cut-off (MWCO) ultrafilters (Sartorius)</w:t>
      </w:r>
      <w:r w:rsidR="00C00CF3">
        <w:rPr>
          <w:rFonts w:ascii="Times New Roman" w:hAnsi="Times New Roman" w:cs="Times New Roman"/>
          <w:sz w:val="24"/>
          <w:szCs w:val="24"/>
        </w:rPr>
        <w:t>.T</w:t>
      </w:r>
      <w:r w:rsidRPr="008B0CD3">
        <w:rPr>
          <w:rFonts w:ascii="Times New Roman" w:hAnsi="Times New Roman" w:cs="Times New Roman"/>
          <w:sz w:val="24"/>
          <w:szCs w:val="24"/>
        </w:rPr>
        <w:t>he high-molecular-weight fraction was</w:t>
      </w:r>
      <w:r w:rsidR="00C00CF3">
        <w:rPr>
          <w:rFonts w:ascii="Times New Roman" w:hAnsi="Times New Roman" w:cs="Times New Roman"/>
          <w:sz w:val="24"/>
          <w:szCs w:val="24"/>
        </w:rPr>
        <w:t xml:space="preserve"> then</w:t>
      </w:r>
      <w:r w:rsidRPr="008B0CD3">
        <w:rPr>
          <w:rFonts w:ascii="Times New Roman" w:hAnsi="Times New Roman" w:cs="Times New Roman"/>
          <w:sz w:val="24"/>
          <w:szCs w:val="24"/>
        </w:rPr>
        <w:t xml:space="preserve"> lyophilized</w:t>
      </w:r>
      <w:r w:rsidR="00C00CF3">
        <w:rPr>
          <w:rFonts w:ascii="Times New Roman" w:hAnsi="Times New Roman" w:cs="Times New Roman"/>
          <w:sz w:val="24"/>
          <w:szCs w:val="24"/>
        </w:rPr>
        <w:t xml:space="preserve"> and t</w:t>
      </w:r>
      <w:r w:rsidRPr="008B0CD3">
        <w:rPr>
          <w:rFonts w:ascii="Times New Roman" w:hAnsi="Times New Roman" w:cs="Times New Roman"/>
          <w:sz w:val="24"/>
          <w:szCs w:val="24"/>
        </w:rPr>
        <w:t xml:space="preserve">he extracted collagen was combusted and graphitized with automated graphitization equipment (AGE). The </w:t>
      </w:r>
      <w:r w:rsidRPr="008B0CD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B0CD3">
        <w:rPr>
          <w:rFonts w:ascii="Times New Roman" w:hAnsi="Times New Roman" w:cs="Times New Roman"/>
          <w:sz w:val="24"/>
          <w:szCs w:val="24"/>
        </w:rPr>
        <w:t xml:space="preserve">C measurements were performed with the accelerator mass spectrometry (AMS) system MICADAS using </w:t>
      </w:r>
      <w:r w:rsidRPr="008B0CD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B0CD3">
        <w:rPr>
          <w:rFonts w:ascii="Times New Roman" w:hAnsi="Times New Roman" w:cs="Times New Roman"/>
          <w:sz w:val="24"/>
          <w:szCs w:val="24"/>
        </w:rPr>
        <w:t>C-free sodium acetate and the NIST standard oxalic acid II (SRM 4990C) for blank subtraction, standard normalization, and correction for isotope fractionations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[22]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32686" w14:textId="77777777" w:rsidR="00492840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C1B1" w14:textId="77777777" w:rsidR="00492840" w:rsidRDefault="00492840" w:rsidP="00FC179A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41563">
        <w:rPr>
          <w:rFonts w:ascii="Times New Roman" w:hAnsi="Times New Roman" w:cs="Times New Roman"/>
          <w:b/>
          <w:color w:val="auto"/>
          <w:sz w:val="32"/>
          <w:szCs w:val="32"/>
        </w:rPr>
        <w:t>Isotope ratios analyses</w:t>
      </w:r>
    </w:p>
    <w:p w14:paraId="67786310" w14:textId="77777777" w:rsidR="00492840" w:rsidRPr="00341563" w:rsidRDefault="00492840" w:rsidP="00FC179A">
      <w:pPr>
        <w:spacing w:line="480" w:lineRule="auto"/>
      </w:pPr>
    </w:p>
    <w:p w14:paraId="107D4CC2" w14:textId="5C015F6D" w:rsidR="00492840" w:rsidRPr="008B0CD3" w:rsidRDefault="00492840" w:rsidP="00FC179A">
      <w:pPr>
        <w:pStyle w:val="NoSpacing"/>
        <w:spacing w:line="480" w:lineRule="auto"/>
        <w:ind w:firstLine="640"/>
        <w:rPr>
          <w:rFonts w:ascii="Times New Roman" w:hAnsi="Times New Roman" w:cs="Times New Roman"/>
          <w:sz w:val="24"/>
          <w:szCs w:val="24"/>
          <w:lang w:val="en-US"/>
        </w:rPr>
      </w:pPr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The extraction of collagen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isotopic analysis 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was performed </w:t>
      </w:r>
      <w:r w:rsidR="00C00CF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00C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>epartment of Physical Anthropology of the University of Bern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cranium and femur samples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 following an acid–base–acid extraction method modified after Ambrose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[23, 24]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>DeNiro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[25]</w:t>
      </w:r>
      <w:r w:rsidR="00C00CF3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and Longin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[26]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>he isot</w:t>
      </w:r>
      <w:r>
        <w:rPr>
          <w:rFonts w:ascii="Times New Roman" w:hAnsi="Times New Roman" w:cs="Times New Roman"/>
          <w:sz w:val="24"/>
          <w:szCs w:val="24"/>
          <w:lang w:val="en-US"/>
        </w:rPr>
        <w:t>ope ratios of carbon (</w:t>
      </w:r>
      <w:r w:rsidRPr="005309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C/</w:t>
      </w:r>
      <w:r w:rsidRPr="005309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C) and nitrogen (</w:t>
      </w:r>
      <w:r w:rsidRPr="005309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N/</w:t>
      </w:r>
      <w:r w:rsidRPr="005309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N) 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were measured by isotope ratio mass spectrometry at </w:t>
      </w:r>
      <w:proofErr w:type="spellStart"/>
      <w:r w:rsidRPr="00A93BC6">
        <w:rPr>
          <w:rFonts w:ascii="Times New Roman" w:hAnsi="Times New Roman" w:cs="Times New Roman"/>
          <w:sz w:val="24"/>
          <w:szCs w:val="24"/>
          <w:lang w:val="en-US"/>
        </w:rPr>
        <w:t>Isolab</w:t>
      </w:r>
      <w:proofErr w:type="spellEnd"/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 GmbH, </w:t>
      </w:r>
      <w:proofErr w:type="spellStart"/>
      <w:r w:rsidRPr="00A93BC6">
        <w:rPr>
          <w:rFonts w:ascii="Times New Roman" w:hAnsi="Times New Roman" w:cs="Times New Roman"/>
          <w:sz w:val="24"/>
          <w:szCs w:val="24"/>
          <w:lang w:val="en-US"/>
        </w:rPr>
        <w:t>Schweitenkirchen</w:t>
      </w:r>
      <w:proofErr w:type="spellEnd"/>
      <w:r w:rsidRPr="00A93BC6">
        <w:rPr>
          <w:rFonts w:ascii="Times New Roman" w:hAnsi="Times New Roman" w:cs="Times New Roman"/>
          <w:sz w:val="24"/>
          <w:szCs w:val="24"/>
          <w:lang w:val="en-US"/>
        </w:rPr>
        <w:t>, Germany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0CF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00CF3" w:rsidRPr="00986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>average of three measurements per sample was provided and used for subsequent analyses. Results are reported in δ-notation in units of per mill (‰) according to the international standards of Vienna Pee D</w:t>
      </w:r>
      <w:r>
        <w:rPr>
          <w:rFonts w:ascii="Times New Roman" w:hAnsi="Times New Roman" w:cs="Times New Roman"/>
          <w:sz w:val="24"/>
          <w:szCs w:val="24"/>
          <w:lang w:val="en-US"/>
        </w:rPr>
        <w:t>ee Belemnite (V-PDB) for carbon and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 xml:space="preserve"> Ambient Inhalable Reservoir (AIR) for nitrogen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>In addition, the laboratory internal standards STD R (collagen from cowhide from the EU project TRACE) and STD BRA (collagen from Bra</w:t>
      </w:r>
      <w:r w:rsidR="00C00CF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 xml:space="preserve">ilian cowhide) were </w:t>
      </w:r>
      <w:r w:rsidR="00C00CF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="00C00CF3">
        <w:rPr>
          <w:rFonts w:ascii="Times New Roman" w:hAnsi="Times New Roman" w:cs="Times New Roman"/>
          <w:sz w:val="24"/>
          <w:szCs w:val="24"/>
          <w:lang w:val="en-US"/>
        </w:rPr>
        <w:t xml:space="preserve"> for most samples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>. Internal analytical errors were recorded as ± 0.1‰ for δ</w:t>
      </w:r>
      <w:r w:rsidRPr="003A66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 and 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 xml:space="preserve"> ± 0.2‰ for δ</w:t>
      </w:r>
      <w:r w:rsidRPr="003A66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6E3C">
        <w:rPr>
          <w:rFonts w:ascii="Times New Roman" w:hAnsi="Times New Roman" w:cs="Times New Roman"/>
          <w:sz w:val="24"/>
          <w:szCs w:val="24"/>
          <w:lang w:val="en-US"/>
        </w:rPr>
        <w:t xml:space="preserve"> (standard error of the means calculated from 3 or 4 measurements).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 We selected samples with a value of &gt;1% collagen portion of dry bone (</w:t>
      </w:r>
      <w:proofErr w:type="spellStart"/>
      <w:r w:rsidRPr="00A93BC6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Pr="00A93BC6">
        <w:rPr>
          <w:rFonts w:ascii="Times New Roman" w:hAnsi="Times New Roman" w:cs="Times New Roman"/>
          <w:sz w:val="24"/>
          <w:szCs w:val="24"/>
          <w:lang w:val="en-US"/>
        </w:rPr>
        <w:t xml:space="preserve"> % = amount of extracted 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lastRenderedPageBreak/>
        <w:t>collagen/amount of bone powder used for extraction × 100). The molar C:N ratio ([%C/%N] × [14.007/12.011]) in the range of 2.9–3.6 was considered as good 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[25]</w:t>
      </w:r>
      <w:r w:rsidRPr="00A93BC6">
        <w:rPr>
          <w:rFonts w:ascii="Times New Roman" w:hAnsi="Times New Roman" w:cs="Times New Roman"/>
          <w:sz w:val="24"/>
          <w:szCs w:val="24"/>
          <w:lang w:val="en-US"/>
        </w:rPr>
        <w:t>. As good quality was considered as well, when % C was in the range of 30%–47% and % N in the range of 11%–17.3%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[23, 24, 27]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6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F67031" w14:textId="77777777" w:rsidR="00492840" w:rsidRPr="00362B3A" w:rsidRDefault="00492840" w:rsidP="00FC179A">
      <w:pPr>
        <w:spacing w:after="0" w:line="480" w:lineRule="auto"/>
        <w:jc w:val="both"/>
        <w:rPr>
          <w:rFonts w:ascii="Calibri" w:hAnsi="Calibri" w:cs="Calibri"/>
        </w:rPr>
      </w:pPr>
    </w:p>
    <w:p w14:paraId="563AC6BD" w14:textId="77777777" w:rsidR="00492840" w:rsidRDefault="00492840" w:rsidP="00FC179A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E730AE" w14:textId="77777777" w:rsidR="00492840" w:rsidRPr="002D52C5" w:rsidRDefault="00492840" w:rsidP="00FC179A">
      <w:pPr>
        <w:pStyle w:val="EndNoteBibliographyTitle"/>
        <w:spacing w:line="48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D52C5">
        <w:rPr>
          <w:rFonts w:ascii="Times New Roman" w:hAnsi="Times New Roman" w:cs="Times New Roman"/>
          <w:b/>
          <w:sz w:val="32"/>
          <w:szCs w:val="32"/>
        </w:rPr>
        <w:t>References</w:t>
      </w:r>
    </w:p>
    <w:p w14:paraId="6B434BE4" w14:textId="77777777" w:rsidR="00492840" w:rsidRPr="000342AE" w:rsidRDefault="00492840" w:rsidP="00FC179A">
      <w:pPr>
        <w:pStyle w:val="EndNoteBibliographyTitle"/>
        <w:spacing w:line="480" w:lineRule="auto"/>
      </w:pPr>
    </w:p>
    <w:p w14:paraId="0FC34B03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Pinhasi R, Fernandes D, Sirak K, Novak M, Connell S, Alpaslan-Roodenberg S, et al. Optimal Ancient DNA Yields from the Inner Ear Part of the Human Petrous Bone. PLoS One. 2015;10(6):e0129102. doi: 10.1371/journal.pone.0129102. </w:t>
      </w:r>
    </w:p>
    <w:p w14:paraId="52217C31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Damgaard PB, Margaryan A, Schroeder H, Orlando L, Willerslev E, Allentoft ME. Improving access to endogenous DNA in ancient bones and teeth. Sci Rep. 2015;5:11184. doi: 10.1038/srep11184. </w:t>
      </w:r>
    </w:p>
    <w:p w14:paraId="69A6564A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Rohland N, Siedel H, Hofreiter M. A rapid column-based ancient DNA extraction method for increased sample throughput. Mol Ecol Resour. 2010;10(4):677-83. doi: 10.1111/j.1755-0998.2009.02824.x. </w:t>
      </w:r>
    </w:p>
    <w:p w14:paraId="2D4943B4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Meyer M, Kircher M. Illumina sequencing library preparation for highly multiplexed target capture and sequencing. Cold Spring Harb Protoc. 2010;2010(6):pdb prot5448. doi: 10.1101/pdb.prot5448. </w:t>
      </w:r>
    </w:p>
    <w:p w14:paraId="6EB71CAA" w14:textId="77777777" w:rsidR="002D52C5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Rohland N, Mallick S, Mah M, Maier R, Patterson N, Reich D. Three assays for in-solution enrichment of ancient human DNA at more than a million SNPs. Genome Res. 2022;32(11-12):2068-78 doi: 10.1101/gr.276728.122. </w:t>
      </w:r>
    </w:p>
    <w:p w14:paraId="01D3A284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Bioscience T. Twist Target Enrichment Standard Hybridization v1 Protocol For use with the Twist NGS Workflow.2022. Available from: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https://www.twistbioscience.com/resources/protocol/twist-target-enrichment-standard-hybridization-v1-protocol.</w:t>
      </w:r>
    </w:p>
    <w:p w14:paraId="2F0E6610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Chen S, Zhou Y, Chen Y, Gu J. fastp: an ultra-fast all-in-one FASTQ preprocessor. Bioinformatics. 2018;34(17):i884-i90. doi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: 10.1093/bioinformatics/bty560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6E51EC" w14:textId="77777777" w:rsidR="002D52C5" w:rsidRPr="00FC179A" w:rsidRDefault="00492840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2D52C5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Li H, Durbin R. Fast and accurate long-read alignment with Burrows-Wheeler transform. Bioinformatics. 2010;26(5):589-95. doi: 10.1093/bioinformatics/btp698. </w:t>
      </w:r>
    </w:p>
    <w:p w14:paraId="6149C0F8" w14:textId="77777777" w:rsidR="002D52C5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International Human Genome Sequencing C. Finishing the euchromatic sequence of the human genome. Nature. 2004;431(7011):931-45.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doi: 10.1038/nature03001</w:t>
      </w:r>
    </w:p>
    <w:p w14:paraId="657CDC0F" w14:textId="77777777" w:rsidR="002D52C5" w:rsidRPr="00713C23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de-LI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Andrews RM, Kubacka I, Chinnery PF, Lightowlers RN, Turnbull DM, Howell N. Reanalysis and revision of the Cambridge reference sequence for human mitochondrial DNA. </w:t>
      </w:r>
      <w:r w:rsidR="00492840" w:rsidRPr="00713C23">
        <w:rPr>
          <w:rFonts w:ascii="Times New Roman" w:hAnsi="Times New Roman" w:cs="Times New Roman"/>
          <w:sz w:val="24"/>
          <w:szCs w:val="24"/>
          <w:lang w:val="de-LI"/>
        </w:rPr>
        <w:t xml:space="preserve">Nat Genet. 1999;23(2):147. doi: 10.1038/13779. </w:t>
      </w:r>
    </w:p>
    <w:p w14:paraId="02130FDB" w14:textId="77777777" w:rsidR="002D52C5" w:rsidRPr="005745B8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de-LI"/>
        </w:rPr>
      </w:pPr>
      <w:r w:rsidRPr="00FC179A">
        <w:rPr>
          <w:rFonts w:ascii="Times New Roman" w:hAnsi="Times New Roman" w:cs="Times New Roman"/>
          <w:sz w:val="24"/>
          <w:szCs w:val="24"/>
          <w:lang w:val="de-LI"/>
        </w:rPr>
        <w:t xml:space="preserve">11. </w:t>
      </w:r>
      <w:r w:rsidR="00492840" w:rsidRPr="00FC179A">
        <w:rPr>
          <w:rFonts w:ascii="Times New Roman" w:hAnsi="Times New Roman" w:cs="Times New Roman"/>
          <w:sz w:val="24"/>
          <w:szCs w:val="24"/>
          <w:lang w:val="de-LI"/>
        </w:rPr>
        <w:t xml:space="preserve">Peltzer A, Jager G, Herbig A, Seitz A, Kniep C, Krause J, et al. </w:t>
      </w:r>
      <w:r w:rsidR="00492840" w:rsidRPr="005745B8">
        <w:rPr>
          <w:rFonts w:ascii="Times New Roman" w:hAnsi="Times New Roman" w:cs="Times New Roman"/>
          <w:sz w:val="24"/>
          <w:szCs w:val="24"/>
          <w:lang w:val="de-LI"/>
        </w:rPr>
        <w:t xml:space="preserve">EAGER: efficient ancient genome reconstruction. Genome Biol. 2016;17:60. doi: 10.1186/s13059-016-0918-z. </w:t>
      </w:r>
    </w:p>
    <w:p w14:paraId="30540752" w14:textId="77777777" w:rsidR="002D52C5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45B8">
        <w:rPr>
          <w:rFonts w:ascii="Times New Roman" w:hAnsi="Times New Roman" w:cs="Times New Roman"/>
          <w:sz w:val="24"/>
          <w:szCs w:val="24"/>
          <w:lang w:val="de-LI"/>
        </w:rPr>
        <w:t xml:space="preserve">12. </w:t>
      </w:r>
      <w:r w:rsidR="00492840" w:rsidRPr="005745B8">
        <w:rPr>
          <w:rFonts w:ascii="Times New Roman" w:hAnsi="Times New Roman" w:cs="Times New Roman"/>
          <w:sz w:val="24"/>
          <w:szCs w:val="24"/>
          <w:lang w:val="de-LI"/>
        </w:rPr>
        <w:t xml:space="preserve">Jonsson H, Ginolhac A, Schubert M, Johnson PL, Orlando L. mapDamage2.0: fast approximate Bayesian estimates of ancient DNA damage parameters.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Bioinformatics. 2013;29(13):1682-4. doi: 10.1093/bioinformatics/btt193. </w:t>
      </w:r>
    </w:p>
    <w:p w14:paraId="22A9A890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Renaud G, Slon V, Duggan AT, Kelso J. Schmutzi: estimation of contamination and endogenous mitochondrial consensus calling for ancient DNA. Genome Biol. 2015;16:224. 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doi: 10.1186/s13059-015-0776-0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B469A3" w14:textId="77777777" w:rsidR="002D52C5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Korneliussen TS, Albrechtsen A, Nielsen R. ANGSD: Analysis of Next Generation Sequencing Data. BMC Bioinformatics. 2014;15(1):356. doi: 10.1186/s12859-014-0356-4. </w:t>
      </w:r>
    </w:p>
    <w:p w14:paraId="61457D6F" w14:textId="77777777" w:rsidR="002D52C5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Mittnik A, Wang CC, Svoboda J, Krause J. A Molecular Approach to the Sexing of the Triple Burial at the Upper Paleolithic Site of Dolni Vestonice. PLoS One. 2016;11(10):e0163019. doi: 10.1371/journal.pone.0163019. </w:t>
      </w:r>
    </w:p>
    <w:p w14:paraId="41EA08C1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16.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Skoglund P, Storå J, Götherström A, Jakobsson M. Accurate sex identification of ancient human remains using DNA shotgun sequencing. 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J Archaeol Sci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. 2013;40(12):4477-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82. doi: 10.1016/j.jas.2013.07.004.</w:t>
      </w:r>
    </w:p>
    <w:p w14:paraId="4A5EB080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Monroy Kuhn JM, Jakobsson M, Gunther T. Estimating genetic kin relationships in prehistoric populations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. PLoS One. 2018;13(4):e0195491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. doi: 10.1371/journal.pone.0195491. </w:t>
      </w:r>
    </w:p>
    <w:p w14:paraId="2DA5F6EB" w14:textId="77777777" w:rsidR="002D52C5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Fernandes DM, Cheronet O, Gelabert P, Pinhasi R. TKGWV2: an ancient DNA relatedness pipeline for ultra-low coverage whole genome shotgun data. Sci Rep. 2021;11(1):21262. doi: 10.1038/s41598-021-00581-3. </w:t>
      </w:r>
    </w:p>
    <w:p w14:paraId="52FE55BC" w14:textId="77777777" w:rsidR="002D52C5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Popli D, Peyregne S, Peter BM. KIN: a method to infer relatedness from low-coverage ancient 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DNA. Genome Biol. 2023;24(1):10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. doi: 10.1186/s13059-023-02847-7. </w:t>
      </w:r>
    </w:p>
    <w:p w14:paraId="022BE844" w14:textId="77777777" w:rsidR="00492840" w:rsidRPr="00E1634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Szidat S, Vogel E, Gubler R, Lösch S. Radiocarbon Dating of Bones at the LARA Laboratory in Bern, Switzerland. </w:t>
      </w:r>
      <w:r w:rsidR="00492840" w:rsidRPr="00E1634A">
        <w:rPr>
          <w:rFonts w:ascii="Times New Roman" w:hAnsi="Times New Roman" w:cs="Times New Roman"/>
          <w:sz w:val="24"/>
          <w:szCs w:val="24"/>
          <w:lang w:val="en-US"/>
        </w:rPr>
        <w:t>Radiocarbon. 2017;59(3):831-42. doi: 10.1017/rdc.2016.90.</w:t>
      </w:r>
    </w:p>
    <w:p w14:paraId="697A1972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34A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492840" w:rsidRPr="00E1634A">
        <w:rPr>
          <w:rFonts w:ascii="Times New Roman" w:hAnsi="Times New Roman" w:cs="Times New Roman"/>
          <w:sz w:val="24"/>
          <w:szCs w:val="24"/>
          <w:lang w:val="en-US"/>
        </w:rPr>
        <w:t xml:space="preserve">Steuri N, Milella M, Martinet F, Raiteri L, Szidat S, Lösch S, et al.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First Radiocarbon Dating of Neolithic Stone Cist Graves from the Aosta Valley (Italy): Insights into the Chronology and Burial Rites of the Western Alpine Region. Radiocarbon. 2023;65(2):521-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38. doi: 10.1017/rdc.2023.12.</w:t>
      </w:r>
    </w:p>
    <w:p w14:paraId="0C2F12B8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Szidat S, Salazar GA, Vogel E, Battaglia M, Wacker L, Synal H-A, et al. </w:t>
      </w:r>
      <w:r w:rsidR="00492840" w:rsidRPr="00FC17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C Analysis and Sample Preparation at the New Bern Laboratory for the Analysis of Radiocarbon with AMS (LARA). Radiocarbon. 2014;56(2):561-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6. doi: 10.2458/56.17457.</w:t>
      </w:r>
    </w:p>
    <w:p w14:paraId="04EDE155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Ambrose SH. Preparation and characterization of bone and tooth collagen for isotopic analysis. 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J Archaeol Sci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. 1990;17(4):431-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51. doi: 10.1016/0305-4403(90)90007-r.</w:t>
      </w:r>
    </w:p>
    <w:p w14:paraId="34EA2E1B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Ambrose SH. Isotopic analysis of paleodiets: Methodological and interpretive considerations. In: Sandford MK, editor. Investigations of ancient human tissue: Chemical analyses in anthropology Philadelphia: Gordon and Breach Science Publishers; 1993. p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. 59– 130.</w:t>
      </w:r>
    </w:p>
    <w:p w14:paraId="16F78C71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25.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DeNiro MJ. Postmortem preservation and alteration of in vivo bone collagen isotope ratios in relation to palaeodietary reconstruction. Nature. 1985;317(6040):806-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9. doi: 10.1038/317806a0.</w:t>
      </w:r>
    </w:p>
    <w:p w14:paraId="31D37B3B" w14:textId="77777777" w:rsidR="00492840" w:rsidRPr="00FC179A" w:rsidRDefault="002D52C5" w:rsidP="00FC179A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>Longin R. New method of collagen extraction for radiocarbon dating. Nature. 1971;230(5291):241-</w:t>
      </w:r>
      <w:r w:rsidRPr="00FC179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2. doi: 10.1038/230241a0. </w:t>
      </w:r>
    </w:p>
    <w:p w14:paraId="192B5868" w14:textId="77777777" w:rsidR="00492840" w:rsidRPr="00FC179A" w:rsidRDefault="002D52C5" w:rsidP="00FC179A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492840" w:rsidRPr="00FC179A">
        <w:rPr>
          <w:rFonts w:ascii="Times New Roman" w:hAnsi="Times New Roman" w:cs="Times New Roman"/>
          <w:sz w:val="24"/>
          <w:szCs w:val="24"/>
          <w:lang w:val="en-US"/>
        </w:rPr>
        <w:t xml:space="preserve">van Klinken GJ. Bone Collagen Quality Indicators for Palaeodietary and Radiocarbon Measurements. </w:t>
      </w:r>
      <w:r w:rsidRPr="00FC179A">
        <w:rPr>
          <w:rFonts w:ascii="Times New Roman" w:hAnsi="Times New Roman" w:cs="Times New Roman"/>
          <w:sz w:val="24"/>
          <w:szCs w:val="24"/>
        </w:rPr>
        <w:t>J Archaeol Sci</w:t>
      </w:r>
      <w:r w:rsidR="00492840" w:rsidRPr="00FC179A">
        <w:rPr>
          <w:rFonts w:ascii="Times New Roman" w:hAnsi="Times New Roman" w:cs="Times New Roman"/>
          <w:sz w:val="24"/>
          <w:szCs w:val="24"/>
        </w:rPr>
        <w:t>. 1999;26(6):687-</w:t>
      </w:r>
      <w:r w:rsidRPr="00FC179A">
        <w:rPr>
          <w:rFonts w:ascii="Times New Roman" w:hAnsi="Times New Roman" w:cs="Times New Roman"/>
          <w:sz w:val="24"/>
          <w:szCs w:val="24"/>
        </w:rPr>
        <w:t>6</w:t>
      </w:r>
      <w:r w:rsidR="00492840" w:rsidRPr="00FC179A">
        <w:rPr>
          <w:rFonts w:ascii="Times New Roman" w:hAnsi="Times New Roman" w:cs="Times New Roman"/>
          <w:sz w:val="24"/>
          <w:szCs w:val="24"/>
        </w:rPr>
        <w:t>95. doi: 10.1006/jasc.1998.0385.</w:t>
      </w:r>
    </w:p>
    <w:p w14:paraId="2EEB5CAF" w14:textId="77777777" w:rsidR="00492840" w:rsidRPr="00B40C93" w:rsidRDefault="00492840" w:rsidP="001D371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4F6351" w14:textId="77777777" w:rsidR="00B71631" w:rsidRDefault="00B71631"/>
    <w:sectPr w:rsidR="00B71631" w:rsidSect="001A3D47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3F8"/>
    <w:multiLevelType w:val="hybridMultilevel"/>
    <w:tmpl w:val="AF189B88"/>
    <w:lvl w:ilvl="0" w:tplc="68FA9A0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4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2768"/>
    <w:multiLevelType w:val="hybridMultilevel"/>
    <w:tmpl w:val="F1FAC99A"/>
    <w:lvl w:ilvl="0" w:tplc="1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72144">
    <w:abstractNumId w:val="1"/>
  </w:num>
  <w:num w:numId="2" w16cid:durableId="82262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92840"/>
    <w:rsid w:val="001A3D47"/>
    <w:rsid w:val="00281E19"/>
    <w:rsid w:val="002D52C5"/>
    <w:rsid w:val="002F6990"/>
    <w:rsid w:val="003A084E"/>
    <w:rsid w:val="00492840"/>
    <w:rsid w:val="0050628C"/>
    <w:rsid w:val="005745B8"/>
    <w:rsid w:val="005B5B31"/>
    <w:rsid w:val="006A4D58"/>
    <w:rsid w:val="006A6866"/>
    <w:rsid w:val="00713C23"/>
    <w:rsid w:val="007D52E4"/>
    <w:rsid w:val="007E1BCB"/>
    <w:rsid w:val="00865AAD"/>
    <w:rsid w:val="008D369E"/>
    <w:rsid w:val="009922AC"/>
    <w:rsid w:val="00A816E2"/>
    <w:rsid w:val="00AA5479"/>
    <w:rsid w:val="00B71631"/>
    <w:rsid w:val="00B87EBC"/>
    <w:rsid w:val="00C00CF3"/>
    <w:rsid w:val="00C30336"/>
    <w:rsid w:val="00CF609B"/>
    <w:rsid w:val="00DC24CD"/>
    <w:rsid w:val="00E1634A"/>
    <w:rsid w:val="00FA3B42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9401"/>
  <w15:chartTrackingRefBased/>
  <w15:docId w15:val="{DE3E34E0-93FC-4B6F-8AEB-50B16C0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4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8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28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840"/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92840"/>
    <w:rPr>
      <w:color w:val="808080"/>
    </w:rPr>
  </w:style>
  <w:style w:type="paragraph" w:styleId="NoSpacing">
    <w:name w:val="No Spacing"/>
    <w:link w:val="NoSpacingChar"/>
    <w:uiPriority w:val="1"/>
    <w:qFormat/>
    <w:rsid w:val="00492840"/>
    <w:pPr>
      <w:spacing w:after="0" w:line="240" w:lineRule="auto"/>
    </w:pPr>
    <w:rPr>
      <w:lang w:val="it-IT"/>
    </w:rPr>
  </w:style>
  <w:style w:type="character" w:customStyle="1" w:styleId="NoSpacingChar">
    <w:name w:val="No Spacing Char"/>
    <w:basedOn w:val="DefaultParagraphFont"/>
    <w:link w:val="NoSpacing"/>
    <w:uiPriority w:val="1"/>
    <w:rsid w:val="00492840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40"/>
    <w:rPr>
      <w:b/>
      <w:bCs/>
      <w:sz w:val="20"/>
      <w:szCs w:val="20"/>
      <w:lang w:val="en-US"/>
    </w:rPr>
  </w:style>
  <w:style w:type="paragraph" w:customStyle="1" w:styleId="Default">
    <w:name w:val="Default"/>
    <w:rsid w:val="0049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928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492840"/>
  </w:style>
  <w:style w:type="paragraph" w:styleId="Revision">
    <w:name w:val="Revision"/>
    <w:hidden/>
    <w:uiPriority w:val="99"/>
    <w:semiHidden/>
    <w:rsid w:val="0049284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92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40"/>
    <w:rPr>
      <w:rFonts w:ascii="Segoe UI" w:hAnsi="Segoe UI" w:cs="Segoe UI"/>
      <w:sz w:val="18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2840"/>
    <w:pPr>
      <w:spacing w:line="240" w:lineRule="auto"/>
    </w:pPr>
    <w:rPr>
      <w:rFonts w:ascii="Calibri" w:hAnsi="Calibri" w:cs="Calibri"/>
      <w:noProof/>
      <w:lang w:val="it-IT"/>
    </w:rPr>
  </w:style>
  <w:style w:type="character" w:customStyle="1" w:styleId="EndNoteBibliographyChar">
    <w:name w:val="EndNote Bibliography Char"/>
    <w:basedOn w:val="NoSpacingChar"/>
    <w:link w:val="EndNoteBibliography"/>
    <w:rsid w:val="00492840"/>
    <w:rPr>
      <w:rFonts w:ascii="Calibri" w:hAnsi="Calibri" w:cs="Calibri"/>
      <w:noProof/>
      <w:lang w:val="it-IT"/>
    </w:rPr>
  </w:style>
  <w:style w:type="character" w:styleId="LineNumber">
    <w:name w:val="line number"/>
    <w:basedOn w:val="DefaultParagraphFont"/>
    <w:uiPriority w:val="99"/>
    <w:semiHidden/>
    <w:unhideWhenUsed/>
    <w:rsid w:val="00492840"/>
  </w:style>
  <w:style w:type="paragraph" w:customStyle="1" w:styleId="EndNoteBibliographyTitle">
    <w:name w:val="EndNote Bibliography Title"/>
    <w:basedOn w:val="Normal"/>
    <w:link w:val="EndNoteBibliographyTitleChar"/>
    <w:rsid w:val="0049284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2840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9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für Rechtsmedizin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Laffranchi</dc:creator>
  <cp:keywords/>
  <dc:description/>
  <cp:lastModifiedBy>Suresh Krishnamoorthy</cp:lastModifiedBy>
  <cp:revision>8</cp:revision>
  <cp:lastPrinted>2023-07-07T13:49:00Z</cp:lastPrinted>
  <dcterms:created xsi:type="dcterms:W3CDTF">2023-09-19T14:25:00Z</dcterms:created>
  <dcterms:modified xsi:type="dcterms:W3CDTF">2024-02-08T11:48:00Z</dcterms:modified>
</cp:coreProperties>
</file>