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S4 Table. The result of meta-regression analysis when evaluating the pooled mortality of lung cancer in COVID-19 patients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410"/>
        <w:gridCol w:w="1275"/>
        <w:gridCol w:w="1134"/>
        <w:gridCol w:w="9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  <w:lang w:bidi="ar"/>
              </w:rPr>
              <w:t>Subgroup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Estimate.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color w:val="000000"/>
                <w:kern w:val="0"/>
                <w:sz w:val="20"/>
                <w:szCs w:val="20"/>
                <w:lang w:bidi="ar"/>
              </w:rPr>
              <w:t>Z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color w:val="000000"/>
                <w:kern w:val="0"/>
                <w:sz w:val="20"/>
                <w:szCs w:val="20"/>
                <w:lang w:bidi="ar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Center type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Multi-center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Single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0.039 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0.595 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0.552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eastAsia="宋体"/>
                <w:lang w:bidi="ar"/>
              </w:rPr>
              <w:t>Continents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Europe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0.258 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4.926 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&lt; 0.001*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North America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0.102 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1.340 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0.180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South America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0.356 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4.212 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&lt; 0.001*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Publication year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Year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-0.051 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-1.112 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0.266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Study design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Prospective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Retrospective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0.070 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0.982 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0.326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Study type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Case control study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Cohort study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0.197 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2.227 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0.056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Cross-sectional study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0.166 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1.239 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0.215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Diagnosis methods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RT-PCR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eastAsia="宋体"/>
                <w:sz w:val="20"/>
                <w:szCs w:val="20"/>
                <w:lang w:bidi="ar"/>
              </w:rPr>
              <w:t>RT-PCR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/Antibodies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0.077 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0.456 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0.648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RT-PCR/CT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0.163 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0.871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RT-PCR/CT/Clinical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0.019 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0.227 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  <w:t xml:space="preserve">0.821 </w:t>
            </w:r>
          </w:p>
        </w:tc>
      </w:tr>
    </w:tbl>
    <w:p>
      <w:pPr>
        <w:widowControl/>
        <w:spacing w:line="360" w:lineRule="auto"/>
        <w:textAlignment w:val="center"/>
        <w:rPr>
          <w:rFonts w:ascii="Times New Roman" w:hAnsi="Times New Roman" w:eastAsia="宋体" w:cs="Times New Roman"/>
          <w:iCs/>
          <w:sz w:val="20"/>
          <w:szCs w:val="20"/>
        </w:rPr>
      </w:pPr>
      <w:r>
        <w:rPr>
          <w:rFonts w:ascii="Times New Roman" w:hAnsi="Times New Roman" w:eastAsia="宋体" w:cs="Times New Roman"/>
          <w:iCs/>
          <w:sz w:val="20"/>
          <w:szCs w:val="20"/>
          <w:vertAlign w:val="superscript"/>
        </w:rPr>
        <w:t xml:space="preserve"># </w:t>
      </w:r>
      <w:r>
        <w:rPr>
          <w:rFonts w:ascii="Times New Roman" w:hAnsi="Times New Roman" w:eastAsia="宋体" w:cs="Times New Roman"/>
          <w:iCs/>
          <w:sz w:val="20"/>
          <w:szCs w:val="20"/>
        </w:rPr>
        <w:t>variables were set as the reference. *</w:t>
      </w:r>
      <w:r>
        <w:rPr>
          <w:rFonts w:ascii="Times New Roman" w:hAnsi="Times New Roman" w:eastAsia="宋体" w:cs="Times New Roman"/>
          <w:i/>
          <w:iCs/>
          <w:sz w:val="20"/>
          <w:szCs w:val="20"/>
        </w:rPr>
        <w:t xml:space="preserve">P </w:t>
      </w:r>
      <w:r>
        <w:rPr>
          <w:rFonts w:ascii="Times New Roman" w:hAnsi="Times New Roman" w:eastAsia="宋体" w:cs="Times New Roman"/>
          <w:iCs/>
          <w:sz w:val="20"/>
          <w:szCs w:val="20"/>
        </w:rPr>
        <w:t>value &lt; 0.05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NDM5NGUyYjk2ZWQxZTIzZmUwNjkzZWI1ZmQwYzEifQ=="/>
  </w:docVars>
  <w:rsids>
    <w:rsidRoot w:val="46840C16"/>
    <w:rsid w:val="4684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2023-08-30T02:01:00Z</dcterms:created>
  <dc:creator>木子詠詠</dc:creator>
  <cp:lastModifiedBy>木子詠詠</cp:lastModifiedBy>
  <dcterms:modified xsi:type="dcterms:W3CDTF">2023-08-30T02:02:14Z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2ECD5D3993A547B0BECF8C081826EFFE_11</vt:lpwstr>
  </property>
</Properties>
</file>