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C91D" w14:textId="4C55FBA4" w:rsidR="005D3965" w:rsidRDefault="00D40732" w:rsidP="002F20E7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sub-set of individuals (n = 6) were provided with a series </w:t>
      </w:r>
      <w:r w:rsidR="0060593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sentences, which they had to evaluate. That is, they rated each of the sentences in terms </w:t>
      </w:r>
      <w:r w:rsidR="002F20E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their perceived </w:t>
      </w:r>
      <w:r w:rsidR="00504E2A">
        <w:rPr>
          <w:rFonts w:ascii="Times New Roman" w:hAnsi="Times New Roman" w:cs="Times New Roman"/>
          <w:sz w:val="24"/>
          <w:szCs w:val="24"/>
        </w:rPr>
        <w:t>valence</w:t>
      </w:r>
      <w:r>
        <w:rPr>
          <w:rFonts w:ascii="Times New Roman" w:hAnsi="Times New Roman" w:cs="Times New Roman"/>
          <w:sz w:val="24"/>
          <w:szCs w:val="24"/>
        </w:rPr>
        <w:t xml:space="preserve">/pleasantness (1-9; 1 = unpleasant, 9 = pleasant), arousal (1-9; 1 = calm, 9 = aroused), dominance (1-9; 1 = controlled, 9 = in control) and socialability (1-5; 1 = very anti-social, 5 = very pro-social). The initial ratings of </w:t>
      </w:r>
      <w:r w:rsidR="00504E2A">
        <w:rPr>
          <w:rFonts w:ascii="Times New Roman" w:hAnsi="Times New Roman" w:cs="Times New Roman"/>
          <w:sz w:val="24"/>
          <w:szCs w:val="24"/>
        </w:rPr>
        <w:t>valence</w:t>
      </w:r>
      <w:r>
        <w:rPr>
          <w:rFonts w:ascii="Times New Roman" w:hAnsi="Times New Roman" w:cs="Times New Roman"/>
          <w:sz w:val="24"/>
          <w:szCs w:val="24"/>
        </w:rPr>
        <w:t xml:space="preserve">/pleasantness, </w:t>
      </w:r>
      <w:r w:rsidR="005E050A">
        <w:rPr>
          <w:rFonts w:ascii="Times New Roman" w:hAnsi="Times New Roman" w:cs="Times New Roman"/>
          <w:sz w:val="24"/>
          <w:szCs w:val="24"/>
        </w:rPr>
        <w:t>arousal and d</w:t>
      </w:r>
      <w:r w:rsidR="0059790A">
        <w:rPr>
          <w:rFonts w:ascii="Times New Roman" w:hAnsi="Times New Roman" w:cs="Times New Roman"/>
          <w:sz w:val="24"/>
          <w:szCs w:val="24"/>
        </w:rPr>
        <w:t>o</w:t>
      </w:r>
      <w:r w:rsidR="005E050A">
        <w:rPr>
          <w:rFonts w:ascii="Times New Roman" w:hAnsi="Times New Roman" w:cs="Times New Roman"/>
          <w:sz w:val="24"/>
          <w:szCs w:val="24"/>
        </w:rPr>
        <w:t xml:space="preserve">minance were adapted from the rating system </w:t>
      </w:r>
      <w:r w:rsidR="0059790A">
        <w:rPr>
          <w:rFonts w:ascii="Times New Roman" w:hAnsi="Times New Roman" w:cs="Times New Roman"/>
          <w:sz w:val="24"/>
          <w:szCs w:val="24"/>
        </w:rPr>
        <w:t xml:space="preserve">used for </w:t>
      </w:r>
      <w:r w:rsidR="005E050A">
        <w:rPr>
          <w:rFonts w:ascii="Times New Roman" w:hAnsi="Times New Roman" w:cs="Times New Roman"/>
          <w:sz w:val="24"/>
          <w:szCs w:val="24"/>
        </w:rPr>
        <w:t>the International Affective Picture System (IAPS; Bradley &amp; Lang, 1994</w:t>
      </w:r>
      <w:r w:rsidR="00421846">
        <w:rPr>
          <w:rFonts w:ascii="Times New Roman" w:hAnsi="Times New Roman" w:cs="Times New Roman"/>
          <w:sz w:val="24"/>
          <w:szCs w:val="24"/>
        </w:rPr>
        <w:t>; Lang et al., 1993</w:t>
      </w:r>
      <w:r w:rsidR="005E050A">
        <w:rPr>
          <w:rFonts w:ascii="Times New Roman" w:hAnsi="Times New Roman" w:cs="Times New Roman"/>
          <w:sz w:val="24"/>
          <w:szCs w:val="24"/>
        </w:rPr>
        <w:t>) (for example</w:t>
      </w:r>
      <w:r w:rsidR="009C30E8">
        <w:rPr>
          <w:rFonts w:ascii="Times New Roman" w:hAnsi="Times New Roman" w:cs="Times New Roman"/>
          <w:sz w:val="24"/>
          <w:szCs w:val="24"/>
        </w:rPr>
        <w:t>s</w:t>
      </w:r>
      <w:r w:rsidR="005E050A">
        <w:rPr>
          <w:rFonts w:ascii="Times New Roman" w:hAnsi="Times New Roman" w:cs="Times New Roman"/>
          <w:sz w:val="24"/>
          <w:szCs w:val="24"/>
        </w:rPr>
        <w:t xml:space="preserve"> within automatic imitation, see Grecucci</w:t>
      </w:r>
      <w:r w:rsidR="00605938">
        <w:rPr>
          <w:rFonts w:ascii="Times New Roman" w:hAnsi="Times New Roman" w:cs="Times New Roman"/>
          <w:sz w:val="24"/>
          <w:szCs w:val="24"/>
        </w:rPr>
        <w:t>, Balaban</w:t>
      </w:r>
      <w:r w:rsidR="005E050A">
        <w:rPr>
          <w:rFonts w:ascii="Times New Roman" w:hAnsi="Times New Roman" w:cs="Times New Roman"/>
          <w:sz w:val="24"/>
          <w:szCs w:val="24"/>
        </w:rPr>
        <w:t xml:space="preserve"> et al., 2009; </w:t>
      </w:r>
      <w:r w:rsidR="00605938">
        <w:rPr>
          <w:rFonts w:ascii="Times New Roman" w:hAnsi="Times New Roman" w:cs="Times New Roman"/>
          <w:sz w:val="24"/>
          <w:szCs w:val="24"/>
        </w:rPr>
        <w:t xml:space="preserve">Grecucci, Koch et al., </w:t>
      </w:r>
      <w:r w:rsidR="005E050A">
        <w:rPr>
          <w:rFonts w:ascii="Times New Roman" w:hAnsi="Times New Roman" w:cs="Times New Roman"/>
          <w:sz w:val="24"/>
          <w:szCs w:val="24"/>
        </w:rPr>
        <w:t xml:space="preserve">2011) </w:t>
      </w:r>
      <w:r w:rsidR="0059790A">
        <w:rPr>
          <w:rFonts w:ascii="Times New Roman" w:hAnsi="Times New Roman" w:cs="Times New Roman"/>
          <w:sz w:val="24"/>
          <w:szCs w:val="24"/>
        </w:rPr>
        <w:t xml:space="preserve">and </w:t>
      </w:r>
      <w:r w:rsidR="005E050A">
        <w:rPr>
          <w:rFonts w:ascii="Times New Roman" w:hAnsi="Times New Roman" w:cs="Times New Roman"/>
          <w:sz w:val="24"/>
          <w:szCs w:val="24"/>
        </w:rPr>
        <w:t>facilitated by the self-assessment manikin (Figure 1). Meanwhile, the latter rating of socialability was adapted from Leighton et al., 2010.</w:t>
      </w:r>
    </w:p>
    <w:p w14:paraId="394129D9" w14:textId="77777777" w:rsidR="002F20E7" w:rsidRDefault="000F58D1" w:rsidP="002F20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9A5DA" wp14:editId="5EE74A8B">
            <wp:extent cx="4680000" cy="2520000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_Supplementary 2_jr1.tif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20A16" w14:textId="13EF35AA" w:rsidR="000F58D1" w:rsidRDefault="000F58D1" w:rsidP="002F20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Self-Assessment Manikin (SAM)</w:t>
      </w:r>
    </w:p>
    <w:p w14:paraId="6D63532D" w14:textId="01D6BA38" w:rsidR="00717373" w:rsidRDefault="00717373" w:rsidP="002F20E7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initially 56 sentences to rate including 28 neutral, 14 safe and 14 unsafe. Based on obtaining relatively similar scores on the abovementioned scale; particularly the rating of socialability, we selected only a portion of these sentences for the experiment. As a result, there were 36 different sentences that were selected including 18 neutral, 9 safe and 9 unsafe.</w:t>
      </w:r>
    </w:p>
    <w:p w14:paraId="5AEA6757" w14:textId="513C78F0" w:rsidR="002F20E7" w:rsidRDefault="00BA0AF6" w:rsidP="002F20E7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selected sentences, t</w:t>
      </w:r>
      <w:r w:rsidR="002F20E7">
        <w:rPr>
          <w:rFonts w:ascii="Times New Roman" w:hAnsi="Times New Roman" w:cs="Times New Roman"/>
          <w:sz w:val="24"/>
          <w:szCs w:val="24"/>
        </w:rPr>
        <w:t xml:space="preserve">he participant mean ratings for each scale were statistically analysed using a one-way repeated-measures ANOVA. </w:t>
      </w:r>
      <w:r w:rsidR="002172A3">
        <w:rPr>
          <w:rFonts w:ascii="Times New Roman" w:hAnsi="Times New Roman" w:cs="Times New Roman"/>
          <w:sz w:val="24"/>
          <w:szCs w:val="24"/>
        </w:rPr>
        <w:t>While t</w:t>
      </w:r>
      <w:r w:rsidR="002F20E7">
        <w:rPr>
          <w:rFonts w:ascii="Times New Roman" w:hAnsi="Times New Roman" w:cs="Times New Roman"/>
          <w:sz w:val="24"/>
          <w:szCs w:val="24"/>
        </w:rPr>
        <w:t xml:space="preserve">here was </w:t>
      </w:r>
      <w:r w:rsidR="00B53217">
        <w:rPr>
          <w:rFonts w:ascii="Times New Roman" w:hAnsi="Times New Roman" w:cs="Times New Roman"/>
          <w:sz w:val="24"/>
          <w:szCs w:val="24"/>
        </w:rPr>
        <w:t xml:space="preserve">a </w:t>
      </w:r>
      <w:r w:rsidR="002F20E7">
        <w:rPr>
          <w:rFonts w:ascii="Times New Roman" w:hAnsi="Times New Roman" w:cs="Times New Roman"/>
          <w:sz w:val="24"/>
          <w:szCs w:val="24"/>
        </w:rPr>
        <w:t xml:space="preserve">significant effect </w:t>
      </w:r>
      <w:r w:rsidR="002F20E7">
        <w:rPr>
          <w:rFonts w:ascii="Times New Roman" w:hAnsi="Times New Roman" w:cs="Times New Roman"/>
          <w:sz w:val="24"/>
          <w:szCs w:val="24"/>
        </w:rPr>
        <w:lastRenderedPageBreak/>
        <w:t xml:space="preserve">for ratings of </w:t>
      </w:r>
      <w:r w:rsidR="00504E2A">
        <w:rPr>
          <w:rFonts w:ascii="Times New Roman" w:hAnsi="Times New Roman" w:cs="Times New Roman"/>
          <w:sz w:val="24"/>
          <w:szCs w:val="24"/>
        </w:rPr>
        <w:t>valence</w:t>
      </w:r>
      <w:r w:rsidR="002F20E7">
        <w:rPr>
          <w:rFonts w:ascii="Times New Roman" w:hAnsi="Times New Roman" w:cs="Times New Roman"/>
          <w:sz w:val="24"/>
          <w:szCs w:val="24"/>
        </w:rPr>
        <w:t xml:space="preserve">/pleasantness, </w:t>
      </w:r>
      <w:r w:rsidR="00B53217" w:rsidRPr="00995C7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53217">
        <w:rPr>
          <w:rFonts w:ascii="Times New Roman" w:hAnsi="Times New Roman" w:cs="Times New Roman"/>
          <w:sz w:val="24"/>
          <w:szCs w:val="24"/>
        </w:rPr>
        <w:t>(2,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53217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4.73</w:t>
      </w:r>
      <w:r w:rsidR="00B53217">
        <w:rPr>
          <w:rFonts w:ascii="Times New Roman" w:hAnsi="Times New Roman" w:cs="Times New Roman"/>
          <w:sz w:val="24"/>
          <w:szCs w:val="24"/>
        </w:rPr>
        <w:t xml:space="preserve">, </w:t>
      </w:r>
      <w:r w:rsidR="00B5321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53217">
        <w:rPr>
          <w:rFonts w:ascii="Times New Roman" w:hAnsi="Times New Roman" w:cs="Times New Roman"/>
          <w:sz w:val="24"/>
          <w:szCs w:val="24"/>
        </w:rPr>
        <w:t xml:space="preserve"> = 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53217">
        <w:rPr>
          <w:rFonts w:ascii="Times New Roman" w:hAnsi="Times New Roman" w:cs="Times New Roman"/>
          <w:sz w:val="24"/>
          <w:szCs w:val="24"/>
        </w:rPr>
        <w:t xml:space="preserve">, </w:t>
      </w:r>
      <w:r w:rsidR="00B53217">
        <w:rPr>
          <w:rFonts w:ascii="Times New Roman" w:hAnsi="Times New Roman" w:cs="Times New Roman"/>
          <w:i/>
          <w:sz w:val="24"/>
          <w:szCs w:val="24"/>
        </w:rPr>
        <w:t>η</w:t>
      </w:r>
      <w:r w:rsidR="00B53217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B5321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53217" w:rsidRPr="0099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3217">
        <w:rPr>
          <w:rFonts w:ascii="Times New Roman" w:hAnsi="Times New Roman" w:cs="Times New Roman"/>
          <w:sz w:val="24"/>
          <w:szCs w:val="24"/>
        </w:rPr>
        <w:t>= .</w:t>
      </w:r>
      <w:r>
        <w:rPr>
          <w:rFonts w:ascii="Times New Roman" w:hAnsi="Times New Roman" w:cs="Times New Roman"/>
          <w:sz w:val="24"/>
          <w:szCs w:val="24"/>
        </w:rPr>
        <w:t>49</w:t>
      </w:r>
      <w:r w:rsidR="002F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0E7">
        <w:rPr>
          <w:rFonts w:ascii="Times New Roman" w:hAnsi="Times New Roman" w:cs="Times New Roman"/>
          <w:sz w:val="24"/>
          <w:szCs w:val="24"/>
        </w:rPr>
        <w:t xml:space="preserve">and arousal, </w:t>
      </w:r>
      <w:r w:rsidRPr="00995C75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(2,10) = 18.10,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.001, </w:t>
      </w:r>
      <w:r>
        <w:rPr>
          <w:rFonts w:ascii="Times New Roman" w:hAnsi="Times New Roman" w:cs="Times New Roman"/>
          <w:i/>
          <w:sz w:val="24"/>
          <w:szCs w:val="24"/>
        </w:rPr>
        <w:t>η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9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.78</w:t>
      </w:r>
      <w:r w:rsidR="00B53217">
        <w:rPr>
          <w:rFonts w:ascii="Times New Roman" w:hAnsi="Times New Roman" w:cs="Times New Roman"/>
          <w:sz w:val="24"/>
          <w:szCs w:val="24"/>
        </w:rPr>
        <w:t xml:space="preserve">, </w:t>
      </w:r>
      <w:r w:rsidR="002F20E7">
        <w:rPr>
          <w:rFonts w:ascii="Times New Roman" w:hAnsi="Times New Roman" w:cs="Times New Roman"/>
          <w:sz w:val="24"/>
          <w:szCs w:val="24"/>
        </w:rPr>
        <w:t xml:space="preserve">there was no significant effect for ratings </w:t>
      </w:r>
      <w:r w:rsidR="00605938">
        <w:rPr>
          <w:rFonts w:ascii="Times New Roman" w:hAnsi="Times New Roman" w:cs="Times New Roman"/>
          <w:sz w:val="24"/>
          <w:szCs w:val="24"/>
        </w:rPr>
        <w:t xml:space="preserve">of </w:t>
      </w:r>
      <w:r w:rsidR="002F20E7">
        <w:rPr>
          <w:rFonts w:ascii="Times New Roman" w:hAnsi="Times New Roman" w:cs="Times New Roman"/>
          <w:sz w:val="24"/>
          <w:szCs w:val="24"/>
        </w:rPr>
        <w:t>dominance</w:t>
      </w:r>
      <w:r w:rsidR="00B53217">
        <w:rPr>
          <w:rFonts w:ascii="Times New Roman" w:hAnsi="Times New Roman" w:cs="Times New Roman"/>
          <w:sz w:val="24"/>
          <w:szCs w:val="24"/>
        </w:rPr>
        <w:t xml:space="preserve">, </w:t>
      </w:r>
      <w:r w:rsidRPr="00995C75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(2,10) = 3.07,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.09, </w:t>
      </w:r>
      <w:r>
        <w:rPr>
          <w:rFonts w:ascii="Times New Roman" w:hAnsi="Times New Roman" w:cs="Times New Roman"/>
          <w:i/>
          <w:sz w:val="24"/>
          <w:szCs w:val="24"/>
        </w:rPr>
        <w:t>η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9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.38</w:t>
      </w:r>
      <w:r w:rsidR="00B53217">
        <w:rPr>
          <w:rFonts w:ascii="Times New Roman" w:hAnsi="Times New Roman" w:cs="Times New Roman"/>
          <w:sz w:val="24"/>
          <w:szCs w:val="24"/>
        </w:rPr>
        <w:t>,</w:t>
      </w:r>
      <w:r w:rsidR="002F20E7">
        <w:rPr>
          <w:rFonts w:ascii="Times New Roman" w:hAnsi="Times New Roman" w:cs="Times New Roman"/>
          <w:sz w:val="24"/>
          <w:szCs w:val="24"/>
        </w:rPr>
        <w:t xml:space="preserve"> and socialability</w:t>
      </w:r>
      <w:r w:rsidR="00B53217">
        <w:rPr>
          <w:rFonts w:ascii="Times New Roman" w:hAnsi="Times New Roman" w:cs="Times New Roman"/>
          <w:sz w:val="24"/>
          <w:szCs w:val="24"/>
        </w:rPr>
        <w:t xml:space="preserve">, </w:t>
      </w:r>
      <w:r w:rsidRPr="00995C75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(2,10) = .09,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.92, </w:t>
      </w:r>
      <w:r>
        <w:rPr>
          <w:rFonts w:ascii="Times New Roman" w:hAnsi="Times New Roman" w:cs="Times New Roman"/>
          <w:i/>
          <w:sz w:val="24"/>
          <w:szCs w:val="24"/>
        </w:rPr>
        <w:t>η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9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.02</w:t>
      </w:r>
      <w:r w:rsidR="00A07F85">
        <w:rPr>
          <w:rFonts w:ascii="Times New Roman" w:hAnsi="Times New Roman" w:cs="Times New Roman"/>
          <w:sz w:val="24"/>
          <w:szCs w:val="24"/>
        </w:rPr>
        <w:t xml:space="preserve"> (Table 1)</w:t>
      </w:r>
      <w:r w:rsidR="00B53217">
        <w:rPr>
          <w:rFonts w:ascii="Times New Roman" w:hAnsi="Times New Roman" w:cs="Times New Roman"/>
          <w:sz w:val="24"/>
          <w:szCs w:val="24"/>
        </w:rPr>
        <w:t>.</w:t>
      </w:r>
    </w:p>
    <w:p w14:paraId="65DE73F3" w14:textId="181CE86C" w:rsidR="00A07F85" w:rsidRDefault="00A07F85" w:rsidP="00A07F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0D344D" w14:textId="4B490639" w:rsidR="00A07F85" w:rsidRDefault="00A07F85" w:rsidP="00A07F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C1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9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ean </w:t>
      </w:r>
      <w:r w:rsidR="00C8548E">
        <w:rPr>
          <w:rFonts w:ascii="Times New Roman" w:hAnsi="Times New Roman" w:cs="Times New Roman"/>
          <w:sz w:val="24"/>
          <w:szCs w:val="24"/>
        </w:rPr>
        <w:t xml:space="preserve">participant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ratings </w:t>
      </w:r>
      <w:r w:rsidR="00717373">
        <w:rPr>
          <w:rFonts w:ascii="Times New Roman" w:hAnsi="Times New Roman" w:cs="Times New Roman"/>
          <w:sz w:val="24"/>
          <w:szCs w:val="24"/>
        </w:rPr>
        <w:t xml:space="preserve">(±SE) </w:t>
      </w:r>
      <w:r>
        <w:rPr>
          <w:rFonts w:ascii="Times New Roman" w:hAnsi="Times New Roman" w:cs="Times New Roman"/>
          <w:sz w:val="24"/>
          <w:szCs w:val="24"/>
        </w:rPr>
        <w:t>for each of the prime conditions</w:t>
      </w:r>
      <w:r w:rsidR="007173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</w:t>
      </w:r>
      <w:r w:rsidR="00717373">
        <w:rPr>
          <w:rFonts w:ascii="Times New Roman" w:hAnsi="Times New Roman" w:cs="Times New Roman"/>
          <w:sz w:val="24"/>
          <w:szCs w:val="24"/>
        </w:rPr>
        <w:t>.B.</w:t>
      </w:r>
      <w:r>
        <w:rPr>
          <w:rFonts w:ascii="Times New Roman" w:hAnsi="Times New Roman" w:cs="Times New Roman"/>
          <w:sz w:val="24"/>
          <w:szCs w:val="24"/>
        </w:rPr>
        <w:t>, safe and unsafe conditions also comprise</w:t>
      </w:r>
      <w:r w:rsidR="007173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portion of </w:t>
      </w:r>
      <w:r w:rsidR="0071737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neutral primes</w:t>
      </w:r>
      <w:r w:rsidR="0071737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2"/>
        <w:gridCol w:w="2247"/>
        <w:gridCol w:w="2245"/>
        <w:gridCol w:w="2247"/>
      </w:tblGrid>
      <w:tr w:rsidR="00A07F85" w14:paraId="74F80E00" w14:textId="77777777" w:rsidTr="00AA6FE1">
        <w:trPr>
          <w:trHeight w:val="567"/>
          <w:jc w:val="center"/>
        </w:trPr>
        <w:tc>
          <w:tcPr>
            <w:tcW w:w="2254" w:type="dxa"/>
            <w:tcBorders>
              <w:top w:val="nil"/>
              <w:left w:val="nil"/>
            </w:tcBorders>
            <w:vAlign w:val="center"/>
          </w:tcPr>
          <w:p w14:paraId="6BED0896" w14:textId="77777777" w:rsidR="00A07F85" w:rsidRDefault="00A07F85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F6F5D39" w14:textId="796D38A4" w:rsidR="00A07F85" w:rsidRDefault="00A07F85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2254" w:type="dxa"/>
            <w:vAlign w:val="center"/>
          </w:tcPr>
          <w:p w14:paraId="6E5841ED" w14:textId="7531262E" w:rsidR="00A07F85" w:rsidRDefault="00A07F85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</w:p>
        </w:tc>
        <w:tc>
          <w:tcPr>
            <w:tcW w:w="2254" w:type="dxa"/>
            <w:vAlign w:val="center"/>
          </w:tcPr>
          <w:p w14:paraId="4AE6026E" w14:textId="36E89CE8" w:rsidR="00A07F85" w:rsidRDefault="00A07F85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Unsafe</w:t>
            </w:r>
          </w:p>
        </w:tc>
      </w:tr>
      <w:tr w:rsidR="00A07F85" w14:paraId="483BE655" w14:textId="77777777" w:rsidTr="00A07F85">
        <w:trPr>
          <w:trHeight w:val="567"/>
          <w:jc w:val="center"/>
        </w:trPr>
        <w:tc>
          <w:tcPr>
            <w:tcW w:w="2254" w:type="dxa"/>
            <w:vAlign w:val="center"/>
          </w:tcPr>
          <w:p w14:paraId="6B3E003F" w14:textId="39B3C9D4" w:rsidR="00A07F85" w:rsidRDefault="00504E2A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  <w:r w:rsidR="00A07F85">
              <w:rPr>
                <w:rFonts w:ascii="Times New Roman" w:hAnsi="Times New Roman" w:cs="Times New Roman"/>
                <w:sz w:val="24"/>
                <w:szCs w:val="24"/>
              </w:rPr>
              <w:t>/Pleasantness</w:t>
            </w:r>
          </w:p>
        </w:tc>
        <w:tc>
          <w:tcPr>
            <w:tcW w:w="2254" w:type="dxa"/>
            <w:vAlign w:val="center"/>
          </w:tcPr>
          <w:p w14:paraId="449C609B" w14:textId="5E2A0890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 (.22)</w:t>
            </w:r>
          </w:p>
        </w:tc>
        <w:tc>
          <w:tcPr>
            <w:tcW w:w="2254" w:type="dxa"/>
            <w:vAlign w:val="center"/>
          </w:tcPr>
          <w:p w14:paraId="3E32ED8E" w14:textId="63037E0C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 (.05)</w:t>
            </w:r>
          </w:p>
        </w:tc>
        <w:tc>
          <w:tcPr>
            <w:tcW w:w="2254" w:type="dxa"/>
            <w:vAlign w:val="center"/>
          </w:tcPr>
          <w:p w14:paraId="42D032DB" w14:textId="5135FDEE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 (.17)</w:t>
            </w:r>
          </w:p>
        </w:tc>
      </w:tr>
      <w:tr w:rsidR="00A07F85" w14:paraId="09127D4B" w14:textId="77777777" w:rsidTr="00A07F85">
        <w:trPr>
          <w:trHeight w:val="567"/>
          <w:jc w:val="center"/>
        </w:trPr>
        <w:tc>
          <w:tcPr>
            <w:tcW w:w="2254" w:type="dxa"/>
            <w:vAlign w:val="center"/>
          </w:tcPr>
          <w:p w14:paraId="3D001E80" w14:textId="065DBCAE" w:rsidR="00A07F85" w:rsidRDefault="00A07F85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Arousal</w:t>
            </w:r>
          </w:p>
        </w:tc>
        <w:tc>
          <w:tcPr>
            <w:tcW w:w="2254" w:type="dxa"/>
            <w:vAlign w:val="center"/>
          </w:tcPr>
          <w:p w14:paraId="489EE340" w14:textId="15055A30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 (.25)</w:t>
            </w:r>
          </w:p>
        </w:tc>
        <w:tc>
          <w:tcPr>
            <w:tcW w:w="2254" w:type="dxa"/>
            <w:vAlign w:val="center"/>
          </w:tcPr>
          <w:p w14:paraId="1280E46C" w14:textId="6C7ACDC5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 (.25)</w:t>
            </w:r>
          </w:p>
        </w:tc>
        <w:tc>
          <w:tcPr>
            <w:tcW w:w="2254" w:type="dxa"/>
            <w:vAlign w:val="center"/>
          </w:tcPr>
          <w:p w14:paraId="75C7B25C" w14:textId="0101CF3A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(.29)</w:t>
            </w:r>
          </w:p>
        </w:tc>
      </w:tr>
      <w:tr w:rsidR="00A07F85" w14:paraId="02A23711" w14:textId="77777777" w:rsidTr="00A07F85">
        <w:trPr>
          <w:trHeight w:val="567"/>
          <w:jc w:val="center"/>
        </w:trPr>
        <w:tc>
          <w:tcPr>
            <w:tcW w:w="2254" w:type="dxa"/>
            <w:vAlign w:val="center"/>
          </w:tcPr>
          <w:p w14:paraId="255D621E" w14:textId="753B39BD" w:rsidR="00A07F85" w:rsidRDefault="00A07F85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Dominance</w:t>
            </w:r>
          </w:p>
        </w:tc>
        <w:tc>
          <w:tcPr>
            <w:tcW w:w="2254" w:type="dxa"/>
            <w:vAlign w:val="center"/>
          </w:tcPr>
          <w:p w14:paraId="0A89D166" w14:textId="3D34F849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 (.41)</w:t>
            </w:r>
          </w:p>
        </w:tc>
        <w:tc>
          <w:tcPr>
            <w:tcW w:w="2254" w:type="dxa"/>
            <w:vAlign w:val="center"/>
          </w:tcPr>
          <w:p w14:paraId="6432E7E1" w14:textId="68A086EA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 (.41)</w:t>
            </w:r>
          </w:p>
        </w:tc>
        <w:tc>
          <w:tcPr>
            <w:tcW w:w="2254" w:type="dxa"/>
            <w:vAlign w:val="center"/>
          </w:tcPr>
          <w:p w14:paraId="0FF69AED" w14:textId="220DDA5C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 (.42)</w:t>
            </w:r>
          </w:p>
        </w:tc>
      </w:tr>
      <w:tr w:rsidR="00A07F85" w14:paraId="1F466DB1" w14:textId="77777777" w:rsidTr="00A07F85">
        <w:trPr>
          <w:trHeight w:val="567"/>
          <w:jc w:val="center"/>
        </w:trPr>
        <w:tc>
          <w:tcPr>
            <w:tcW w:w="2254" w:type="dxa"/>
            <w:vAlign w:val="center"/>
          </w:tcPr>
          <w:p w14:paraId="242726CC" w14:textId="175FB2D1" w:rsidR="00A07F85" w:rsidRDefault="00A07F85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Socialability</w:t>
            </w:r>
          </w:p>
        </w:tc>
        <w:tc>
          <w:tcPr>
            <w:tcW w:w="2254" w:type="dxa"/>
            <w:vAlign w:val="center"/>
          </w:tcPr>
          <w:p w14:paraId="0D082C9E" w14:textId="42F31E52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 (.22)</w:t>
            </w:r>
          </w:p>
        </w:tc>
        <w:tc>
          <w:tcPr>
            <w:tcW w:w="2254" w:type="dxa"/>
            <w:vAlign w:val="center"/>
          </w:tcPr>
          <w:p w14:paraId="0DA45EFA" w14:textId="542F1089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 (.17)</w:t>
            </w:r>
          </w:p>
        </w:tc>
        <w:tc>
          <w:tcPr>
            <w:tcW w:w="2254" w:type="dxa"/>
            <w:vAlign w:val="center"/>
          </w:tcPr>
          <w:p w14:paraId="75DC4B6C" w14:textId="4A4D0392" w:rsidR="00A07F85" w:rsidRDefault="00717373" w:rsidP="00A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 (.16)</w:t>
            </w:r>
          </w:p>
        </w:tc>
      </w:tr>
    </w:tbl>
    <w:p w14:paraId="6990BAC3" w14:textId="77777777" w:rsidR="009C30E8" w:rsidRDefault="009C30E8" w:rsidP="005234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BB0D19" w14:textId="7059ACD8" w:rsidR="009C30E8" w:rsidRDefault="009C30E8" w:rsidP="009C30E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0E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61B0F8A0" w14:textId="63220950" w:rsidR="00421846" w:rsidRDefault="009C30E8" w:rsidP="00963A7D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MM, Lang PJ</w:t>
      </w:r>
      <w:r w:rsidR="00261E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Measuring emotion: the self-assessment manikin and the semantic differential. </w:t>
      </w:r>
      <w:r w:rsidR="00421846" w:rsidRPr="00421846">
        <w:rPr>
          <w:rFonts w:ascii="Times New Roman" w:hAnsi="Times New Roman" w:cs="Times New Roman"/>
          <w:sz w:val="24"/>
          <w:szCs w:val="24"/>
        </w:rPr>
        <w:t>J B</w:t>
      </w:r>
      <w:r w:rsidR="00421846">
        <w:rPr>
          <w:rFonts w:ascii="Times New Roman" w:hAnsi="Times New Roman" w:cs="Times New Roman"/>
          <w:sz w:val="24"/>
          <w:szCs w:val="24"/>
        </w:rPr>
        <w:t xml:space="preserve">ehav </w:t>
      </w:r>
      <w:r w:rsidR="00421846" w:rsidRPr="00421846">
        <w:rPr>
          <w:rFonts w:ascii="Times New Roman" w:hAnsi="Times New Roman" w:cs="Times New Roman"/>
          <w:sz w:val="24"/>
          <w:szCs w:val="24"/>
        </w:rPr>
        <w:t>T</w:t>
      </w:r>
      <w:r w:rsidR="00421846">
        <w:rPr>
          <w:rFonts w:ascii="Times New Roman" w:hAnsi="Times New Roman" w:cs="Times New Roman"/>
          <w:sz w:val="24"/>
          <w:szCs w:val="24"/>
        </w:rPr>
        <w:t>her</w:t>
      </w:r>
      <w:r w:rsidR="00421846" w:rsidRPr="00421846">
        <w:rPr>
          <w:rFonts w:ascii="Times New Roman" w:hAnsi="Times New Roman" w:cs="Times New Roman"/>
          <w:sz w:val="24"/>
          <w:szCs w:val="24"/>
        </w:rPr>
        <w:t xml:space="preserve"> E</w:t>
      </w:r>
      <w:r w:rsidR="00421846">
        <w:rPr>
          <w:rFonts w:ascii="Times New Roman" w:hAnsi="Times New Roman" w:cs="Times New Roman"/>
          <w:sz w:val="24"/>
          <w:szCs w:val="24"/>
        </w:rPr>
        <w:t>xp</w:t>
      </w:r>
      <w:r w:rsidR="00421846" w:rsidRPr="00421846">
        <w:rPr>
          <w:rFonts w:ascii="Times New Roman" w:hAnsi="Times New Roman" w:cs="Times New Roman"/>
          <w:sz w:val="24"/>
          <w:szCs w:val="24"/>
        </w:rPr>
        <w:t xml:space="preserve"> P</w:t>
      </w:r>
      <w:r w:rsidR="00421846">
        <w:rPr>
          <w:rFonts w:ascii="Times New Roman" w:hAnsi="Times New Roman" w:cs="Times New Roman"/>
          <w:sz w:val="24"/>
          <w:szCs w:val="24"/>
        </w:rPr>
        <w:t>sy</w:t>
      </w:r>
      <w:r w:rsidR="00261EC1">
        <w:rPr>
          <w:rFonts w:ascii="Times New Roman" w:hAnsi="Times New Roman" w:cs="Times New Roman"/>
          <w:sz w:val="24"/>
          <w:szCs w:val="24"/>
        </w:rPr>
        <w:t>. 1994;</w:t>
      </w:r>
      <w:r w:rsidR="00421846">
        <w:rPr>
          <w:rFonts w:ascii="Times New Roman" w:hAnsi="Times New Roman" w:cs="Times New Roman"/>
          <w:sz w:val="24"/>
          <w:szCs w:val="24"/>
        </w:rPr>
        <w:t xml:space="preserve"> 25</w:t>
      </w:r>
      <w:r w:rsidR="00261EC1">
        <w:rPr>
          <w:rFonts w:ascii="Times New Roman" w:hAnsi="Times New Roman" w:cs="Times New Roman"/>
          <w:sz w:val="24"/>
          <w:szCs w:val="24"/>
        </w:rPr>
        <w:t>(1)</w:t>
      </w:r>
      <w:r w:rsidR="00421846">
        <w:rPr>
          <w:rFonts w:ascii="Times New Roman" w:hAnsi="Times New Roman" w:cs="Times New Roman"/>
          <w:sz w:val="24"/>
          <w:szCs w:val="24"/>
        </w:rPr>
        <w:t>:49-59.</w:t>
      </w:r>
    </w:p>
    <w:p w14:paraId="3A2172D7" w14:textId="01ACAA75" w:rsidR="00421846" w:rsidRDefault="00421846" w:rsidP="00421846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 PJ, Greenwald MK, Bradley MM, Hamm AO</w:t>
      </w:r>
      <w:r w:rsidR="00261EC1">
        <w:rPr>
          <w:rFonts w:ascii="Times New Roman" w:hAnsi="Times New Roman" w:cs="Times New Roman"/>
          <w:sz w:val="24"/>
          <w:szCs w:val="24"/>
        </w:rPr>
        <w:t xml:space="preserve">. </w:t>
      </w:r>
      <w:r w:rsidRPr="00421846">
        <w:rPr>
          <w:rFonts w:ascii="Times New Roman" w:hAnsi="Times New Roman" w:cs="Times New Roman"/>
          <w:sz w:val="24"/>
          <w:szCs w:val="24"/>
        </w:rPr>
        <w:t>Looking at pictures: affective, facial, visceral, and behavioral reactions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1846">
        <w:rPr>
          <w:rFonts w:ascii="Times New Roman" w:hAnsi="Times New Roman" w:cs="Times New Roman"/>
          <w:sz w:val="24"/>
          <w:szCs w:val="24"/>
        </w:rPr>
        <w:t>Psychophysio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21846">
        <w:rPr>
          <w:rFonts w:ascii="Times New Roman" w:hAnsi="Times New Roman" w:cs="Times New Roman"/>
          <w:sz w:val="24"/>
          <w:szCs w:val="24"/>
        </w:rPr>
        <w:t>ogy</w:t>
      </w:r>
      <w:r w:rsidR="00261EC1">
        <w:rPr>
          <w:rFonts w:ascii="Times New Roman" w:hAnsi="Times New Roman" w:cs="Times New Roman"/>
          <w:sz w:val="24"/>
          <w:szCs w:val="24"/>
        </w:rPr>
        <w:t>. 1993;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261EC1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:261-73.</w:t>
      </w:r>
    </w:p>
    <w:p w14:paraId="619A284C" w14:textId="2B51F18E" w:rsidR="00421846" w:rsidRDefault="00421846" w:rsidP="00421846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Grecucci A, Balaban E, Buiatti T, Budai R, Rumiati RI</w:t>
      </w:r>
      <w:r w:rsidR="00261EC1">
        <w:rPr>
          <w:rFonts w:ascii="Times New Roman" w:hAnsi="Times New Roman" w:cs="Times New Roman"/>
          <w:sz w:val="24"/>
          <w:szCs w:val="24"/>
        </w:rPr>
        <w:t xml:space="preserve">. </w:t>
      </w:r>
      <w:r w:rsidRPr="00421846">
        <w:rPr>
          <w:rFonts w:ascii="Times New Roman" w:hAnsi="Times New Roman" w:cs="Times New Roman"/>
          <w:sz w:val="24"/>
          <w:szCs w:val="24"/>
        </w:rPr>
        <w:t>The emotional control of action: ERP evidence</w:t>
      </w:r>
      <w:r>
        <w:rPr>
          <w:rFonts w:ascii="Times New Roman" w:hAnsi="Times New Roman" w:cs="Times New Roman"/>
          <w:sz w:val="24"/>
          <w:szCs w:val="24"/>
        </w:rPr>
        <w:t>. Arch Ital Biol</w:t>
      </w:r>
      <w:r w:rsidR="00261EC1">
        <w:rPr>
          <w:rFonts w:ascii="Times New Roman" w:hAnsi="Times New Roman" w:cs="Times New Roman"/>
          <w:sz w:val="24"/>
          <w:szCs w:val="24"/>
        </w:rPr>
        <w:t xml:space="preserve">. 2009; </w:t>
      </w:r>
      <w:r>
        <w:rPr>
          <w:rFonts w:ascii="Times New Roman" w:hAnsi="Times New Roman" w:cs="Times New Roman"/>
          <w:sz w:val="24"/>
          <w:szCs w:val="24"/>
        </w:rPr>
        <w:t>147</w:t>
      </w:r>
      <w:r w:rsidR="00261EC1">
        <w:rPr>
          <w:rFonts w:ascii="Times New Roman" w:hAnsi="Times New Roman" w:cs="Times New Roman"/>
          <w:sz w:val="24"/>
          <w:szCs w:val="24"/>
        </w:rPr>
        <w:t>(1-2)</w:t>
      </w:r>
      <w:r>
        <w:rPr>
          <w:rFonts w:ascii="Times New Roman" w:hAnsi="Times New Roman" w:cs="Times New Roman"/>
          <w:sz w:val="24"/>
          <w:szCs w:val="24"/>
        </w:rPr>
        <w:t>:37-49.</w:t>
      </w:r>
    </w:p>
    <w:p w14:paraId="2E8FB190" w14:textId="2403FC32" w:rsidR="00963A7D" w:rsidRDefault="005234BE" w:rsidP="00963A7D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Grecucci A, Koch I, Rumiati RI</w:t>
      </w:r>
      <w:r w:rsidR="00DB58C1">
        <w:rPr>
          <w:rFonts w:ascii="Times New Roman" w:hAnsi="Times New Roman" w:cs="Times New Roman"/>
          <w:sz w:val="24"/>
          <w:szCs w:val="24"/>
        </w:rPr>
        <w:t xml:space="preserve">. </w:t>
      </w:r>
      <w:r w:rsidRPr="005234BE">
        <w:rPr>
          <w:rFonts w:ascii="Times New Roman" w:hAnsi="Times New Roman" w:cs="Times New Roman"/>
          <w:sz w:val="24"/>
          <w:szCs w:val="24"/>
        </w:rPr>
        <w:t>The role of emotional context in facilitating imitative actions</w:t>
      </w:r>
      <w:r>
        <w:rPr>
          <w:rFonts w:ascii="Times New Roman" w:hAnsi="Times New Roman" w:cs="Times New Roman"/>
          <w:sz w:val="24"/>
          <w:szCs w:val="24"/>
        </w:rPr>
        <w:t>. Acta Psychol</w:t>
      </w:r>
      <w:r w:rsidR="00DB58C1">
        <w:rPr>
          <w:rFonts w:ascii="Times New Roman" w:hAnsi="Times New Roman" w:cs="Times New Roman"/>
          <w:sz w:val="24"/>
          <w:szCs w:val="24"/>
        </w:rPr>
        <w:t>. 2011;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  <w:r w:rsidR="00963A7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:311-5.</w:t>
      </w:r>
    </w:p>
    <w:p w14:paraId="4A4DCC10" w14:textId="0580858A" w:rsidR="005234BE" w:rsidRPr="00963A7D" w:rsidRDefault="00963A7D" w:rsidP="00963A7D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63A7D">
        <w:rPr>
          <w:rFonts w:ascii="Times New Roman" w:hAnsi="Times New Roman" w:cs="Times New Roman"/>
          <w:sz w:val="24"/>
          <w:szCs w:val="24"/>
        </w:rPr>
        <w:t>Leighton J, Bird G, Orsini C, Heyes C. Social attitudes modulate automatic imitation. J Exp Soc Psychol. 2010; 46(6):905-10.</w:t>
      </w:r>
    </w:p>
    <w:sectPr w:rsidR="005234BE" w:rsidRPr="0096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96F"/>
    <w:multiLevelType w:val="hybridMultilevel"/>
    <w:tmpl w:val="FA9C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F3816"/>
    <w:multiLevelType w:val="hybridMultilevel"/>
    <w:tmpl w:val="984E7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32"/>
    <w:rsid w:val="000F58D1"/>
    <w:rsid w:val="001D145A"/>
    <w:rsid w:val="002172A3"/>
    <w:rsid w:val="00261EC1"/>
    <w:rsid w:val="002F20E7"/>
    <w:rsid w:val="00421846"/>
    <w:rsid w:val="00504E2A"/>
    <w:rsid w:val="005234BE"/>
    <w:rsid w:val="0059790A"/>
    <w:rsid w:val="005D3965"/>
    <w:rsid w:val="005E050A"/>
    <w:rsid w:val="00605938"/>
    <w:rsid w:val="00611ECB"/>
    <w:rsid w:val="00664F7F"/>
    <w:rsid w:val="00717373"/>
    <w:rsid w:val="00854500"/>
    <w:rsid w:val="008F7E66"/>
    <w:rsid w:val="00963A7D"/>
    <w:rsid w:val="009A7B3F"/>
    <w:rsid w:val="009C30E8"/>
    <w:rsid w:val="00A07F85"/>
    <w:rsid w:val="00A2392F"/>
    <w:rsid w:val="00AA6FE1"/>
    <w:rsid w:val="00AD36E8"/>
    <w:rsid w:val="00B53217"/>
    <w:rsid w:val="00BA0AF6"/>
    <w:rsid w:val="00BE39AE"/>
    <w:rsid w:val="00C8548E"/>
    <w:rsid w:val="00D40732"/>
    <w:rsid w:val="00D641AE"/>
    <w:rsid w:val="00DA3B70"/>
    <w:rsid w:val="00DB58C1"/>
    <w:rsid w:val="00E6500C"/>
    <w:rsid w:val="00EB43B2"/>
    <w:rsid w:val="00F3257A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AF07"/>
  <w15:chartTrackingRefBased/>
  <w15:docId w15:val="{6AB41250-3525-4B67-8A64-7F38E44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James</dc:creator>
  <cp:keywords/>
  <dc:description/>
  <cp:lastModifiedBy>Roberts, James</cp:lastModifiedBy>
  <cp:revision>16</cp:revision>
  <dcterms:created xsi:type="dcterms:W3CDTF">2022-04-28T08:08:00Z</dcterms:created>
  <dcterms:modified xsi:type="dcterms:W3CDTF">2022-06-08T10:10:00Z</dcterms:modified>
</cp:coreProperties>
</file>