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EB18B" w14:textId="6B6E122E" w:rsidR="0092364A" w:rsidRPr="00342716" w:rsidRDefault="00342716" w:rsidP="0092364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33"/>
          <w:sz w:val="18"/>
          <w:szCs w:val="18"/>
        </w:rPr>
      </w:pPr>
      <w:r w:rsidRPr="00342716">
        <w:rPr>
          <w:rFonts w:ascii="Arial" w:hAnsi="Arial" w:cs="Arial"/>
          <w:b/>
          <w:color w:val="000033"/>
          <w:sz w:val="18"/>
          <w:szCs w:val="18"/>
        </w:rPr>
        <w:t>S3</w:t>
      </w:r>
      <w:r w:rsidR="0092364A" w:rsidRPr="00342716">
        <w:rPr>
          <w:rFonts w:ascii="Arial" w:hAnsi="Arial" w:cs="Arial"/>
          <w:b/>
          <w:color w:val="000033"/>
          <w:sz w:val="18"/>
          <w:szCs w:val="18"/>
        </w:rPr>
        <w:t xml:space="preserve"> Table</w:t>
      </w:r>
      <w:r w:rsidR="0092364A" w:rsidRPr="00342716">
        <w:rPr>
          <w:rFonts w:ascii="Arial" w:hAnsi="Arial" w:cs="Arial"/>
          <w:b/>
          <w:sz w:val="18"/>
          <w:szCs w:val="18"/>
        </w:rPr>
        <w:t xml:space="preserve">. Crude and adjusted hazard ratios of </w:t>
      </w:r>
      <w:r w:rsidR="005116D0" w:rsidRPr="00E9607B">
        <w:rPr>
          <w:rFonts w:ascii="Arial" w:hAnsi="Arial" w:cs="Arial"/>
          <w:b/>
          <w:sz w:val="18"/>
          <w:szCs w:val="18"/>
        </w:rPr>
        <w:t>first l</w:t>
      </w:r>
      <w:r w:rsidR="0092364A" w:rsidRPr="00E9607B">
        <w:rPr>
          <w:rFonts w:ascii="Arial" w:hAnsi="Arial" w:cs="Arial"/>
          <w:b/>
          <w:sz w:val="18"/>
          <w:szCs w:val="18"/>
        </w:rPr>
        <w:t>iver related decompensations (</w:t>
      </w:r>
      <w:r w:rsidR="005116D0" w:rsidRPr="00E9607B">
        <w:rPr>
          <w:rFonts w:ascii="Arial" w:hAnsi="Arial" w:cs="Arial"/>
          <w:b/>
          <w:sz w:val="18"/>
          <w:szCs w:val="18"/>
        </w:rPr>
        <w:t xml:space="preserve">including </w:t>
      </w:r>
      <w:r w:rsidR="0092364A" w:rsidRPr="00E9607B">
        <w:rPr>
          <w:rFonts w:ascii="Arial" w:hAnsi="Arial" w:cs="Arial"/>
          <w:b/>
          <w:sz w:val="18"/>
          <w:szCs w:val="18"/>
        </w:rPr>
        <w:t>first event of variceal bleeding, ascites, spontaneous peritonitis or encephalopathy)</w:t>
      </w:r>
      <w:r w:rsidR="0092364A" w:rsidRPr="00342716">
        <w:rPr>
          <w:rFonts w:ascii="Arial" w:hAnsi="Arial" w:cs="Arial"/>
          <w:b/>
          <w:sz w:val="18"/>
          <w:szCs w:val="18"/>
        </w:rPr>
        <w:t xml:space="preserve"> according to quartiles of BCAA intake derived from average daily BCAA intake (measured in grams of BCAA per 1000 kcal of daily energy intake).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459"/>
        <w:gridCol w:w="2880"/>
      </w:tblGrid>
      <w:tr w:rsidR="0092364A" w14:paraId="68A2CB26" w14:textId="77777777" w:rsidTr="00C26B81">
        <w:tc>
          <w:tcPr>
            <w:tcW w:w="3116" w:type="dxa"/>
          </w:tcPr>
          <w:p w14:paraId="005DF6EB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</w:tcPr>
          <w:p w14:paraId="2FD64B8C" w14:textId="77777777" w:rsidR="0092364A" w:rsidRPr="0092364A" w:rsidRDefault="0092364A" w:rsidP="00C26B81">
            <w:pPr>
              <w:pStyle w:val="BodyText"/>
              <w:jc w:val="center"/>
              <w:rPr>
                <w:sz w:val="18"/>
                <w:szCs w:val="18"/>
              </w:rPr>
            </w:pPr>
            <w:r w:rsidRPr="0092364A">
              <w:rPr>
                <w:sz w:val="18"/>
                <w:szCs w:val="18"/>
              </w:rPr>
              <w:t>Crude HR</w:t>
            </w:r>
          </w:p>
          <w:p w14:paraId="4B1CF9D9" w14:textId="77777777" w:rsidR="0092364A" w:rsidRPr="0092364A" w:rsidRDefault="0092364A" w:rsidP="00C26B81">
            <w:pPr>
              <w:pStyle w:val="BodyText"/>
              <w:jc w:val="center"/>
              <w:rPr>
                <w:sz w:val="18"/>
                <w:szCs w:val="18"/>
              </w:rPr>
            </w:pPr>
            <w:r w:rsidRPr="0092364A">
              <w:rPr>
                <w:sz w:val="18"/>
                <w:szCs w:val="18"/>
              </w:rPr>
              <w:t>(95% CI)</w:t>
            </w:r>
          </w:p>
        </w:tc>
        <w:tc>
          <w:tcPr>
            <w:tcW w:w="2880" w:type="dxa"/>
          </w:tcPr>
          <w:p w14:paraId="31A9E6B4" w14:textId="77777777" w:rsidR="0092364A" w:rsidRPr="0092364A" w:rsidRDefault="0092364A" w:rsidP="00C26B81">
            <w:pPr>
              <w:pStyle w:val="BodyText"/>
              <w:jc w:val="center"/>
              <w:rPr>
                <w:sz w:val="18"/>
                <w:szCs w:val="18"/>
              </w:rPr>
            </w:pPr>
            <w:r w:rsidRPr="0092364A">
              <w:rPr>
                <w:sz w:val="18"/>
                <w:szCs w:val="18"/>
                <w:vertAlign w:val="superscript"/>
              </w:rPr>
              <w:t>a</w:t>
            </w:r>
            <w:r w:rsidRPr="0092364A">
              <w:rPr>
                <w:sz w:val="18"/>
                <w:szCs w:val="18"/>
              </w:rPr>
              <w:t>AHR</w:t>
            </w:r>
          </w:p>
          <w:p w14:paraId="5E045E4E" w14:textId="77777777" w:rsidR="0092364A" w:rsidRPr="0092364A" w:rsidRDefault="0092364A" w:rsidP="00C26B81">
            <w:pPr>
              <w:pStyle w:val="BodyText"/>
              <w:jc w:val="center"/>
              <w:rPr>
                <w:sz w:val="18"/>
                <w:szCs w:val="18"/>
                <w:vertAlign w:val="superscript"/>
              </w:rPr>
            </w:pPr>
            <w:r w:rsidRPr="0092364A">
              <w:rPr>
                <w:sz w:val="18"/>
                <w:szCs w:val="18"/>
              </w:rPr>
              <w:t>(95% CI)</w:t>
            </w:r>
          </w:p>
        </w:tc>
      </w:tr>
      <w:tr w:rsidR="0092364A" w14:paraId="28571B47" w14:textId="77777777" w:rsidTr="00C26B81">
        <w:tc>
          <w:tcPr>
            <w:tcW w:w="3116" w:type="dxa"/>
          </w:tcPr>
          <w:p w14:paraId="48585176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BCAA intake categories</w:t>
            </w:r>
          </w:p>
        </w:tc>
        <w:tc>
          <w:tcPr>
            <w:tcW w:w="2459" w:type="dxa"/>
          </w:tcPr>
          <w:p w14:paraId="7F3A01D7" w14:textId="77777777" w:rsidR="0092364A" w:rsidRDefault="0092364A" w:rsidP="00C26B81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2880" w:type="dxa"/>
          </w:tcPr>
          <w:p w14:paraId="6F659D79" w14:textId="77777777" w:rsidR="0092364A" w:rsidRDefault="0092364A" w:rsidP="00C26B81">
            <w:pPr>
              <w:pStyle w:val="BodyText"/>
              <w:jc w:val="center"/>
              <w:rPr>
                <w:sz w:val="16"/>
              </w:rPr>
            </w:pPr>
          </w:p>
        </w:tc>
      </w:tr>
      <w:tr w:rsidR="0092364A" w14:paraId="79960025" w14:textId="77777777" w:rsidTr="00C26B81">
        <w:tc>
          <w:tcPr>
            <w:tcW w:w="3116" w:type="dxa"/>
          </w:tcPr>
          <w:p w14:paraId="30BE310F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14:paraId="0B6CE41E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6B781A4E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2364A" w14:paraId="5DF04AE2" w14:textId="77777777" w:rsidTr="00C26B81">
        <w:tc>
          <w:tcPr>
            <w:tcW w:w="3116" w:type="dxa"/>
          </w:tcPr>
          <w:p w14:paraId="0A90752B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14:paraId="62EBB17C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 (0.35-1.38)</w:t>
            </w:r>
          </w:p>
        </w:tc>
        <w:tc>
          <w:tcPr>
            <w:tcW w:w="2880" w:type="dxa"/>
          </w:tcPr>
          <w:p w14:paraId="0704CB1A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 (0.30-1.36)</w:t>
            </w:r>
          </w:p>
        </w:tc>
      </w:tr>
      <w:tr w:rsidR="0092364A" w14:paraId="1719A82B" w14:textId="77777777" w:rsidTr="00C26B81">
        <w:tc>
          <w:tcPr>
            <w:tcW w:w="3116" w:type="dxa"/>
          </w:tcPr>
          <w:p w14:paraId="6675A0E8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59" w:type="dxa"/>
          </w:tcPr>
          <w:p w14:paraId="49AAD832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 (0.60-2.03)</w:t>
            </w:r>
          </w:p>
        </w:tc>
        <w:tc>
          <w:tcPr>
            <w:tcW w:w="2880" w:type="dxa"/>
          </w:tcPr>
          <w:p w14:paraId="3A34CFEE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 (0.51-2.16)</w:t>
            </w:r>
          </w:p>
        </w:tc>
      </w:tr>
      <w:tr w:rsidR="0092364A" w14:paraId="6248FF06" w14:textId="77777777" w:rsidTr="00C26B81">
        <w:tc>
          <w:tcPr>
            <w:tcW w:w="3116" w:type="dxa"/>
          </w:tcPr>
          <w:p w14:paraId="4E5530C5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59" w:type="dxa"/>
          </w:tcPr>
          <w:p w14:paraId="353CC36B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 (0.52-1.82)</w:t>
            </w:r>
          </w:p>
        </w:tc>
        <w:tc>
          <w:tcPr>
            <w:tcW w:w="2880" w:type="dxa"/>
          </w:tcPr>
          <w:p w14:paraId="7721AF24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 (0.42-1.95)</w:t>
            </w:r>
          </w:p>
        </w:tc>
      </w:tr>
      <w:tr w:rsidR="0092364A" w14:paraId="7EA400E3" w14:textId="77777777" w:rsidTr="00C26B81">
        <w:tc>
          <w:tcPr>
            <w:tcW w:w="3116" w:type="dxa"/>
          </w:tcPr>
          <w:p w14:paraId="256C6844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2459" w:type="dxa"/>
          </w:tcPr>
          <w:p w14:paraId="4AE8BF6F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 (0.96-1.03)</w:t>
            </w:r>
          </w:p>
        </w:tc>
        <w:tc>
          <w:tcPr>
            <w:tcW w:w="2880" w:type="dxa"/>
          </w:tcPr>
          <w:p w14:paraId="5E04F125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 (0.95-1.03)</w:t>
            </w:r>
          </w:p>
        </w:tc>
      </w:tr>
      <w:tr w:rsidR="0092364A" w14:paraId="22756A46" w14:textId="77777777" w:rsidTr="00C26B81">
        <w:tc>
          <w:tcPr>
            <w:tcW w:w="3116" w:type="dxa"/>
          </w:tcPr>
          <w:p w14:paraId="74C30C9B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2459" w:type="dxa"/>
          </w:tcPr>
          <w:p w14:paraId="79C79828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9252E7D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64A" w14:paraId="36C618EA" w14:textId="77777777" w:rsidTr="00C26B81">
        <w:tc>
          <w:tcPr>
            <w:tcW w:w="3116" w:type="dxa"/>
          </w:tcPr>
          <w:p w14:paraId="0D7AB276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2459" w:type="dxa"/>
          </w:tcPr>
          <w:p w14:paraId="371D00BB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6EB1D1AF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2364A" w14:paraId="3271054E" w14:textId="77777777" w:rsidTr="00C26B81">
        <w:tc>
          <w:tcPr>
            <w:tcW w:w="3116" w:type="dxa"/>
          </w:tcPr>
          <w:p w14:paraId="68B6AA0A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2459" w:type="dxa"/>
          </w:tcPr>
          <w:p w14:paraId="42A62417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 (0.78-2.05)</w:t>
            </w:r>
          </w:p>
        </w:tc>
        <w:tc>
          <w:tcPr>
            <w:tcW w:w="2880" w:type="dxa"/>
          </w:tcPr>
          <w:p w14:paraId="7AC353C1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 (0.58-1.96)</w:t>
            </w:r>
          </w:p>
        </w:tc>
      </w:tr>
      <w:tr w:rsidR="0092364A" w14:paraId="208D58D4" w14:textId="77777777" w:rsidTr="00C26B81">
        <w:tc>
          <w:tcPr>
            <w:tcW w:w="3116" w:type="dxa"/>
          </w:tcPr>
          <w:p w14:paraId="34E55448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</w:t>
            </w:r>
          </w:p>
        </w:tc>
        <w:tc>
          <w:tcPr>
            <w:tcW w:w="2459" w:type="dxa"/>
          </w:tcPr>
          <w:p w14:paraId="5CDF2AEB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87E4E43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64A" w14:paraId="49C1662C" w14:textId="77777777" w:rsidTr="00C26B81">
        <w:tc>
          <w:tcPr>
            <w:tcW w:w="3116" w:type="dxa"/>
          </w:tcPr>
          <w:p w14:paraId="6995737C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2459" w:type="dxa"/>
          </w:tcPr>
          <w:p w14:paraId="257C5E46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2F39716E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2364A" w14:paraId="485C4EAA" w14:textId="77777777" w:rsidTr="00C26B81">
        <w:tc>
          <w:tcPr>
            <w:tcW w:w="3116" w:type="dxa"/>
          </w:tcPr>
          <w:p w14:paraId="1B797E54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2459" w:type="dxa"/>
          </w:tcPr>
          <w:p w14:paraId="1EF015EA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 (0.72-2.38)</w:t>
            </w:r>
          </w:p>
        </w:tc>
        <w:tc>
          <w:tcPr>
            <w:tcW w:w="2880" w:type="dxa"/>
          </w:tcPr>
          <w:p w14:paraId="7B856ABA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 (0.58-2.43)</w:t>
            </w:r>
          </w:p>
        </w:tc>
      </w:tr>
      <w:tr w:rsidR="0092364A" w14:paraId="70A04440" w14:textId="77777777" w:rsidTr="00C26B81">
        <w:tc>
          <w:tcPr>
            <w:tcW w:w="3116" w:type="dxa"/>
          </w:tcPr>
          <w:p w14:paraId="1842BB95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tc>
          <w:tcPr>
            <w:tcW w:w="2459" w:type="dxa"/>
          </w:tcPr>
          <w:p w14:paraId="53230537" w14:textId="77777777" w:rsidR="0092364A" w:rsidRPr="001B0B9B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2.08 (1.02-4.22)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80" w:type="dxa"/>
          </w:tcPr>
          <w:p w14:paraId="018BF0C4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 (0.44-2.45)</w:t>
            </w:r>
          </w:p>
        </w:tc>
      </w:tr>
      <w:tr w:rsidR="0092364A" w14:paraId="5A92888E" w14:textId="77777777" w:rsidTr="00C26B81">
        <w:tc>
          <w:tcPr>
            <w:tcW w:w="3116" w:type="dxa"/>
          </w:tcPr>
          <w:p w14:paraId="4F673C2B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459" w:type="dxa"/>
          </w:tcPr>
          <w:p w14:paraId="467C18CF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 (0.08-4.37)</w:t>
            </w:r>
          </w:p>
        </w:tc>
        <w:tc>
          <w:tcPr>
            <w:tcW w:w="2880" w:type="dxa"/>
          </w:tcPr>
          <w:p w14:paraId="21D09937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 (0.11-6.25)</w:t>
            </w:r>
          </w:p>
        </w:tc>
      </w:tr>
      <w:tr w:rsidR="0092364A" w14:paraId="40C4B58D" w14:textId="77777777" w:rsidTr="00C26B81">
        <w:tc>
          <w:tcPr>
            <w:tcW w:w="3116" w:type="dxa"/>
          </w:tcPr>
          <w:p w14:paraId="428D848E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Cirrhosis </w:t>
            </w:r>
          </w:p>
        </w:tc>
        <w:tc>
          <w:tcPr>
            <w:tcW w:w="2459" w:type="dxa"/>
          </w:tcPr>
          <w:p w14:paraId="4A2314AD" w14:textId="77777777" w:rsidR="0092364A" w:rsidRPr="001B0B9B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3.26 (2.02-5.29)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80" w:type="dxa"/>
          </w:tcPr>
          <w:p w14:paraId="3EDD0990" w14:textId="77777777" w:rsidR="0092364A" w:rsidRPr="00E17C94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4.27 (2.44-7.48)</w:t>
            </w:r>
            <w:r w:rsidRPr="00DC711F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92364A" w14:paraId="197A2E59" w14:textId="77777777" w:rsidTr="00C26B81">
        <w:tc>
          <w:tcPr>
            <w:tcW w:w="3116" w:type="dxa"/>
          </w:tcPr>
          <w:p w14:paraId="5575ACB3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2459" w:type="dxa"/>
          </w:tcPr>
          <w:p w14:paraId="1E6F3E00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 (0.50-1.81)</w:t>
            </w:r>
          </w:p>
        </w:tc>
        <w:tc>
          <w:tcPr>
            <w:tcW w:w="2880" w:type="dxa"/>
          </w:tcPr>
          <w:p w14:paraId="2CAA39DA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 (0.52-2.28)</w:t>
            </w:r>
          </w:p>
        </w:tc>
      </w:tr>
      <w:tr w:rsidR="0092364A" w14:paraId="2E16F15B" w14:textId="77777777" w:rsidTr="00C26B81">
        <w:tc>
          <w:tcPr>
            <w:tcW w:w="3116" w:type="dxa"/>
          </w:tcPr>
          <w:p w14:paraId="7F50D11D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Lifetime number of alcohol drinks</w:t>
            </w:r>
          </w:p>
        </w:tc>
        <w:tc>
          <w:tcPr>
            <w:tcW w:w="2459" w:type="dxa"/>
          </w:tcPr>
          <w:p w14:paraId="5A733BFF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 (1.00-1.00)</w:t>
            </w:r>
          </w:p>
        </w:tc>
        <w:tc>
          <w:tcPr>
            <w:tcW w:w="2880" w:type="dxa"/>
          </w:tcPr>
          <w:p w14:paraId="11D18639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 (1.00-1.00)</w:t>
            </w:r>
          </w:p>
        </w:tc>
      </w:tr>
      <w:tr w:rsidR="0092364A" w14:paraId="48CC1688" w14:textId="77777777" w:rsidTr="00C26B81">
        <w:tc>
          <w:tcPr>
            <w:tcW w:w="3116" w:type="dxa"/>
          </w:tcPr>
          <w:p w14:paraId="4135EFD3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Body mass index</w:t>
            </w:r>
          </w:p>
        </w:tc>
        <w:tc>
          <w:tcPr>
            <w:tcW w:w="2459" w:type="dxa"/>
          </w:tcPr>
          <w:p w14:paraId="4D3E3B3B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 (1.01-1.09)</w:t>
            </w:r>
          </w:p>
        </w:tc>
        <w:tc>
          <w:tcPr>
            <w:tcW w:w="2880" w:type="dxa"/>
          </w:tcPr>
          <w:p w14:paraId="67732E82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 (0.99-1.08)</w:t>
            </w:r>
          </w:p>
        </w:tc>
      </w:tr>
      <w:tr w:rsidR="0092364A" w14:paraId="201DE609" w14:textId="77777777" w:rsidTr="00C26B81">
        <w:tc>
          <w:tcPr>
            <w:tcW w:w="3116" w:type="dxa"/>
          </w:tcPr>
          <w:p w14:paraId="5889290F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Smoking </w:t>
            </w:r>
          </w:p>
        </w:tc>
        <w:tc>
          <w:tcPr>
            <w:tcW w:w="2459" w:type="dxa"/>
          </w:tcPr>
          <w:p w14:paraId="20F9137F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 (0.52-1.48)</w:t>
            </w:r>
          </w:p>
        </w:tc>
        <w:tc>
          <w:tcPr>
            <w:tcW w:w="2880" w:type="dxa"/>
          </w:tcPr>
          <w:p w14:paraId="0E6DA9F5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 (0.44-1.51)</w:t>
            </w:r>
          </w:p>
        </w:tc>
      </w:tr>
      <w:tr w:rsidR="0092364A" w14:paraId="57226942" w14:textId="77777777" w:rsidTr="00C26B81">
        <w:tc>
          <w:tcPr>
            <w:tcW w:w="3116" w:type="dxa"/>
          </w:tcPr>
          <w:p w14:paraId="360EAC6E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Self-rated health status</w:t>
            </w:r>
          </w:p>
        </w:tc>
        <w:tc>
          <w:tcPr>
            <w:tcW w:w="2459" w:type="dxa"/>
          </w:tcPr>
          <w:p w14:paraId="6BF9C489" w14:textId="77777777" w:rsidR="0092364A" w:rsidRPr="007F17FF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1.57 (1.21-2.04)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80" w:type="dxa"/>
          </w:tcPr>
          <w:p w14:paraId="67F5AE08" w14:textId="77777777" w:rsidR="0092364A" w:rsidRPr="00D61711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1.44 (1.06-1.96)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92364A" w14:paraId="7A781171" w14:textId="77777777" w:rsidTr="00C26B81">
        <w:tc>
          <w:tcPr>
            <w:tcW w:w="3116" w:type="dxa"/>
          </w:tcPr>
          <w:p w14:paraId="5E2CE895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Peginterferon group</w:t>
            </w:r>
          </w:p>
        </w:tc>
        <w:tc>
          <w:tcPr>
            <w:tcW w:w="2459" w:type="dxa"/>
          </w:tcPr>
          <w:p w14:paraId="7BE393A3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 (0.83-2.07)</w:t>
            </w:r>
          </w:p>
        </w:tc>
        <w:tc>
          <w:tcPr>
            <w:tcW w:w="2880" w:type="dxa"/>
          </w:tcPr>
          <w:p w14:paraId="64A3C98D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 (0.64-1.77)</w:t>
            </w:r>
          </w:p>
        </w:tc>
      </w:tr>
      <w:tr w:rsidR="0092364A" w14:paraId="4CA5AD05" w14:textId="77777777" w:rsidTr="00C26B81">
        <w:tc>
          <w:tcPr>
            <w:tcW w:w="3116" w:type="dxa"/>
          </w:tcPr>
          <w:p w14:paraId="6B42197A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Duration of HCV infection </w:t>
            </w:r>
          </w:p>
        </w:tc>
        <w:tc>
          <w:tcPr>
            <w:tcW w:w="2459" w:type="dxa"/>
          </w:tcPr>
          <w:p w14:paraId="61D86038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 (0.96-1.02)</w:t>
            </w:r>
          </w:p>
        </w:tc>
        <w:tc>
          <w:tcPr>
            <w:tcW w:w="2880" w:type="dxa"/>
          </w:tcPr>
          <w:p w14:paraId="44F02AC5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 (0.96-1.02)</w:t>
            </w:r>
          </w:p>
        </w:tc>
      </w:tr>
      <w:tr w:rsidR="0092364A" w14:paraId="7BE052CC" w14:textId="77777777" w:rsidTr="00C26B81">
        <w:tc>
          <w:tcPr>
            <w:tcW w:w="3116" w:type="dxa"/>
          </w:tcPr>
          <w:p w14:paraId="0AEB7069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Coffee intake</w:t>
            </w:r>
          </w:p>
        </w:tc>
        <w:tc>
          <w:tcPr>
            <w:tcW w:w="2459" w:type="dxa"/>
          </w:tcPr>
          <w:p w14:paraId="05442C96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36F3210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64A" w14:paraId="46129362" w14:textId="77777777" w:rsidTr="00C26B81">
        <w:tc>
          <w:tcPr>
            <w:tcW w:w="3116" w:type="dxa"/>
          </w:tcPr>
          <w:p w14:paraId="67D544C8" w14:textId="77777777" w:rsidR="0092364A" w:rsidRPr="00C3280C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0C">
              <w:rPr>
                <w:rFonts w:ascii="Arial" w:hAnsi="Arial" w:cs="Arial"/>
                <w:sz w:val="18"/>
                <w:szCs w:val="18"/>
              </w:rPr>
              <w:t>Nondrinker</w:t>
            </w:r>
          </w:p>
        </w:tc>
        <w:tc>
          <w:tcPr>
            <w:tcW w:w="2459" w:type="dxa"/>
          </w:tcPr>
          <w:p w14:paraId="7BBCA36A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0ED615E4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2364A" w14:paraId="17C81645" w14:textId="77777777" w:rsidTr="00C26B81">
        <w:tc>
          <w:tcPr>
            <w:tcW w:w="3116" w:type="dxa"/>
          </w:tcPr>
          <w:p w14:paraId="51AD0259" w14:textId="77777777" w:rsidR="0092364A" w:rsidRPr="00C3280C" w:rsidRDefault="0092364A" w:rsidP="00C26B81">
            <w:pPr>
              <w:tabs>
                <w:tab w:val="left" w:pos="933"/>
                <w:tab w:val="center" w:pos="1450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&lt;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3280C">
              <w:rPr>
                <w:rFonts w:ascii="Arial" w:hAnsi="Arial" w:cs="Arial"/>
                <w:sz w:val="18"/>
                <w:szCs w:val="18"/>
              </w:rPr>
              <w:t>1 cup/day</w:t>
            </w:r>
          </w:p>
        </w:tc>
        <w:tc>
          <w:tcPr>
            <w:tcW w:w="2459" w:type="dxa"/>
          </w:tcPr>
          <w:p w14:paraId="753FF1D0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 (0.34-1.28)</w:t>
            </w:r>
          </w:p>
        </w:tc>
        <w:tc>
          <w:tcPr>
            <w:tcW w:w="2880" w:type="dxa"/>
          </w:tcPr>
          <w:p w14:paraId="312C9E77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 (0.30-1.23)</w:t>
            </w:r>
          </w:p>
        </w:tc>
      </w:tr>
      <w:tr w:rsidR="0092364A" w14:paraId="5078162B" w14:textId="77777777" w:rsidTr="00C26B81">
        <w:tc>
          <w:tcPr>
            <w:tcW w:w="3116" w:type="dxa"/>
          </w:tcPr>
          <w:p w14:paraId="720B2324" w14:textId="77777777" w:rsidR="0092364A" w:rsidRPr="00C3280C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  <w:r w:rsidRPr="00C3280C">
              <w:rPr>
                <w:rFonts w:ascii="Arial" w:hAnsi="Arial" w:cs="Arial"/>
                <w:sz w:val="18"/>
                <w:szCs w:val="18"/>
              </w:rPr>
              <w:t xml:space="preserve"> cups/day</w:t>
            </w:r>
          </w:p>
        </w:tc>
        <w:tc>
          <w:tcPr>
            <w:tcW w:w="2459" w:type="dxa"/>
          </w:tcPr>
          <w:p w14:paraId="30500042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 (0.31-1.05)</w:t>
            </w:r>
          </w:p>
        </w:tc>
        <w:tc>
          <w:tcPr>
            <w:tcW w:w="2880" w:type="dxa"/>
          </w:tcPr>
          <w:p w14:paraId="0826B846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 (0.27-1.09)</w:t>
            </w:r>
          </w:p>
        </w:tc>
      </w:tr>
      <w:tr w:rsidR="0092364A" w14:paraId="041DD46C" w14:textId="77777777" w:rsidTr="00C26B81">
        <w:tc>
          <w:tcPr>
            <w:tcW w:w="3116" w:type="dxa"/>
          </w:tcPr>
          <w:p w14:paraId="29F74710" w14:textId="77777777" w:rsidR="0092364A" w:rsidRPr="00C3280C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0C">
              <w:rPr>
                <w:rFonts w:ascii="Arial" w:hAnsi="Arial" w:cs="Arial"/>
                <w:sz w:val="18"/>
                <w:szCs w:val="18"/>
              </w:rPr>
              <w:t>≥ 3</w:t>
            </w:r>
            <w:r>
              <w:rPr>
                <w:rFonts w:ascii="Arial" w:hAnsi="Arial" w:cs="Arial"/>
                <w:sz w:val="18"/>
                <w:szCs w:val="18"/>
              </w:rPr>
              <w:t xml:space="preserve"> cups/day</w:t>
            </w:r>
          </w:p>
        </w:tc>
        <w:tc>
          <w:tcPr>
            <w:tcW w:w="2459" w:type="dxa"/>
          </w:tcPr>
          <w:p w14:paraId="0E6E09AE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 (0.16-1.17)</w:t>
            </w:r>
          </w:p>
        </w:tc>
        <w:tc>
          <w:tcPr>
            <w:tcW w:w="2880" w:type="dxa"/>
          </w:tcPr>
          <w:p w14:paraId="2E761C06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 (0.14-1.28)</w:t>
            </w:r>
          </w:p>
        </w:tc>
      </w:tr>
      <w:tr w:rsidR="0092364A" w14:paraId="59EF008C" w14:textId="77777777" w:rsidTr="00C26B81">
        <w:tc>
          <w:tcPr>
            <w:tcW w:w="3116" w:type="dxa"/>
          </w:tcPr>
          <w:p w14:paraId="076AD63B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Calorie intake</w:t>
            </w:r>
          </w:p>
        </w:tc>
        <w:tc>
          <w:tcPr>
            <w:tcW w:w="2459" w:type="dxa"/>
          </w:tcPr>
          <w:p w14:paraId="28A9423E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 (1.00-1.00)</w:t>
            </w:r>
          </w:p>
        </w:tc>
        <w:tc>
          <w:tcPr>
            <w:tcW w:w="2880" w:type="dxa"/>
          </w:tcPr>
          <w:p w14:paraId="005F0FD5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 (1.00-1.00)</w:t>
            </w:r>
          </w:p>
        </w:tc>
      </w:tr>
      <w:tr w:rsidR="0092364A" w14:paraId="273E1443" w14:textId="77777777" w:rsidTr="00C26B81">
        <w:tc>
          <w:tcPr>
            <w:tcW w:w="3116" w:type="dxa"/>
          </w:tcPr>
          <w:p w14:paraId="40F4CE1B" w14:textId="77777777" w:rsidR="0092364A" w:rsidRDefault="0092364A" w:rsidP="00C26B8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Cholesterol intake</w:t>
            </w:r>
          </w:p>
        </w:tc>
        <w:tc>
          <w:tcPr>
            <w:tcW w:w="2459" w:type="dxa"/>
          </w:tcPr>
          <w:p w14:paraId="0A93C278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 (1.00-1.00)</w:t>
            </w:r>
          </w:p>
        </w:tc>
        <w:tc>
          <w:tcPr>
            <w:tcW w:w="2880" w:type="dxa"/>
          </w:tcPr>
          <w:p w14:paraId="61983535" w14:textId="77777777" w:rsidR="0092364A" w:rsidRDefault="0092364A" w:rsidP="00C26B8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 (1.00-1.00)</w:t>
            </w:r>
          </w:p>
        </w:tc>
      </w:tr>
    </w:tbl>
    <w:p w14:paraId="139C184C" w14:textId="77777777" w:rsidR="0092364A" w:rsidRDefault="0092364A" w:rsidP="0092364A">
      <w:pPr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a</w:t>
      </w:r>
      <w:r>
        <w:rPr>
          <w:rFonts w:ascii="Arial" w:hAnsi="Arial"/>
          <w:sz w:val="18"/>
        </w:rPr>
        <w:t xml:space="preserve">Full model adjusted for age, sex, race, BMI, diabetes, lifetime alcohol intake, smoking status, coffee intake, self-reported health status, cirrhosis status, duration of infection, peginterferon treatment group, </w:t>
      </w:r>
      <w:r w:rsidRPr="00CA4FCD">
        <w:rPr>
          <w:rFonts w:ascii="Arial" w:hAnsi="Arial"/>
          <w:sz w:val="18"/>
        </w:rPr>
        <w:t xml:space="preserve">daily average energy intake and daily average cholesterol intake. </w:t>
      </w:r>
    </w:p>
    <w:p w14:paraId="665CD9CC" w14:textId="77777777" w:rsidR="0092364A" w:rsidRPr="00CA4FCD" w:rsidRDefault="0092364A" w:rsidP="0092364A">
      <w:pPr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vertAlign w:val="superscript"/>
        </w:rPr>
        <w:t xml:space="preserve">b </w:t>
      </w:r>
      <w:r>
        <w:rPr>
          <w:rFonts w:ascii="Arial" w:hAnsi="Arial"/>
          <w:sz w:val="18"/>
        </w:rPr>
        <w:t xml:space="preserve">Indicates statistical significance at P&lt;0.05 </w:t>
      </w:r>
    </w:p>
    <w:p w14:paraId="131C5E2C" w14:textId="5FC0690D" w:rsidR="0092364A" w:rsidRDefault="0092364A" w:rsidP="0092364A">
      <w:pPr>
        <w:rPr>
          <w:rFonts w:ascii="Georgia" w:hAnsi="Georgia"/>
          <w:color w:val="000033"/>
        </w:rPr>
      </w:pPr>
      <w:bookmarkStart w:id="0" w:name="_GoBack"/>
      <w:bookmarkEnd w:id="0"/>
    </w:p>
    <w:sectPr w:rsidR="0092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E8"/>
    <w:rsid w:val="00342716"/>
    <w:rsid w:val="003A7149"/>
    <w:rsid w:val="003D3850"/>
    <w:rsid w:val="005116D0"/>
    <w:rsid w:val="005E054F"/>
    <w:rsid w:val="006127E3"/>
    <w:rsid w:val="006E315D"/>
    <w:rsid w:val="006E521B"/>
    <w:rsid w:val="0091652D"/>
    <w:rsid w:val="0092364A"/>
    <w:rsid w:val="009E30C7"/>
    <w:rsid w:val="00A675E8"/>
    <w:rsid w:val="00A938EA"/>
    <w:rsid w:val="00B95D33"/>
    <w:rsid w:val="00E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C4AF"/>
  <w15:chartTrackingRefBased/>
  <w15:docId w15:val="{E10F6C2E-C1A0-4885-A4B3-5CD29C3A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E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675E8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675E8"/>
    <w:rPr>
      <w:rFonts w:ascii="Arial" w:eastAsia="Times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92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Lei</dc:creator>
  <cp:keywords/>
  <dc:description/>
  <cp:lastModifiedBy>Pricilla</cp:lastModifiedBy>
  <cp:revision>2</cp:revision>
  <dcterms:created xsi:type="dcterms:W3CDTF">2023-04-14T06:50:00Z</dcterms:created>
  <dcterms:modified xsi:type="dcterms:W3CDTF">2023-04-14T06:50:00Z</dcterms:modified>
</cp:coreProperties>
</file>