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40BE" w14:textId="77777777" w:rsidR="00C26FC2" w:rsidRDefault="00C26FC2" w:rsidP="00C26FC2">
      <w:pPr>
        <w:autoSpaceDE w:val="0"/>
        <w:autoSpaceDN w:val="0"/>
        <w:adjustRightInd w:val="0"/>
        <w:spacing w:line="480" w:lineRule="auto"/>
        <w:jc w:val="center"/>
        <w:rPr>
          <w:rFonts w:eastAsiaTheme="minorHAnsi"/>
          <w:b/>
        </w:rPr>
      </w:pPr>
    </w:p>
    <w:p w14:paraId="3DA3EEC4" w14:textId="77777777" w:rsidR="00C26FC2" w:rsidRDefault="00C26FC2" w:rsidP="00C26FC2">
      <w:pPr>
        <w:autoSpaceDE w:val="0"/>
        <w:autoSpaceDN w:val="0"/>
        <w:adjustRightInd w:val="0"/>
        <w:spacing w:line="480" w:lineRule="auto"/>
        <w:jc w:val="center"/>
        <w:rPr>
          <w:rFonts w:eastAsiaTheme="minorHAnsi"/>
          <w:b/>
        </w:rPr>
      </w:pPr>
    </w:p>
    <w:p w14:paraId="2849B17B" w14:textId="2F7A4703" w:rsidR="00C26FC2" w:rsidRPr="002A4A82" w:rsidRDefault="00544376" w:rsidP="00C26FC2">
      <w:pPr>
        <w:autoSpaceDE w:val="0"/>
        <w:autoSpaceDN w:val="0"/>
        <w:adjustRightInd w:val="0"/>
        <w:spacing w:line="480" w:lineRule="auto"/>
        <w:jc w:val="center"/>
        <w:rPr>
          <w:rFonts w:eastAsiaTheme="minorHAnsi"/>
        </w:rPr>
      </w:pPr>
      <w:r w:rsidRPr="002A4A82">
        <w:rPr>
          <w:rFonts w:eastAsiaTheme="minorHAnsi"/>
        </w:rPr>
        <w:t>Supplement:</w:t>
      </w:r>
    </w:p>
    <w:p w14:paraId="22709DA1" w14:textId="1FC8446F" w:rsidR="00544376" w:rsidRDefault="002A4A82" w:rsidP="00544376">
      <w:pPr>
        <w:spacing w:line="480" w:lineRule="auto"/>
        <w:jc w:val="center"/>
        <w:rPr>
          <w:b/>
        </w:rPr>
      </w:pPr>
      <w:r w:rsidRPr="002A4A82">
        <w:rPr>
          <w:b/>
        </w:rPr>
        <w:t>Mental health among sexual and gender minorities: A Finnish population-based study of anxiety and depression discrepancies between individuals of diverse sexual orientations and gender minorities and the majority population</w:t>
      </w:r>
    </w:p>
    <w:p w14:paraId="60F60826" w14:textId="77777777" w:rsidR="002A4A82" w:rsidRPr="00544376" w:rsidRDefault="002A4A82" w:rsidP="00544376">
      <w:pPr>
        <w:spacing w:line="480" w:lineRule="auto"/>
        <w:jc w:val="center"/>
      </w:pPr>
    </w:p>
    <w:p w14:paraId="555BECB3" w14:textId="2C5F290F" w:rsidR="00544376" w:rsidRPr="0068500C" w:rsidRDefault="00544376" w:rsidP="00544376">
      <w:pPr>
        <w:spacing w:line="480" w:lineRule="auto"/>
        <w:jc w:val="center"/>
        <w:rPr>
          <w:lang w:val="sv-FI"/>
        </w:rPr>
      </w:pPr>
      <w:r w:rsidRPr="0068500C">
        <w:rPr>
          <w:lang w:val="sv-FI"/>
        </w:rPr>
        <w:t>Marianne Källstr</w:t>
      </w:r>
      <w:r w:rsidR="00D0323A" w:rsidRPr="0068500C">
        <w:rPr>
          <w:lang w:val="sv-FI"/>
        </w:rPr>
        <w:t>öm</w:t>
      </w:r>
      <w:r w:rsidRPr="0068500C">
        <w:rPr>
          <w:lang w:val="sv-FI"/>
        </w:rPr>
        <w:t>, Nicole Nousiainen, Patrick Jern, Sabina Nickull, and Annika Gunst</w:t>
      </w:r>
    </w:p>
    <w:p w14:paraId="531D9563" w14:textId="4294663E" w:rsidR="00544376" w:rsidRPr="00544376" w:rsidRDefault="00544376" w:rsidP="00544376">
      <w:pPr>
        <w:spacing w:line="480" w:lineRule="auto"/>
        <w:jc w:val="center"/>
      </w:pPr>
      <w:r w:rsidRPr="00544376">
        <w:t>Department of Psychology, Åbo Akademi University, Finland</w:t>
      </w:r>
    </w:p>
    <w:p w14:paraId="4226C400" w14:textId="77777777" w:rsidR="00C26FC2" w:rsidRPr="00F35F01" w:rsidRDefault="00C26FC2" w:rsidP="00C26FC2">
      <w:pPr>
        <w:autoSpaceDE w:val="0"/>
        <w:autoSpaceDN w:val="0"/>
        <w:adjustRightInd w:val="0"/>
        <w:spacing w:line="480" w:lineRule="auto"/>
        <w:jc w:val="center"/>
        <w:rPr>
          <w:rFonts w:eastAsiaTheme="minorHAnsi"/>
          <w:b/>
        </w:rPr>
      </w:pPr>
    </w:p>
    <w:p w14:paraId="28E80185" w14:textId="77777777" w:rsidR="00C26FC2" w:rsidRDefault="00C26FC2">
      <w:pPr>
        <w:rPr>
          <w:rFonts w:eastAsiaTheme="minorHAnsi"/>
          <w:b/>
        </w:rPr>
      </w:pPr>
      <w:r>
        <w:rPr>
          <w:rFonts w:eastAsiaTheme="minorHAnsi"/>
          <w:b/>
        </w:rPr>
        <w:br w:type="page"/>
      </w:r>
    </w:p>
    <w:p w14:paraId="50CC4E33" w14:textId="440493A1" w:rsidR="0068500C" w:rsidRDefault="00C26FC2" w:rsidP="0068500C">
      <w:pPr>
        <w:autoSpaceDE w:val="0"/>
        <w:autoSpaceDN w:val="0"/>
        <w:adjustRightInd w:val="0"/>
        <w:spacing w:line="480" w:lineRule="auto"/>
        <w:jc w:val="center"/>
        <w:rPr>
          <w:rFonts w:eastAsiaTheme="minorHAnsi"/>
          <w:b/>
        </w:rPr>
      </w:pPr>
      <w:r w:rsidRPr="00F35F01">
        <w:rPr>
          <w:rFonts w:eastAsiaTheme="minorHAnsi"/>
          <w:b/>
        </w:rPr>
        <w:lastRenderedPageBreak/>
        <w:t xml:space="preserve">Categorization of Textbox Responses on the Sexual </w:t>
      </w:r>
      <w:r>
        <w:rPr>
          <w:rFonts w:eastAsiaTheme="minorHAnsi"/>
          <w:b/>
        </w:rPr>
        <w:t>Orientation and Gender Identity Questions</w:t>
      </w:r>
    </w:p>
    <w:p w14:paraId="6B8D30E4" w14:textId="1F940A25" w:rsidR="0068500C" w:rsidRPr="009133C7" w:rsidRDefault="0068500C" w:rsidP="009133C7">
      <w:pPr>
        <w:autoSpaceDE w:val="0"/>
        <w:autoSpaceDN w:val="0"/>
        <w:adjustRightInd w:val="0"/>
        <w:spacing w:line="480" w:lineRule="auto"/>
        <w:ind w:firstLine="1304"/>
      </w:pPr>
      <w:r>
        <w:t>The survey was conducted in Finnish, so all textbo</w:t>
      </w:r>
      <w:r w:rsidR="001536E6">
        <w:t xml:space="preserve">x </w:t>
      </w:r>
      <w:r>
        <w:t>responses were given</w:t>
      </w:r>
      <w:r w:rsidR="001536E6">
        <w:t xml:space="preserve"> in Finnish. A</w:t>
      </w:r>
      <w:r>
        <w:t>ll examples and citations</w:t>
      </w:r>
      <w:r w:rsidR="001536E6">
        <w:t xml:space="preserve"> of answers bel</w:t>
      </w:r>
      <w:bookmarkStart w:id="0" w:name="_GoBack"/>
      <w:bookmarkEnd w:id="0"/>
      <w:r w:rsidR="001536E6">
        <w:t>ow</w:t>
      </w:r>
      <w:r>
        <w:t xml:space="preserve"> have been made by the authors</w:t>
      </w:r>
      <w:r w:rsidR="001536E6">
        <w:t>, so that the second author (N.N.) made translations which were then back translated and checked by the first and last authors (M.K. &amp; A.G.)</w:t>
      </w:r>
      <w:r>
        <w:t xml:space="preserve">. The terminology for sexual orientations in Finnish consists largely of straightforward </w:t>
      </w:r>
      <w:r w:rsidR="001536E6">
        <w:t xml:space="preserve">and literal </w:t>
      </w:r>
      <w:r>
        <w:t>translations from English</w:t>
      </w:r>
      <w:r w:rsidR="001536E6">
        <w:t xml:space="preserve"> terms</w:t>
      </w:r>
      <w:r>
        <w:t xml:space="preserve"> (e.g., the term “sukupuoleton” literally means “without gender”</w:t>
      </w:r>
      <w:r w:rsidR="001536E6">
        <w:t xml:space="preserve"> </w:t>
      </w:r>
      <w:r>
        <w:t>and corresponds to the term agender in English)</w:t>
      </w:r>
      <w:r w:rsidR="001536E6">
        <w:t>.</w:t>
      </w:r>
      <w:r>
        <w:t xml:space="preserve"> </w:t>
      </w:r>
      <w:r w:rsidR="001536E6">
        <w:t>I</w:t>
      </w:r>
      <w:r>
        <w:t xml:space="preserve">n some cases </w:t>
      </w:r>
      <w:r w:rsidR="001536E6">
        <w:t xml:space="preserve">English terms </w:t>
      </w:r>
      <w:r>
        <w:t>have</w:t>
      </w:r>
      <w:r w:rsidR="001536E6">
        <w:t xml:space="preserve"> even</w:t>
      </w:r>
      <w:r>
        <w:t xml:space="preserve"> been </w:t>
      </w:r>
      <w:r w:rsidR="001536E6">
        <w:t>adopted</w:t>
      </w:r>
      <w:r>
        <w:t xml:space="preserve"> straight into the Finnish language (e.g., </w:t>
      </w:r>
      <w:r w:rsidR="001536E6">
        <w:t>the term queer is used</w:t>
      </w:r>
      <w:r>
        <w:t xml:space="preserve"> in </w:t>
      </w:r>
      <w:r w:rsidR="001536E6">
        <w:t>Finnish and it is used in the same way as in English</w:t>
      </w:r>
      <w:r>
        <w:t>)</w:t>
      </w:r>
      <w:r w:rsidR="001536E6">
        <w:t>. N</w:t>
      </w:r>
      <w:r>
        <w:t>o country-specific or culture-specific terms without English equivalents we mentioned in the answers provided by our participants.</w:t>
      </w:r>
    </w:p>
    <w:p w14:paraId="3A3335F9" w14:textId="77777777" w:rsidR="00C26FC2" w:rsidRDefault="00C26FC2" w:rsidP="00C26FC2">
      <w:pPr>
        <w:autoSpaceDE w:val="0"/>
        <w:autoSpaceDN w:val="0"/>
        <w:adjustRightInd w:val="0"/>
        <w:spacing w:line="480" w:lineRule="auto"/>
        <w:rPr>
          <w:rFonts w:eastAsiaTheme="minorHAnsi"/>
          <w:b/>
        </w:rPr>
      </w:pPr>
      <w:r w:rsidRPr="00F35F01">
        <w:rPr>
          <w:rFonts w:eastAsiaTheme="minorHAnsi"/>
          <w:b/>
        </w:rPr>
        <w:t>Sexual O</w:t>
      </w:r>
      <w:r>
        <w:rPr>
          <w:rFonts w:eastAsiaTheme="minorHAnsi"/>
          <w:b/>
        </w:rPr>
        <w:t>rientation R</w:t>
      </w:r>
      <w:r w:rsidRPr="00F35F01">
        <w:rPr>
          <w:rFonts w:eastAsiaTheme="minorHAnsi"/>
          <w:b/>
        </w:rPr>
        <w:t>esponses</w:t>
      </w:r>
    </w:p>
    <w:p w14:paraId="59AA6B4B" w14:textId="4DB1BEDE" w:rsidR="00C26FC2" w:rsidRPr="00F35F01" w:rsidRDefault="00C26FC2" w:rsidP="00C26FC2">
      <w:pPr>
        <w:spacing w:line="480" w:lineRule="auto"/>
        <w:ind w:firstLine="709"/>
      </w:pPr>
      <w:r>
        <w:t>R</w:t>
      </w:r>
      <w:r w:rsidRPr="00F54920">
        <w:t xml:space="preserve">esponses </w:t>
      </w:r>
      <w:r>
        <w:t>with</w:t>
      </w:r>
      <w:r w:rsidRPr="00F54920">
        <w:t xml:space="preserve"> multiple</w:t>
      </w:r>
      <w:r>
        <w:t xml:space="preserve"> orientations (e.g., “asexual demisexual”) were categorized according to the first sexual orientation mentioned (</w:t>
      </w:r>
      <w:r w:rsidRPr="00902ECC">
        <w:rPr>
          <w:i/>
        </w:rPr>
        <w:t>n</w:t>
      </w:r>
      <w:r>
        <w:rPr>
          <w:i/>
        </w:rPr>
        <w:t xml:space="preserve"> </w:t>
      </w:r>
      <w:r w:rsidRPr="000E62AE">
        <w:t>=</w:t>
      </w:r>
      <w:r>
        <w:t xml:space="preserve"> 12). </w:t>
      </w:r>
      <w:r w:rsidRPr="000E62AE">
        <w:t>However, participants who described themselves as heterosexual as well as some other minority category (</w:t>
      </w:r>
      <w:r w:rsidRPr="00902ECC">
        <w:rPr>
          <w:i/>
        </w:rPr>
        <w:t>n</w:t>
      </w:r>
      <w:r>
        <w:rPr>
          <w:i/>
        </w:rPr>
        <w:t xml:space="preserve"> </w:t>
      </w:r>
      <w:r w:rsidRPr="000E62AE">
        <w:t>=</w:t>
      </w:r>
      <w:r>
        <w:t xml:space="preserve"> 3; e.g., </w:t>
      </w:r>
      <w:r w:rsidRPr="000E62AE">
        <w:t>“heterosexual asexual”), were coded according to the sexual minority stated</w:t>
      </w:r>
      <w:r>
        <w:t xml:space="preserve">, as we </w:t>
      </w:r>
      <w:r w:rsidRPr="000E62AE">
        <w:t>reasoned that these participants had deliberately not chosen the alternative “heterosexual”</w:t>
      </w:r>
      <w:r>
        <w:t xml:space="preserve"> and had</w:t>
      </w:r>
      <w:r w:rsidRPr="000E62AE">
        <w:t xml:space="preserve"> wanted to further define their orientation. Answers such as “mostly heterosexual”, “heterosexual but sometimes interested in </w:t>
      </w:r>
      <w:r>
        <w:t>people of the same sex”, and “bicurious”</w:t>
      </w:r>
      <w:r w:rsidRPr="000E62AE">
        <w:t xml:space="preserve"> (</w:t>
      </w:r>
      <w:r w:rsidRPr="00F775A4">
        <w:rPr>
          <w:i/>
        </w:rPr>
        <w:t>n</w:t>
      </w:r>
      <w:r>
        <w:rPr>
          <w:i/>
        </w:rPr>
        <w:t xml:space="preserve"> </w:t>
      </w:r>
      <w:r>
        <w:t xml:space="preserve">= 20), were, </w:t>
      </w:r>
      <w:r w:rsidRPr="000E62AE">
        <w:t>however</w:t>
      </w:r>
      <w:r>
        <w:t>, coded as heterosexual</w:t>
      </w:r>
      <w:r w:rsidRPr="000E62AE">
        <w:t xml:space="preserve"> as these answers </w:t>
      </w:r>
      <w:r>
        <w:t>implied a heterosexual orientation. Some participants had also described their sexual as well as romantic preference (</w:t>
      </w:r>
      <w:r w:rsidRPr="00902ECC">
        <w:rPr>
          <w:i/>
        </w:rPr>
        <w:t>n</w:t>
      </w:r>
      <w:r>
        <w:rPr>
          <w:i/>
        </w:rPr>
        <w:t xml:space="preserve"> </w:t>
      </w:r>
      <w:r w:rsidRPr="000E62AE">
        <w:t>=</w:t>
      </w:r>
      <w:r>
        <w:t xml:space="preserve"> 8; e.g., “asexual demiromantic”). These were </w:t>
      </w:r>
      <w:r w:rsidRPr="005A16AB">
        <w:t xml:space="preserve">coded according to the sexual orientation mentioned. </w:t>
      </w:r>
      <w:r>
        <w:t>A</w:t>
      </w:r>
      <w:r w:rsidRPr="005A16AB">
        <w:t>nswers such as “I am attracted to the person, regardless of their gender” were interpreted as pansexual (</w:t>
      </w:r>
      <w:r w:rsidRPr="005A16AB">
        <w:rPr>
          <w:i/>
        </w:rPr>
        <w:t xml:space="preserve">n </w:t>
      </w:r>
      <w:r w:rsidRPr="005A16AB">
        <w:t xml:space="preserve">= </w:t>
      </w:r>
      <w:r>
        <w:t>3</w:t>
      </w:r>
      <w:r w:rsidRPr="005A16AB">
        <w:t>). Answers such as “I</w:t>
      </w:r>
      <w:r>
        <w:t xml:space="preserve"> do not have a sexual orientation”, “I do not want to </w:t>
      </w:r>
      <w:r>
        <w:lastRenderedPageBreak/>
        <w:t xml:space="preserve">define my sexual orientation”, and “I do not know/ I am not sure” were included a category called </w:t>
      </w:r>
      <w:r w:rsidRPr="00620785">
        <w:rPr>
          <w:i/>
        </w:rPr>
        <w:t>questioning/undefined</w:t>
      </w:r>
      <w:r>
        <w:t xml:space="preserve">  (</w:t>
      </w:r>
      <w:r w:rsidRPr="00205A30">
        <w:rPr>
          <w:i/>
        </w:rPr>
        <w:t>n</w:t>
      </w:r>
      <w:r>
        <w:rPr>
          <w:i/>
        </w:rPr>
        <w:t xml:space="preserve"> </w:t>
      </w:r>
      <w:r>
        <w:t>= 28).</w:t>
      </w:r>
    </w:p>
    <w:p w14:paraId="79E31447" w14:textId="77777777" w:rsidR="00C26FC2" w:rsidRDefault="00C26FC2" w:rsidP="00C26FC2">
      <w:pPr>
        <w:autoSpaceDE w:val="0"/>
        <w:autoSpaceDN w:val="0"/>
        <w:adjustRightInd w:val="0"/>
        <w:spacing w:line="480" w:lineRule="auto"/>
        <w:rPr>
          <w:rFonts w:eastAsiaTheme="minorHAnsi"/>
          <w:b/>
        </w:rPr>
      </w:pPr>
      <w:r>
        <w:rPr>
          <w:rFonts w:eastAsiaTheme="minorHAnsi"/>
          <w:b/>
        </w:rPr>
        <w:t>Gender Identity Responses</w:t>
      </w:r>
    </w:p>
    <w:p w14:paraId="178DE78C" w14:textId="77777777" w:rsidR="00C26FC2" w:rsidRPr="008B454B" w:rsidRDefault="00C26FC2" w:rsidP="00C26FC2">
      <w:pPr>
        <w:spacing w:line="480" w:lineRule="auto"/>
        <w:ind w:firstLine="709"/>
      </w:pPr>
      <w:r>
        <w:t>We used the term binary transgender (</w:t>
      </w:r>
      <w:r w:rsidRPr="00205A30">
        <w:rPr>
          <w:i/>
        </w:rPr>
        <w:t>n</w:t>
      </w:r>
      <w:r>
        <w:rPr>
          <w:i/>
        </w:rPr>
        <w:t xml:space="preserve"> </w:t>
      </w:r>
      <w:r w:rsidRPr="002C61D2">
        <w:t>= 26)</w:t>
      </w:r>
      <w:r>
        <w:t xml:space="preserve"> to collectively describe transgender women and transgender men. We applied the term </w:t>
      </w:r>
      <w:r w:rsidRPr="00D002AF">
        <w:t xml:space="preserve">non-binary to participants who described themselves as </w:t>
      </w:r>
      <w:r>
        <w:t>“non-binary” (</w:t>
      </w:r>
      <w:r w:rsidRPr="00205A30">
        <w:rPr>
          <w:i/>
        </w:rPr>
        <w:t>n</w:t>
      </w:r>
      <w:r>
        <w:rPr>
          <w:i/>
        </w:rPr>
        <w:t xml:space="preserve"> </w:t>
      </w:r>
      <w:r>
        <w:t>= 20</w:t>
      </w:r>
      <w:r w:rsidRPr="002C61D2">
        <w:t>)</w:t>
      </w:r>
      <w:r>
        <w:t>,</w:t>
      </w:r>
      <w:r w:rsidRPr="00D002AF">
        <w:t xml:space="preserve"> “</w:t>
      </w:r>
      <w:r>
        <w:t>bigender”</w:t>
      </w:r>
      <w:r w:rsidRPr="00EA0BEC">
        <w:t xml:space="preserve"> </w:t>
      </w:r>
      <w:r>
        <w:t>(</w:t>
      </w:r>
      <w:r w:rsidRPr="00205A30">
        <w:rPr>
          <w:i/>
        </w:rPr>
        <w:t>n</w:t>
      </w:r>
      <w:r>
        <w:rPr>
          <w:i/>
        </w:rPr>
        <w:t xml:space="preserve"> </w:t>
      </w:r>
      <w:r w:rsidRPr="002C61D2">
        <w:t xml:space="preserve">= </w:t>
      </w:r>
      <w:r>
        <w:t>1</w:t>
      </w:r>
      <w:r w:rsidRPr="002C61D2">
        <w:t>)</w:t>
      </w:r>
      <w:r>
        <w:t>, “</w:t>
      </w:r>
      <w:r w:rsidRPr="00D002AF">
        <w:t>genderqueer</w:t>
      </w:r>
      <w:r>
        <w:t>” (</w:t>
      </w:r>
      <w:r w:rsidRPr="00205A30">
        <w:rPr>
          <w:i/>
        </w:rPr>
        <w:t>n</w:t>
      </w:r>
      <w:r>
        <w:rPr>
          <w:i/>
        </w:rPr>
        <w:t xml:space="preserve"> </w:t>
      </w:r>
      <w:r w:rsidRPr="002C61D2">
        <w:t xml:space="preserve">= </w:t>
      </w:r>
      <w:r>
        <w:t>3</w:t>
      </w:r>
      <w:r w:rsidRPr="002C61D2">
        <w:t>)</w:t>
      </w:r>
      <w:r w:rsidRPr="00D002AF">
        <w:t>,</w:t>
      </w:r>
      <w:r>
        <w:t xml:space="preserve"> or</w:t>
      </w:r>
      <w:r w:rsidRPr="00D002AF">
        <w:t xml:space="preserve"> </w:t>
      </w:r>
      <w:r>
        <w:t>“</w:t>
      </w:r>
      <w:r w:rsidRPr="00D002AF">
        <w:t>genderfluid</w:t>
      </w:r>
      <w:r>
        <w:t>” (</w:t>
      </w:r>
      <w:r w:rsidRPr="00205A30">
        <w:rPr>
          <w:i/>
        </w:rPr>
        <w:t>n</w:t>
      </w:r>
      <w:r>
        <w:rPr>
          <w:i/>
        </w:rPr>
        <w:t xml:space="preserve"> </w:t>
      </w:r>
      <w:r w:rsidRPr="002C61D2">
        <w:t xml:space="preserve">= </w:t>
      </w:r>
      <w:r>
        <w:t>2</w:t>
      </w:r>
      <w:r w:rsidRPr="002C61D2">
        <w:t>)</w:t>
      </w:r>
      <w:r w:rsidRPr="00D002AF">
        <w:t xml:space="preserve">. </w:t>
      </w:r>
      <w:r>
        <w:t>Participants who described themselves as “genderqueer woman” (</w:t>
      </w:r>
      <w:r w:rsidRPr="00205A30">
        <w:rPr>
          <w:i/>
        </w:rPr>
        <w:t>n</w:t>
      </w:r>
      <w:r>
        <w:rPr>
          <w:i/>
        </w:rPr>
        <w:t xml:space="preserve"> </w:t>
      </w:r>
      <w:r w:rsidRPr="002C61D2">
        <w:t xml:space="preserve">= </w:t>
      </w:r>
      <w:r>
        <w:t>1</w:t>
      </w:r>
      <w:r w:rsidRPr="002C61D2">
        <w:t>)</w:t>
      </w:r>
      <w:r>
        <w:t>, “non-binary femme” (</w:t>
      </w:r>
      <w:r w:rsidRPr="00205A30">
        <w:rPr>
          <w:i/>
        </w:rPr>
        <w:t>n</w:t>
      </w:r>
      <w:r>
        <w:rPr>
          <w:i/>
        </w:rPr>
        <w:t xml:space="preserve"> </w:t>
      </w:r>
      <w:r w:rsidRPr="002C61D2">
        <w:t xml:space="preserve">= </w:t>
      </w:r>
      <w:r>
        <w:t>1</w:t>
      </w:r>
      <w:r w:rsidRPr="002C61D2">
        <w:t>)</w:t>
      </w:r>
      <w:r>
        <w:t>, and “non-binary masculine” (</w:t>
      </w:r>
      <w:r w:rsidRPr="00205A30">
        <w:rPr>
          <w:i/>
        </w:rPr>
        <w:t>n</w:t>
      </w:r>
      <w:r>
        <w:rPr>
          <w:i/>
        </w:rPr>
        <w:t xml:space="preserve"> </w:t>
      </w:r>
      <w:r w:rsidRPr="002C61D2">
        <w:t xml:space="preserve">= </w:t>
      </w:r>
      <w:r>
        <w:t>3</w:t>
      </w:r>
      <w:r w:rsidRPr="002C61D2">
        <w:t>)</w:t>
      </w:r>
      <w:r>
        <w:t xml:space="preserve"> were also coded as non-binary, as were participants with answers such as “physically female but spiritually something in between” and “a bit of both” (</w:t>
      </w:r>
      <w:r w:rsidRPr="00205A30">
        <w:rPr>
          <w:i/>
        </w:rPr>
        <w:t>n</w:t>
      </w:r>
      <w:r>
        <w:rPr>
          <w:i/>
        </w:rPr>
        <w:t xml:space="preserve"> </w:t>
      </w:r>
      <w:r w:rsidRPr="002C61D2">
        <w:t xml:space="preserve">= </w:t>
      </w:r>
      <w:r>
        <w:t>2). Finally, “demi” and “demi man” (</w:t>
      </w:r>
      <w:r w:rsidRPr="00205A30">
        <w:rPr>
          <w:i/>
        </w:rPr>
        <w:t>n</w:t>
      </w:r>
      <w:r>
        <w:rPr>
          <w:i/>
        </w:rPr>
        <w:t xml:space="preserve"> </w:t>
      </w:r>
      <w:r w:rsidRPr="002C61D2">
        <w:t xml:space="preserve">= </w:t>
      </w:r>
      <w:r>
        <w:t>2</w:t>
      </w:r>
      <w:r w:rsidRPr="002C61D2">
        <w:t>)</w:t>
      </w:r>
      <w:r>
        <w:t xml:space="preserve"> were also included in this category, as </w:t>
      </w:r>
      <w:r w:rsidRPr="0037037D">
        <w:rPr>
          <w:i/>
        </w:rPr>
        <w:t>demigender</w:t>
      </w:r>
      <w:r>
        <w:t xml:space="preserve"> is sometimes considered to describe non-binary gender identities </w:t>
      </w:r>
      <w:r>
        <w:fldChar w:fldCharType="begin" w:fldLock="1"/>
      </w:r>
      <w:r>
        <w:instrText>ADDIN CSL_CITATION {"citationItems":[{"id":"ITEM-1","itemData":{"DOI":"10.1089/trgh.2019.0009","ISSN":"2380-193X","abstract":"Introduction: This systematic review assessed the impact of race/ethnicity, education, and income on transgender individual's lifetime experience of suicidal thoughts and behaviors (SITB) in gray and published literature (1997-2017). Methods: Sixty four research projects (108 articles) were identified in WorldCat, PubMed, and Google Scholar. Articles were included if they were published in Canada or the United States, included original quantifiable data on transgender SITBs, and had ≥5 participants, at least 51% of whom were ≥18 years. Results: Across all projects suicide ideation averaged 46.55% and attempts averaged 27.19%. The majority of participants were Caucasian, whereas the highest rate of suicide attempts (55.31%) was among First Nations, who accounted for &lt;1.5% of participants. Caucasians, by contrast, had the lowest attempt rate (36.80%). More participants obtained a bachelor's degree and fewer an associate or technical degree than any other level of education. Suicide attempts were highest among those with ≤some high school (50.70%) and lowest among those with an advanced degree (30.25%). More participants made an income of $20-$50,000/year and less $10-$20,000 than any other income bracket. Conclusion: SITBs, among the transgender population, are both universally high and impacted by race/ethnicity, educational attainment, and income. These findings may be useful in creating culturally and factually informed interventions for transgender individuals experiencing SITBs and in informing future research on this topic.","author":[{"dropping-particle":"","family":"Adams","given":"Noah J.","non-dropping-particle":"","parse-names":false,"suffix":""},{"dropping-particle":"","family":"Vincent","given":"Ben","non-dropping-particle":"","parse-names":false,"suffix":""}],"container-title":"Transgender Health","id":"ITEM-1","issue":"1","issued":{"date-parts":[["2019","10"]]},"page":"226-246","publisher":"Mary Ann Liebert Inc","title":"Suicidal thoughts and behaviors among transgender adults in relation to education, ethnicity, and income: A systematic review","type":"article-journal","volume":"4"},"uris":["http://www.mendeley.com/documents/?uuid=4316488b-3aa9-4023-995e-0d5516ed7cc0","http://www.mendeley.com/documents/?uuid=f8a1e71e-f1fb-480e-a821-d6beb357e415","http://www.mendeley.com/documents/?uuid=2a58c0b5-b5b2-3aab-8e54-a3fb59e29c87"]}],"mendeley":{"formattedCitation":"(Adams &amp; Vincent, 2019)","plainTextFormattedCitation":"(Adams &amp; Vincent, 2019)","previouslyFormattedCitation":"(Adams &amp; Vincent, 2019)"},"properties":{"noteIndex":0},"schema":"https://github.com/citation-style-language/schema/raw/master/csl-citation.json"}</w:instrText>
      </w:r>
      <w:r>
        <w:fldChar w:fldCharType="separate"/>
      </w:r>
      <w:r w:rsidRPr="001E3E34">
        <w:rPr>
          <w:noProof/>
        </w:rPr>
        <w:t>(Adams &amp; Vincent, 2019)</w:t>
      </w:r>
      <w:r>
        <w:fldChar w:fldCharType="end"/>
      </w:r>
      <w:r>
        <w:t>. We used the term agender for those who described their gender identity as “agender/no gender” (</w:t>
      </w:r>
      <w:r w:rsidRPr="00205A30">
        <w:rPr>
          <w:i/>
        </w:rPr>
        <w:t>n</w:t>
      </w:r>
      <w:r>
        <w:rPr>
          <w:i/>
        </w:rPr>
        <w:t xml:space="preserve"> </w:t>
      </w:r>
      <w:r w:rsidRPr="002C61D2">
        <w:t xml:space="preserve">= </w:t>
      </w:r>
      <w:r>
        <w:t>12</w:t>
      </w:r>
      <w:r w:rsidRPr="002C61D2">
        <w:t>)</w:t>
      </w:r>
      <w:r>
        <w:t>, “gender neutral” (</w:t>
      </w:r>
      <w:r>
        <w:rPr>
          <w:i/>
        </w:rPr>
        <w:t xml:space="preserve">n = </w:t>
      </w:r>
      <w:r>
        <w:t>2), and “undefined” (</w:t>
      </w:r>
      <w:r w:rsidRPr="00205A30">
        <w:rPr>
          <w:i/>
        </w:rPr>
        <w:t>n</w:t>
      </w:r>
      <w:r>
        <w:rPr>
          <w:i/>
        </w:rPr>
        <w:t xml:space="preserve"> </w:t>
      </w:r>
      <w:r w:rsidRPr="002C61D2">
        <w:t xml:space="preserve">= </w:t>
      </w:r>
      <w:r>
        <w:t>3</w:t>
      </w:r>
      <w:r w:rsidRPr="002C61D2">
        <w:t>)</w:t>
      </w:r>
      <w:r>
        <w:t>.</w:t>
      </w:r>
    </w:p>
    <w:p w14:paraId="2A0CA9FE" w14:textId="3427F07E" w:rsidR="00071995" w:rsidRDefault="004B454E" w:rsidP="004B454E">
      <w:pPr>
        <w:jc w:val="center"/>
        <w:rPr>
          <w:b/>
        </w:rPr>
      </w:pPr>
      <w:r>
        <w:rPr>
          <w:b/>
        </w:rPr>
        <w:t>References</w:t>
      </w:r>
    </w:p>
    <w:p w14:paraId="03D35D0E" w14:textId="77777777" w:rsidR="004B454E" w:rsidRPr="00E53385" w:rsidRDefault="004B454E" w:rsidP="004B454E">
      <w:pPr>
        <w:widowControl w:val="0"/>
        <w:autoSpaceDE w:val="0"/>
        <w:autoSpaceDN w:val="0"/>
        <w:adjustRightInd w:val="0"/>
        <w:spacing w:line="480" w:lineRule="auto"/>
        <w:ind w:left="480" w:hanging="480"/>
        <w:rPr>
          <w:noProof/>
        </w:rPr>
      </w:pPr>
      <w:r w:rsidRPr="00E53385">
        <w:rPr>
          <w:noProof/>
        </w:rPr>
        <w:t xml:space="preserve">Adams, N. J., &amp; Vincent, B. (2019). Suicidal thoughts and behaviors among transgender adults in relation to education, ethnicity, and income: A systematic review. </w:t>
      </w:r>
      <w:r w:rsidRPr="00E53385">
        <w:rPr>
          <w:i/>
          <w:iCs/>
          <w:noProof/>
        </w:rPr>
        <w:t>Transgender Health</w:t>
      </w:r>
      <w:r w:rsidRPr="00E53385">
        <w:rPr>
          <w:noProof/>
        </w:rPr>
        <w:t xml:space="preserve">, </w:t>
      </w:r>
      <w:r w:rsidRPr="00E53385">
        <w:rPr>
          <w:i/>
          <w:iCs/>
          <w:noProof/>
        </w:rPr>
        <w:t>4</w:t>
      </w:r>
      <w:r w:rsidRPr="00E53385">
        <w:rPr>
          <w:noProof/>
        </w:rPr>
        <w:t>(1), 226–246. https://doi.org/10.1089/trgh.2019.0009</w:t>
      </w:r>
    </w:p>
    <w:p w14:paraId="7B41E9F6" w14:textId="77777777" w:rsidR="004B454E" w:rsidRPr="004B454E" w:rsidRDefault="004B454E" w:rsidP="004B454E">
      <w:pPr>
        <w:rPr>
          <w:b/>
        </w:rPr>
      </w:pPr>
    </w:p>
    <w:sectPr w:rsidR="004B454E" w:rsidRPr="004B4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17"/>
    <w:rsid w:val="00071995"/>
    <w:rsid w:val="001536E6"/>
    <w:rsid w:val="002A4A82"/>
    <w:rsid w:val="004B454E"/>
    <w:rsid w:val="00544376"/>
    <w:rsid w:val="00677315"/>
    <w:rsid w:val="0068500C"/>
    <w:rsid w:val="009133C7"/>
    <w:rsid w:val="00951417"/>
    <w:rsid w:val="009C7C26"/>
    <w:rsid w:val="00BC360F"/>
    <w:rsid w:val="00BF4292"/>
    <w:rsid w:val="00C26FC2"/>
    <w:rsid w:val="00D0323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5991"/>
  <w15:chartTrackingRefBased/>
  <w15:docId w15:val="{413742FC-5839-4588-8BD7-9CDE8E0F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C2"/>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00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1CE26F79E9FD4CA3F79A4895CD220B" ma:contentTypeVersion="13" ma:contentTypeDescription="Create a new document." ma:contentTypeScope="" ma:versionID="bdf4a4b1998cb2455d23eefa4715d315">
  <xsd:schema xmlns:xsd="http://www.w3.org/2001/XMLSchema" xmlns:xs="http://www.w3.org/2001/XMLSchema" xmlns:p="http://schemas.microsoft.com/office/2006/metadata/properties" xmlns:ns3="3460e61e-3bc3-43c6-a6ec-06da712ace2b" xmlns:ns4="adf56415-ea1f-449f-a4dc-5daa019a9662" targetNamespace="http://schemas.microsoft.com/office/2006/metadata/properties" ma:root="true" ma:fieldsID="cc2a0f2ba00129f382b4fcf82f9da957" ns3:_="" ns4:_="">
    <xsd:import namespace="3460e61e-3bc3-43c6-a6ec-06da712ace2b"/>
    <xsd:import namespace="adf56415-ea1f-449f-a4dc-5daa019a96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e61e-3bc3-43c6-a6ec-06da712ac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56415-ea1f-449f-a4dc-5daa019a96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859AB-CE50-4DBC-BBD4-063191D28D88}">
  <ds:schemaRefs>
    <ds:schemaRef ds:uri="http://purl.org/dc/terms/"/>
    <ds:schemaRef ds:uri="http://schemas.openxmlformats.org/package/2006/metadata/core-properties"/>
    <ds:schemaRef ds:uri="http://purl.org/dc/dcmitype/"/>
    <ds:schemaRef ds:uri="http://schemas.microsoft.com/office/infopath/2007/PartnerControls"/>
    <ds:schemaRef ds:uri="3460e61e-3bc3-43c6-a6ec-06da712ace2b"/>
    <ds:schemaRef ds:uri="http://purl.org/dc/elements/1.1/"/>
    <ds:schemaRef ds:uri="http://schemas.microsoft.com/office/2006/documentManagement/types"/>
    <ds:schemaRef ds:uri="adf56415-ea1f-449f-a4dc-5daa019a966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9EFB81-8D67-4EBE-96AE-9E8745BB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e61e-3bc3-43c6-a6ec-06da712ace2b"/>
    <ds:schemaRef ds:uri="adf56415-ea1f-449f-a4dc-5daa019a9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90EF9-7C9F-44AD-8D87-E42428E6E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5508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Åbo Akademi</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Källström</dc:creator>
  <cp:keywords/>
  <dc:description/>
  <cp:lastModifiedBy>Marianne Källström</cp:lastModifiedBy>
  <cp:revision>3</cp:revision>
  <dcterms:created xsi:type="dcterms:W3CDTF">2022-08-23T09:46:00Z</dcterms:created>
  <dcterms:modified xsi:type="dcterms:W3CDTF">2022-08-23T09:48:00Z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0x0101001F1CE26F79E9FD4CA3F79A4895CD220B</vt:lpwstr>
  </property>
</Properties>
</file>