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9160" w14:textId="1C4184E1" w:rsidR="00197C8C" w:rsidRPr="0026705F" w:rsidRDefault="0015547A" w:rsidP="00197C8C">
      <w:pPr>
        <w:rPr>
          <w:rFonts w:ascii="Times New Roman" w:hAnsi="Times New Roman" w:cs="Times New Roman"/>
          <w:b/>
          <w:bCs/>
          <w:sz w:val="20"/>
          <w:szCs w:val="20"/>
        </w:rPr>
      </w:pPr>
      <w:r>
        <w:rPr>
          <w:rFonts w:ascii="Times New Roman" w:hAnsi="Times New Roman" w:cs="Times New Roman"/>
          <w:b/>
          <w:bCs/>
          <w:sz w:val="20"/>
          <w:szCs w:val="20"/>
        </w:rPr>
        <w:t>S2 Table</w:t>
      </w:r>
      <w:r w:rsidR="00197C8C" w:rsidRPr="0026705F">
        <w:rPr>
          <w:rFonts w:ascii="Times New Roman" w:hAnsi="Times New Roman" w:cs="Times New Roman"/>
          <w:b/>
          <w:bCs/>
          <w:sz w:val="20"/>
          <w:szCs w:val="20"/>
        </w:rPr>
        <w:t>. Variables from the United States 2000 Decennial Census and the American Community Survey 2006-2010</w:t>
      </w:r>
    </w:p>
    <w:tbl>
      <w:tblPr>
        <w:tblStyle w:val="TableGrid"/>
        <w:tblW w:w="0" w:type="auto"/>
        <w:tblLook w:val="04A0" w:firstRow="1" w:lastRow="0" w:firstColumn="1" w:lastColumn="0" w:noHBand="0" w:noVBand="1"/>
      </w:tblPr>
      <w:tblGrid>
        <w:gridCol w:w="3862"/>
        <w:gridCol w:w="3640"/>
        <w:gridCol w:w="2161"/>
        <w:gridCol w:w="2155"/>
      </w:tblGrid>
      <w:tr w:rsidR="00197C8C" w:rsidRPr="0026705F" w14:paraId="314C4979" w14:textId="77777777" w:rsidTr="00455EE8">
        <w:trPr>
          <w:trHeight w:val="156"/>
        </w:trPr>
        <w:tc>
          <w:tcPr>
            <w:tcW w:w="3862" w:type="dxa"/>
          </w:tcPr>
          <w:p w14:paraId="5025B32A" w14:textId="77777777" w:rsidR="00197C8C" w:rsidRPr="0026705F" w:rsidRDefault="00197C8C" w:rsidP="00455EE8">
            <w:pPr>
              <w:rPr>
                <w:rFonts w:ascii="Times New Roman" w:hAnsi="Times New Roman" w:cs="Times New Roman"/>
                <w:b/>
                <w:bCs/>
                <w:sz w:val="20"/>
                <w:szCs w:val="20"/>
              </w:rPr>
            </w:pPr>
            <w:r w:rsidRPr="0026705F">
              <w:rPr>
                <w:rFonts w:ascii="Times New Roman" w:hAnsi="Times New Roman" w:cs="Times New Roman"/>
                <w:b/>
                <w:bCs/>
                <w:sz w:val="20"/>
                <w:szCs w:val="20"/>
              </w:rPr>
              <w:t>Variable</w:t>
            </w:r>
          </w:p>
        </w:tc>
        <w:tc>
          <w:tcPr>
            <w:tcW w:w="3640" w:type="dxa"/>
          </w:tcPr>
          <w:p w14:paraId="5157414D" w14:textId="77777777" w:rsidR="00197C8C" w:rsidRPr="0026705F" w:rsidRDefault="00197C8C" w:rsidP="00455EE8">
            <w:pPr>
              <w:rPr>
                <w:rFonts w:ascii="Times New Roman" w:hAnsi="Times New Roman" w:cs="Times New Roman"/>
                <w:b/>
                <w:bCs/>
                <w:sz w:val="20"/>
                <w:szCs w:val="20"/>
              </w:rPr>
            </w:pPr>
            <w:proofErr w:type="spellStart"/>
            <w:r w:rsidRPr="0026705F">
              <w:rPr>
                <w:rFonts w:ascii="Times New Roman" w:hAnsi="Times New Roman" w:cs="Times New Roman"/>
                <w:b/>
                <w:bCs/>
                <w:sz w:val="20"/>
                <w:szCs w:val="20"/>
              </w:rPr>
              <w:t>Construct</w:t>
            </w:r>
            <w:r w:rsidRPr="0026705F">
              <w:rPr>
                <w:rFonts w:ascii="Times New Roman" w:hAnsi="Times New Roman" w:cs="Times New Roman"/>
                <w:b/>
                <w:bCs/>
                <w:sz w:val="20"/>
                <w:szCs w:val="20"/>
                <w:vertAlign w:val="superscript"/>
              </w:rPr>
              <w:t>a</w:t>
            </w:r>
            <w:proofErr w:type="spellEnd"/>
          </w:p>
        </w:tc>
        <w:tc>
          <w:tcPr>
            <w:tcW w:w="2161" w:type="dxa"/>
          </w:tcPr>
          <w:p w14:paraId="1B710828" w14:textId="77777777" w:rsidR="00197C8C" w:rsidRPr="0026705F" w:rsidRDefault="00197C8C" w:rsidP="00455EE8">
            <w:pPr>
              <w:rPr>
                <w:rFonts w:ascii="Times New Roman" w:hAnsi="Times New Roman" w:cs="Times New Roman"/>
                <w:b/>
                <w:bCs/>
                <w:sz w:val="20"/>
                <w:szCs w:val="20"/>
              </w:rPr>
            </w:pPr>
            <w:r w:rsidRPr="0026705F">
              <w:rPr>
                <w:rFonts w:ascii="Times New Roman" w:hAnsi="Times New Roman" w:cs="Times New Roman"/>
                <w:b/>
                <w:bCs/>
                <w:sz w:val="20"/>
                <w:szCs w:val="20"/>
              </w:rPr>
              <w:t>Census 2000</w:t>
            </w:r>
          </w:p>
        </w:tc>
        <w:tc>
          <w:tcPr>
            <w:tcW w:w="2155" w:type="dxa"/>
          </w:tcPr>
          <w:p w14:paraId="5A52B08F" w14:textId="77777777" w:rsidR="00197C8C" w:rsidRPr="0026705F" w:rsidRDefault="00197C8C" w:rsidP="00455EE8">
            <w:pPr>
              <w:rPr>
                <w:rFonts w:ascii="Times New Roman" w:hAnsi="Times New Roman" w:cs="Times New Roman"/>
                <w:b/>
                <w:bCs/>
                <w:sz w:val="20"/>
                <w:szCs w:val="20"/>
              </w:rPr>
            </w:pPr>
            <w:r w:rsidRPr="0026705F">
              <w:rPr>
                <w:rFonts w:ascii="Times New Roman" w:hAnsi="Times New Roman" w:cs="Times New Roman"/>
                <w:b/>
                <w:bCs/>
                <w:sz w:val="20"/>
                <w:szCs w:val="20"/>
              </w:rPr>
              <w:t>ACS 2006-2010</w:t>
            </w:r>
          </w:p>
        </w:tc>
      </w:tr>
      <w:tr w:rsidR="00197C8C" w:rsidRPr="0026705F" w14:paraId="6D75A0EE" w14:textId="77777777" w:rsidTr="00455EE8">
        <w:trPr>
          <w:trHeight w:val="164"/>
        </w:trPr>
        <w:tc>
          <w:tcPr>
            <w:tcW w:w="3862" w:type="dxa"/>
          </w:tcPr>
          <w:p w14:paraId="56AB7388"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with no car</w:t>
            </w:r>
          </w:p>
        </w:tc>
        <w:tc>
          <w:tcPr>
            <w:tcW w:w="3640" w:type="dxa"/>
          </w:tcPr>
          <w:p w14:paraId="0A7C1AAD"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Assets/wealth</w:t>
            </w:r>
          </w:p>
        </w:tc>
        <w:tc>
          <w:tcPr>
            <w:tcW w:w="2161" w:type="dxa"/>
          </w:tcPr>
          <w:p w14:paraId="56181266"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7486ABB1"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27AEF728" w14:textId="77777777" w:rsidTr="00455EE8">
        <w:trPr>
          <w:trHeight w:val="156"/>
        </w:trPr>
        <w:tc>
          <w:tcPr>
            <w:tcW w:w="3862" w:type="dxa"/>
          </w:tcPr>
          <w:p w14:paraId="54ABBF93"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on public assistance</w:t>
            </w:r>
          </w:p>
        </w:tc>
        <w:tc>
          <w:tcPr>
            <w:tcW w:w="3640" w:type="dxa"/>
          </w:tcPr>
          <w:p w14:paraId="5BE140A5"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Presence of poverty</w:t>
            </w:r>
          </w:p>
        </w:tc>
        <w:tc>
          <w:tcPr>
            <w:tcW w:w="2161" w:type="dxa"/>
          </w:tcPr>
          <w:p w14:paraId="6B79D667"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3C230CCD"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291A9612" w14:textId="77777777" w:rsidTr="00455EE8">
        <w:trPr>
          <w:trHeight w:val="156"/>
        </w:trPr>
        <w:tc>
          <w:tcPr>
            <w:tcW w:w="3862" w:type="dxa"/>
          </w:tcPr>
          <w:p w14:paraId="7E4C7578"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below poverty</w:t>
            </w:r>
          </w:p>
        </w:tc>
        <w:tc>
          <w:tcPr>
            <w:tcW w:w="3640" w:type="dxa"/>
          </w:tcPr>
          <w:p w14:paraId="564388C9"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Presence of poverty</w:t>
            </w:r>
          </w:p>
        </w:tc>
        <w:tc>
          <w:tcPr>
            <w:tcW w:w="2161" w:type="dxa"/>
          </w:tcPr>
          <w:p w14:paraId="77E35B29"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682D336C"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3AE69D00" w14:textId="77777777" w:rsidTr="00455EE8">
        <w:trPr>
          <w:trHeight w:val="164"/>
        </w:trPr>
        <w:tc>
          <w:tcPr>
            <w:tcW w:w="3862" w:type="dxa"/>
          </w:tcPr>
          <w:p w14:paraId="7BFBF03A"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of housing units vacant</w:t>
            </w:r>
          </w:p>
        </w:tc>
        <w:tc>
          <w:tcPr>
            <w:tcW w:w="3640" w:type="dxa"/>
          </w:tcPr>
          <w:p w14:paraId="0B3BCA0C"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Assets/wealth</w:t>
            </w:r>
          </w:p>
        </w:tc>
        <w:tc>
          <w:tcPr>
            <w:tcW w:w="2161" w:type="dxa"/>
          </w:tcPr>
          <w:p w14:paraId="0FC2F445"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4521C09A"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1AADE91F" w14:textId="77777777" w:rsidTr="00455EE8">
        <w:trPr>
          <w:trHeight w:val="320"/>
        </w:trPr>
        <w:tc>
          <w:tcPr>
            <w:tcW w:w="3862" w:type="dxa"/>
          </w:tcPr>
          <w:p w14:paraId="3C21E6A9"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of crowding</w:t>
            </w:r>
          </w:p>
        </w:tc>
        <w:tc>
          <w:tcPr>
            <w:tcW w:w="3640" w:type="dxa"/>
          </w:tcPr>
          <w:p w14:paraId="7B9ABD2E"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Crowding: at household level, more people than rooms</w:t>
            </w:r>
          </w:p>
        </w:tc>
        <w:tc>
          <w:tcPr>
            <w:tcW w:w="2161" w:type="dxa"/>
          </w:tcPr>
          <w:p w14:paraId="7A587B1A"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2F779C24"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5606BECF" w14:textId="77777777" w:rsidTr="00455EE8">
        <w:trPr>
          <w:trHeight w:val="320"/>
        </w:trPr>
        <w:tc>
          <w:tcPr>
            <w:tcW w:w="3862" w:type="dxa"/>
          </w:tcPr>
          <w:p w14:paraId="1CD50E26"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of female head of households with children</w:t>
            </w:r>
          </w:p>
        </w:tc>
        <w:tc>
          <w:tcPr>
            <w:tcW w:w="3640" w:type="dxa"/>
          </w:tcPr>
          <w:p w14:paraId="348C9103"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Class</w:t>
            </w:r>
          </w:p>
        </w:tc>
        <w:tc>
          <w:tcPr>
            <w:tcW w:w="2161" w:type="dxa"/>
          </w:tcPr>
          <w:p w14:paraId="0FA3E554"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1DA174B3"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2FAD5E14" w14:textId="77777777" w:rsidTr="00455EE8">
        <w:trPr>
          <w:trHeight w:val="320"/>
        </w:trPr>
        <w:tc>
          <w:tcPr>
            <w:tcW w:w="3862" w:type="dxa"/>
          </w:tcPr>
          <w:p w14:paraId="5BD2E57D"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of residents 65 and older</w:t>
            </w:r>
          </w:p>
        </w:tc>
        <w:tc>
          <w:tcPr>
            <w:tcW w:w="3640" w:type="dxa"/>
          </w:tcPr>
          <w:p w14:paraId="44BAC187"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Class</w:t>
            </w:r>
          </w:p>
        </w:tc>
        <w:tc>
          <w:tcPr>
            <w:tcW w:w="2161" w:type="dxa"/>
          </w:tcPr>
          <w:p w14:paraId="4B9F3F12"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37436603"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6C2AE569" w14:textId="77777777" w:rsidTr="00455EE8">
        <w:trPr>
          <w:trHeight w:val="320"/>
        </w:trPr>
        <w:tc>
          <w:tcPr>
            <w:tcW w:w="3862" w:type="dxa"/>
          </w:tcPr>
          <w:p w14:paraId="28FEE8B4"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living in the same residence for 5 years or more</w:t>
            </w:r>
          </w:p>
        </w:tc>
        <w:tc>
          <w:tcPr>
            <w:tcW w:w="3640" w:type="dxa"/>
          </w:tcPr>
          <w:p w14:paraId="56320726"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Class</w:t>
            </w:r>
          </w:p>
        </w:tc>
        <w:tc>
          <w:tcPr>
            <w:tcW w:w="2161" w:type="dxa"/>
          </w:tcPr>
          <w:p w14:paraId="58491AC3"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0794A281"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09166AEB" w14:textId="77777777" w:rsidTr="00455EE8">
        <w:trPr>
          <w:trHeight w:val="320"/>
        </w:trPr>
        <w:tc>
          <w:tcPr>
            <w:tcW w:w="3862" w:type="dxa"/>
          </w:tcPr>
          <w:p w14:paraId="44AFCFFA"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of Unemployed Men</w:t>
            </w:r>
          </w:p>
        </w:tc>
        <w:tc>
          <w:tcPr>
            <w:tcW w:w="3640" w:type="dxa"/>
          </w:tcPr>
          <w:p w14:paraId="27CA73C7"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Unemployment: persons actively seeking employment</w:t>
            </w:r>
          </w:p>
        </w:tc>
        <w:tc>
          <w:tcPr>
            <w:tcW w:w="2161" w:type="dxa"/>
          </w:tcPr>
          <w:p w14:paraId="1CC8577C"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4CD100BF"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6350DC91" w14:textId="77777777" w:rsidTr="00455EE8">
        <w:trPr>
          <w:trHeight w:val="320"/>
        </w:trPr>
        <w:tc>
          <w:tcPr>
            <w:tcW w:w="3862" w:type="dxa"/>
          </w:tcPr>
          <w:p w14:paraId="3C107072"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of females not in labor force</w:t>
            </w:r>
          </w:p>
        </w:tc>
        <w:tc>
          <w:tcPr>
            <w:tcW w:w="3640" w:type="dxa"/>
          </w:tcPr>
          <w:p w14:paraId="5DB68C4B"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Working class: nonsupervisory employees</w:t>
            </w:r>
          </w:p>
        </w:tc>
        <w:tc>
          <w:tcPr>
            <w:tcW w:w="2161" w:type="dxa"/>
          </w:tcPr>
          <w:p w14:paraId="3F311301"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58B2ED92"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1D0DA974" w14:textId="77777777" w:rsidTr="00455EE8">
        <w:trPr>
          <w:trHeight w:val="320"/>
        </w:trPr>
        <w:tc>
          <w:tcPr>
            <w:tcW w:w="3862" w:type="dxa"/>
          </w:tcPr>
          <w:p w14:paraId="302AA169"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of men not in labor force</w:t>
            </w:r>
          </w:p>
        </w:tc>
        <w:tc>
          <w:tcPr>
            <w:tcW w:w="3640" w:type="dxa"/>
          </w:tcPr>
          <w:p w14:paraId="6E7F00D9"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Working class: nonsupervisory employees</w:t>
            </w:r>
          </w:p>
        </w:tc>
        <w:tc>
          <w:tcPr>
            <w:tcW w:w="2161" w:type="dxa"/>
          </w:tcPr>
          <w:p w14:paraId="19507E85"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40126731"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39C7F9B5" w14:textId="77777777" w:rsidTr="00455EE8">
        <w:trPr>
          <w:trHeight w:val="156"/>
        </w:trPr>
        <w:tc>
          <w:tcPr>
            <w:tcW w:w="3862" w:type="dxa"/>
          </w:tcPr>
          <w:p w14:paraId="302A9B23"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of poverty</w:t>
            </w:r>
          </w:p>
        </w:tc>
        <w:tc>
          <w:tcPr>
            <w:tcW w:w="3640" w:type="dxa"/>
          </w:tcPr>
          <w:p w14:paraId="6D8E58F1"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Presence of poverty</w:t>
            </w:r>
          </w:p>
        </w:tc>
        <w:tc>
          <w:tcPr>
            <w:tcW w:w="2161" w:type="dxa"/>
          </w:tcPr>
          <w:p w14:paraId="08F6FD7B"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066708C4"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1AA96A4F" w14:textId="77777777" w:rsidTr="00455EE8">
        <w:trPr>
          <w:trHeight w:val="320"/>
        </w:trPr>
        <w:tc>
          <w:tcPr>
            <w:tcW w:w="3862" w:type="dxa"/>
          </w:tcPr>
          <w:p w14:paraId="47C35890"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Median value for all owner occupied housing units</w:t>
            </w:r>
          </w:p>
        </w:tc>
        <w:tc>
          <w:tcPr>
            <w:tcW w:w="3640" w:type="dxa"/>
          </w:tcPr>
          <w:p w14:paraId="2C2974EA"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Assets/wealth</w:t>
            </w:r>
          </w:p>
        </w:tc>
        <w:tc>
          <w:tcPr>
            <w:tcW w:w="2161" w:type="dxa"/>
          </w:tcPr>
          <w:p w14:paraId="4D76FE5D"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690908F4"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0C972B2B" w14:textId="77777777" w:rsidTr="00455EE8">
        <w:trPr>
          <w:trHeight w:val="320"/>
        </w:trPr>
        <w:tc>
          <w:tcPr>
            <w:tcW w:w="3862" w:type="dxa"/>
          </w:tcPr>
          <w:p w14:paraId="7060213A"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of renter occupied housing units</w:t>
            </w:r>
          </w:p>
        </w:tc>
        <w:tc>
          <w:tcPr>
            <w:tcW w:w="3640" w:type="dxa"/>
          </w:tcPr>
          <w:p w14:paraId="32E7A7AE"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Assets/wealth</w:t>
            </w:r>
          </w:p>
        </w:tc>
        <w:tc>
          <w:tcPr>
            <w:tcW w:w="2161" w:type="dxa"/>
          </w:tcPr>
          <w:p w14:paraId="7C18908E"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556E8953"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790DA2F9" w14:textId="77777777" w:rsidTr="00455EE8">
        <w:trPr>
          <w:trHeight w:val="156"/>
        </w:trPr>
        <w:tc>
          <w:tcPr>
            <w:tcW w:w="3862" w:type="dxa"/>
          </w:tcPr>
          <w:p w14:paraId="1E5FC752"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Median Household Income</w:t>
            </w:r>
          </w:p>
        </w:tc>
        <w:tc>
          <w:tcPr>
            <w:tcW w:w="3640" w:type="dxa"/>
          </w:tcPr>
          <w:p w14:paraId="5B6E5F31"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Income</w:t>
            </w:r>
          </w:p>
        </w:tc>
        <w:tc>
          <w:tcPr>
            <w:tcW w:w="2161" w:type="dxa"/>
          </w:tcPr>
          <w:p w14:paraId="3446C2CD"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19AC10CF"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795A9586" w14:textId="77777777" w:rsidTr="00455EE8">
        <w:trPr>
          <w:trHeight w:val="320"/>
        </w:trPr>
        <w:tc>
          <w:tcPr>
            <w:tcW w:w="3862" w:type="dxa"/>
          </w:tcPr>
          <w:p w14:paraId="1B321921"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of males in management occupations</w:t>
            </w:r>
          </w:p>
        </w:tc>
        <w:tc>
          <w:tcPr>
            <w:tcW w:w="3640" w:type="dxa"/>
          </w:tcPr>
          <w:p w14:paraId="6BFAC567"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Class: supervisory employees</w:t>
            </w:r>
          </w:p>
        </w:tc>
        <w:tc>
          <w:tcPr>
            <w:tcW w:w="2161" w:type="dxa"/>
          </w:tcPr>
          <w:p w14:paraId="0E73E606"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0F4C3359"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08B4CFF4" w14:textId="77777777" w:rsidTr="00455EE8">
        <w:trPr>
          <w:trHeight w:val="320"/>
        </w:trPr>
        <w:tc>
          <w:tcPr>
            <w:tcW w:w="3862" w:type="dxa"/>
          </w:tcPr>
          <w:p w14:paraId="23273EBA"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of females in management occupations</w:t>
            </w:r>
          </w:p>
        </w:tc>
        <w:tc>
          <w:tcPr>
            <w:tcW w:w="3640" w:type="dxa"/>
          </w:tcPr>
          <w:p w14:paraId="339E2197"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Class: supervisory employees</w:t>
            </w:r>
          </w:p>
        </w:tc>
        <w:tc>
          <w:tcPr>
            <w:tcW w:w="2161" w:type="dxa"/>
          </w:tcPr>
          <w:p w14:paraId="547B644A"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1CC33AD5"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4C24F9EC" w14:textId="77777777" w:rsidTr="00455EE8">
        <w:trPr>
          <w:trHeight w:val="164"/>
        </w:trPr>
        <w:tc>
          <w:tcPr>
            <w:tcW w:w="3862" w:type="dxa"/>
          </w:tcPr>
          <w:p w14:paraId="1B9A7D90"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Total Population</w:t>
            </w:r>
          </w:p>
        </w:tc>
        <w:tc>
          <w:tcPr>
            <w:tcW w:w="3640" w:type="dxa"/>
          </w:tcPr>
          <w:p w14:paraId="10CFC074"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Urbanicity</w:t>
            </w:r>
          </w:p>
        </w:tc>
        <w:tc>
          <w:tcPr>
            <w:tcW w:w="2161" w:type="dxa"/>
          </w:tcPr>
          <w:p w14:paraId="0D16CC07"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3E9DF0A0"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0DE51637" w14:textId="77777777" w:rsidTr="00455EE8">
        <w:trPr>
          <w:trHeight w:val="320"/>
        </w:trPr>
        <w:tc>
          <w:tcPr>
            <w:tcW w:w="3862" w:type="dxa"/>
          </w:tcPr>
          <w:p w14:paraId="4194BDBB"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less than a high school degree</w:t>
            </w:r>
          </w:p>
        </w:tc>
        <w:tc>
          <w:tcPr>
            <w:tcW w:w="3640" w:type="dxa"/>
          </w:tcPr>
          <w:p w14:paraId="023F9776"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Educational attainment</w:t>
            </w:r>
          </w:p>
        </w:tc>
        <w:tc>
          <w:tcPr>
            <w:tcW w:w="2161" w:type="dxa"/>
          </w:tcPr>
          <w:p w14:paraId="5CA24C41"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595430E8"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r w:rsidR="00197C8C" w:rsidRPr="0026705F" w14:paraId="73FF0599" w14:textId="77777777" w:rsidTr="00455EE8">
        <w:trPr>
          <w:trHeight w:val="311"/>
        </w:trPr>
        <w:tc>
          <w:tcPr>
            <w:tcW w:w="3862" w:type="dxa"/>
          </w:tcPr>
          <w:p w14:paraId="2891FEF8"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Percent of unemployed</w:t>
            </w:r>
          </w:p>
        </w:tc>
        <w:tc>
          <w:tcPr>
            <w:tcW w:w="3640" w:type="dxa"/>
          </w:tcPr>
          <w:p w14:paraId="03EF3269"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Unemployment: persons actively seeking employment</w:t>
            </w:r>
          </w:p>
        </w:tc>
        <w:tc>
          <w:tcPr>
            <w:tcW w:w="2161" w:type="dxa"/>
          </w:tcPr>
          <w:p w14:paraId="0A6D901C"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c>
          <w:tcPr>
            <w:tcW w:w="2155" w:type="dxa"/>
          </w:tcPr>
          <w:p w14:paraId="283E2ADC" w14:textId="77777777" w:rsidR="00197C8C" w:rsidRPr="0026705F" w:rsidRDefault="00197C8C" w:rsidP="00455EE8">
            <w:pPr>
              <w:rPr>
                <w:rFonts w:ascii="Times New Roman" w:hAnsi="Times New Roman" w:cs="Times New Roman"/>
                <w:sz w:val="20"/>
                <w:szCs w:val="20"/>
              </w:rPr>
            </w:pPr>
            <w:r w:rsidRPr="0026705F">
              <w:rPr>
                <w:rFonts w:ascii="Times New Roman" w:hAnsi="Times New Roman" w:cs="Times New Roman"/>
                <w:sz w:val="20"/>
                <w:szCs w:val="20"/>
              </w:rPr>
              <w:t>x</w:t>
            </w:r>
          </w:p>
        </w:tc>
      </w:tr>
    </w:tbl>
    <w:p w14:paraId="1986A9F5" w14:textId="77777777" w:rsidR="00197C8C" w:rsidRPr="0026705F" w:rsidRDefault="00197C8C" w:rsidP="00197C8C">
      <w:pPr>
        <w:spacing w:after="0" w:line="240" w:lineRule="auto"/>
        <w:rPr>
          <w:rFonts w:ascii="Times New Roman" w:hAnsi="Times New Roman" w:cs="Times New Roman"/>
          <w:sz w:val="20"/>
          <w:szCs w:val="20"/>
        </w:rPr>
      </w:pPr>
      <w:bookmarkStart w:id="0" w:name="_Hlk110000666"/>
      <w:proofErr w:type="spellStart"/>
      <w:r w:rsidRPr="0026705F">
        <w:rPr>
          <w:rFonts w:ascii="Times New Roman" w:hAnsi="Times New Roman" w:cs="Times New Roman"/>
          <w:sz w:val="20"/>
          <w:szCs w:val="20"/>
          <w:vertAlign w:val="superscript"/>
        </w:rPr>
        <w:t>a</w:t>
      </w:r>
      <w:r w:rsidRPr="0026705F">
        <w:rPr>
          <w:rFonts w:ascii="Times New Roman" w:hAnsi="Times New Roman" w:cs="Times New Roman"/>
          <w:sz w:val="20"/>
          <w:szCs w:val="20"/>
        </w:rPr>
        <w:t>From</w:t>
      </w:r>
      <w:proofErr w:type="spellEnd"/>
      <w:r w:rsidRPr="0026705F">
        <w:rPr>
          <w:rFonts w:ascii="Times New Roman" w:hAnsi="Times New Roman" w:cs="Times New Roman"/>
          <w:sz w:val="20"/>
          <w:szCs w:val="20"/>
        </w:rPr>
        <w:t xml:space="preserve"> Krieger et al. 1997</w:t>
      </w:r>
      <w:r w:rsidRPr="0026705F">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ckGBUdEk","properties":{"formattedCitation":"[54]","plainCitation":"[54]","noteIndex":0},"citationItems":[{"id":6,"uris":["http://zotero.org/users/6096332/items/XEUNSZEK"],"uri":["http://zotero.org/users/6096332/items/XEUNSZEK"],"itemData":{"id":6,"type":"article-journal","abstract":"Increasing social inequalities in health in the United States and elsewhere, coupled with growing inequalities in income and wealth, have refocused attention on social class as a key determinant of population health. Routine analysis using conceptually coherent and consistent measures of socioeconomic position in US public health research and surveillance, however, remains rare. This review discusses concepts and methodologies concerning, and guidelines for measuring, social class and other aspects of socioeconomic position (e.g. income, poverty, deprivation, wealth, education). These data should be collected at the individual, household, and neighborhood level, to characterize both childhood and adult socioeconomic position; fluctuations in economic resources during these time periods also merit consideration. Guidelines for linking census-based socioeconomic measures and health data are presented, as are recommendations for analyses involving social class, race/ethnicity, and gender. Suggestions for research on socioeconomic measures are provided, to aid monitoring steps toward social equity in health.","container-title":"Annual Review of Public Health","DOI":"10.1146/annurev.publhealth.18.1.341","ISSN":"0163-7525","journalAbbreviation":"Annu Rev Public Health","language":"eng","note":"PMID: 9143723","page":"341-378","source":"PubMed","title":"Measuring social class in US public health research: concepts, methodologies, and guidelines","title-short":"Measuring social class in US public health research","volume":"18","author":[{"family":"Krieger","given":"N."},{"family":"Williams","given":"D. R."},{"family":"Moss","given":"N. E."}],"issued":{"date-parts":[["1997"]]}}}],"schema":"https://github.com/citation-style-language/schema/raw/master/csl-citation.json"} </w:instrText>
      </w:r>
      <w:r w:rsidRPr="0026705F">
        <w:rPr>
          <w:rFonts w:ascii="Times New Roman" w:hAnsi="Times New Roman" w:cs="Times New Roman"/>
          <w:sz w:val="20"/>
          <w:szCs w:val="20"/>
        </w:rPr>
        <w:fldChar w:fldCharType="separate"/>
      </w:r>
      <w:r>
        <w:rPr>
          <w:rFonts w:ascii="Times New Roman" w:hAnsi="Times New Roman" w:cs="Times New Roman"/>
          <w:sz w:val="20"/>
        </w:rPr>
        <w:t xml:space="preserve"> [</w:t>
      </w:r>
      <w:r w:rsidRPr="00474F70">
        <w:rPr>
          <w:rFonts w:ascii="Times New Roman" w:hAnsi="Times New Roman" w:cs="Times New Roman"/>
          <w:sz w:val="20"/>
        </w:rPr>
        <w:t>54]</w:t>
      </w:r>
      <w:r w:rsidRPr="0026705F">
        <w:rPr>
          <w:rFonts w:ascii="Times New Roman" w:hAnsi="Times New Roman" w:cs="Times New Roman"/>
          <w:sz w:val="20"/>
          <w:szCs w:val="20"/>
        </w:rPr>
        <w:fldChar w:fldCharType="end"/>
      </w:r>
      <w:r w:rsidRPr="0026705F">
        <w:rPr>
          <w:rFonts w:ascii="Times New Roman" w:hAnsi="Times New Roman" w:cs="Times New Roman"/>
          <w:sz w:val="20"/>
          <w:szCs w:val="20"/>
        </w:rPr>
        <w:t xml:space="preserve"> </w:t>
      </w:r>
    </w:p>
    <w:bookmarkEnd w:id="0"/>
    <w:p w14:paraId="2913C1D6" w14:textId="5E32DAB8" w:rsidR="00197C8C" w:rsidRDefault="00197C8C"/>
    <w:p w14:paraId="5A542A26" w14:textId="69E1CB18" w:rsidR="00197C8C" w:rsidRDefault="00197C8C"/>
    <w:p w14:paraId="2A02F763" w14:textId="77777777" w:rsidR="00652C75" w:rsidRDefault="00652C75" w:rsidP="00197C8C">
      <w:pPr>
        <w:spacing w:after="0" w:line="240" w:lineRule="auto"/>
      </w:pPr>
    </w:p>
    <w:sectPr w:rsidR="00652C75" w:rsidSect="00197C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7D"/>
    <w:rsid w:val="00080E0C"/>
    <w:rsid w:val="00090229"/>
    <w:rsid w:val="0015547A"/>
    <w:rsid w:val="001828DA"/>
    <w:rsid w:val="00197C8C"/>
    <w:rsid w:val="001A28F8"/>
    <w:rsid w:val="002F5494"/>
    <w:rsid w:val="00346834"/>
    <w:rsid w:val="00652C75"/>
    <w:rsid w:val="006E3B88"/>
    <w:rsid w:val="00811B27"/>
    <w:rsid w:val="0089111C"/>
    <w:rsid w:val="009F047D"/>
    <w:rsid w:val="00AF2A75"/>
    <w:rsid w:val="00E457AB"/>
    <w:rsid w:val="00EA0234"/>
    <w:rsid w:val="00F3606B"/>
    <w:rsid w:val="00FB1137"/>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7F1D"/>
  <w15:chartTrackingRefBased/>
  <w15:docId w15:val="{93AFD82E-DBF6-4712-AF62-8D4811CF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74B2-4EA0-4B56-B8D7-D844162C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Iyer</dc:creator>
  <cp:keywords/>
  <dc:description/>
  <cp:lastModifiedBy>Iyer, Hari S.</cp:lastModifiedBy>
  <cp:revision>3</cp:revision>
  <dcterms:created xsi:type="dcterms:W3CDTF">2022-08-17T15:28:00Z</dcterms:created>
  <dcterms:modified xsi:type="dcterms:W3CDTF">2022-08-17T15:30:00Z</dcterms:modified>
</cp:coreProperties>
</file>