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C771" w14:textId="77777777" w:rsidR="00A661BB" w:rsidRPr="000258EA" w:rsidRDefault="00A661BB" w:rsidP="00A661BB">
      <w:pPr>
        <w:pStyle w:val="Heading2"/>
        <w:spacing w:line="240" w:lineRule="auto"/>
        <w:ind w:left="567" w:hanging="567"/>
        <w:jc w:val="left"/>
        <w:rPr>
          <w:rFonts w:eastAsiaTheme="minorEastAsia"/>
          <w:b w:val="0"/>
        </w:rPr>
      </w:pPr>
      <w:r>
        <w:rPr>
          <w:rFonts w:eastAsiaTheme="minorEastAsia"/>
        </w:rPr>
        <w:t>S1</w:t>
      </w:r>
      <w:r w:rsidR="00111C49">
        <w:rPr>
          <w:rFonts w:eastAsiaTheme="minorEastAsia"/>
        </w:rPr>
        <w:t xml:space="preserve"> Table.</w:t>
      </w:r>
      <w:r w:rsidRPr="008B1841">
        <w:rPr>
          <w:rFonts w:eastAsiaTheme="minorEastAsia"/>
          <w:b w:val="0"/>
        </w:rPr>
        <w:t xml:space="preserve"> </w:t>
      </w:r>
      <w:r w:rsidRPr="000258EA">
        <w:rPr>
          <w:rFonts w:eastAsiaTheme="minorEastAsia"/>
          <w:b w:val="0"/>
        </w:rPr>
        <w:t>Demographic information of Hyogo prefecture and Japan and bias in age distribution in our cohorts.</w:t>
      </w:r>
    </w:p>
    <w:tbl>
      <w:tblPr>
        <w:tblW w:w="485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1298"/>
        <w:gridCol w:w="1961"/>
        <w:gridCol w:w="2113"/>
        <w:gridCol w:w="1558"/>
        <w:gridCol w:w="1825"/>
      </w:tblGrid>
      <w:tr w:rsidR="00A661BB" w:rsidRPr="008B1841" w14:paraId="7641A07B" w14:textId="77777777" w:rsidTr="00A3676B">
        <w:trPr>
          <w:trHeight w:val="506"/>
        </w:trPr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67D504FA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color w:val="000000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DD3C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bCs/>
                <w:color w:val="000000"/>
              </w:rPr>
            </w:pPr>
            <w:r w:rsidRPr="00A3676B">
              <w:rPr>
                <w:rFonts w:eastAsia="Yu Gothic"/>
                <w:b/>
                <w:bCs/>
                <w:color w:val="000000"/>
              </w:rPr>
              <w:t>Population,</w:t>
            </w:r>
            <w:r w:rsidRPr="00A3676B">
              <w:rPr>
                <w:rFonts w:eastAsia="Yu Gothic"/>
                <w:b/>
                <w:bCs/>
                <w:color w:val="000000"/>
                <w:vertAlign w:val="superscript"/>
              </w:rPr>
              <w:t xml:space="preserve"> </w:t>
            </w:r>
            <w:r w:rsidRPr="00A3676B">
              <w:rPr>
                <w:rFonts w:eastAsia="Yu Gothic"/>
                <w:b/>
                <w:bCs/>
                <w:color w:val="000000"/>
              </w:rPr>
              <w:t>thousand (% ratio of all)</w:t>
            </w:r>
          </w:p>
          <w:p w14:paraId="3E302EA6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</w:rPr>
              <w:t>(1</w:t>
            </w:r>
            <w:r w:rsidRPr="00A3676B">
              <w:rPr>
                <w:rFonts w:eastAsia="Yu Gothic"/>
                <w:b/>
                <w:color w:val="000000"/>
                <w:vertAlign w:val="superscript"/>
              </w:rPr>
              <w:t>st</w:t>
            </w:r>
            <w:r w:rsidRPr="00A3676B">
              <w:rPr>
                <w:rFonts w:eastAsia="Yu Gothic"/>
                <w:b/>
                <w:color w:val="000000"/>
              </w:rPr>
              <w:t xml:space="preserve"> October 2021) 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A66DA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color w:val="000000"/>
                <w:vertAlign w:val="superscript"/>
              </w:rPr>
            </w:pPr>
            <w:r w:rsidRPr="00A3676B">
              <w:rPr>
                <w:rFonts w:eastAsia="Yu Gothic"/>
                <w:b/>
                <w:color w:val="000000"/>
              </w:rPr>
              <w:t>Sample numbers in this study</w:t>
            </w:r>
            <w:r w:rsidRPr="00A3676B">
              <w:rPr>
                <w:rFonts w:eastAsia="Yu Gothic"/>
                <w:b/>
                <w:color w:val="000000"/>
                <w:vertAlign w:val="superscript"/>
              </w:rPr>
              <w:t>‡</w:t>
            </w:r>
          </w:p>
          <w:p w14:paraId="47C89D26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</w:rPr>
              <w:t xml:space="preserve"> (% ratio of all)</w:t>
            </w:r>
          </w:p>
        </w:tc>
      </w:tr>
      <w:tr w:rsidR="00A661BB" w:rsidRPr="008B1841" w14:paraId="2D8834C4" w14:textId="77777777" w:rsidTr="00A3676B">
        <w:trPr>
          <w:trHeight w:val="506"/>
        </w:trPr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4EB67B2E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  <w:sz w:val="22"/>
              </w:rPr>
              <w:t>Age groups, yrs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6E26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bCs/>
                <w:color w:val="000000"/>
              </w:rPr>
            </w:pPr>
            <w:r w:rsidRPr="00A3676B">
              <w:rPr>
                <w:rFonts w:eastAsia="Yu Gothic"/>
                <w:b/>
                <w:bCs/>
                <w:color w:val="000000"/>
              </w:rPr>
              <w:t>Hyogo Prefecture</w:t>
            </w:r>
            <w:r w:rsidRPr="00A3676B">
              <w:rPr>
                <w:rFonts w:eastAsia="Yu Gothic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8ADD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</w:rPr>
              <w:t>Japan</w:t>
            </w:r>
            <w:r w:rsidRPr="00A3676B">
              <w:rPr>
                <w:rFonts w:eastAsia="Yu Gothic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1F8B6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</w:rPr>
              <w:t>August 2021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08FB" w14:textId="77777777" w:rsidR="00A661BB" w:rsidRPr="00A3676B" w:rsidRDefault="00A661BB" w:rsidP="00A3676B">
            <w:pPr>
              <w:spacing w:line="240" w:lineRule="auto"/>
              <w:contextualSpacing/>
              <w:jc w:val="center"/>
              <w:rPr>
                <w:rFonts w:eastAsia="Yu Gothic"/>
                <w:b/>
                <w:color w:val="000000"/>
              </w:rPr>
            </w:pPr>
            <w:r w:rsidRPr="00A3676B">
              <w:rPr>
                <w:rFonts w:eastAsia="Yu Gothic"/>
                <w:b/>
                <w:color w:val="000000"/>
              </w:rPr>
              <w:t>December 2021</w:t>
            </w:r>
          </w:p>
        </w:tc>
      </w:tr>
      <w:tr w:rsidR="00A661BB" w:rsidRPr="008B1841" w14:paraId="67BFD8B7" w14:textId="77777777" w:rsidTr="00A3676B">
        <w:trPr>
          <w:trHeight w:val="506"/>
        </w:trPr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5D5D03CA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0-9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54674C40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9D4B1D">
              <w:t>426</w:t>
            </w:r>
            <w:r>
              <w:t xml:space="preserve"> (7.8%)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vAlign w:val="center"/>
          </w:tcPr>
          <w:p w14:paraId="19E5145C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9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657</w:t>
            </w:r>
            <w:r w:rsidRPr="00D6164D">
              <w:rPr>
                <w:color w:val="000000"/>
              </w:rPr>
              <w:t xml:space="preserve"> (7.7%)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14:paraId="044AD07D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0 (0%)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452CEE54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0</w:t>
            </w:r>
            <w:r w:rsidRPr="00D6164D">
              <w:rPr>
                <w:rFonts w:eastAsia="Yu Gothic"/>
                <w:color w:val="000000"/>
              </w:rPr>
              <w:t xml:space="preserve"> (0%)</w:t>
            </w:r>
          </w:p>
        </w:tc>
      </w:tr>
      <w:tr w:rsidR="00A661BB" w:rsidRPr="008B1841" w14:paraId="6940DB05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45E9DA45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>
              <w:rPr>
                <w:color w:val="000000"/>
              </w:rPr>
              <w:t>10</w:t>
            </w:r>
            <w:r w:rsidRPr="00D6164D">
              <w:rPr>
                <w:rFonts w:hint="eastAsia"/>
                <w:color w:val="000000"/>
              </w:rPr>
              <w:t>-19</w:t>
            </w:r>
          </w:p>
        </w:tc>
        <w:tc>
          <w:tcPr>
            <w:tcW w:w="1120" w:type="pct"/>
          </w:tcPr>
          <w:p w14:paraId="37675139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bCs/>
                <w:color w:val="000000"/>
              </w:rPr>
            </w:pPr>
            <w:r w:rsidRPr="009D4B1D">
              <w:t>495</w:t>
            </w:r>
            <w:r>
              <w:t xml:space="preserve"> (9.1%)</w:t>
            </w:r>
          </w:p>
        </w:tc>
        <w:tc>
          <w:tcPr>
            <w:tcW w:w="1207" w:type="pct"/>
            <w:vAlign w:val="center"/>
          </w:tcPr>
          <w:p w14:paraId="11A3CE7A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bCs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11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082</w:t>
            </w:r>
            <w:r w:rsidRPr="00D6164D">
              <w:rPr>
                <w:color w:val="000000"/>
              </w:rPr>
              <w:t xml:space="preserve"> (8.8%)</w:t>
            </w:r>
          </w:p>
        </w:tc>
        <w:tc>
          <w:tcPr>
            <w:tcW w:w="890" w:type="pct"/>
            <w:vAlign w:val="center"/>
          </w:tcPr>
          <w:p w14:paraId="5434DED5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bCs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4</w:t>
            </w:r>
            <w:r w:rsidRPr="00D6164D">
              <w:rPr>
                <w:rFonts w:eastAsia="Yu Gothic"/>
                <w:color w:val="000000"/>
              </w:rPr>
              <w:t xml:space="preserve"> (0.4%)</w:t>
            </w:r>
          </w:p>
        </w:tc>
        <w:tc>
          <w:tcPr>
            <w:tcW w:w="1042" w:type="pct"/>
            <w:vAlign w:val="center"/>
          </w:tcPr>
          <w:p w14:paraId="0B557A48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b/>
                <w:bCs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3 (0.3%)</w:t>
            </w:r>
          </w:p>
        </w:tc>
      </w:tr>
      <w:tr w:rsidR="00A661BB" w:rsidRPr="008B1841" w14:paraId="2AA356BF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781F37DD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20-29</w:t>
            </w:r>
          </w:p>
        </w:tc>
        <w:tc>
          <w:tcPr>
            <w:tcW w:w="1120" w:type="pct"/>
          </w:tcPr>
          <w:p w14:paraId="60AF0C73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9D4B1D">
              <w:t>515</w:t>
            </w:r>
            <w:r>
              <w:t xml:space="preserve"> (9.4%)</w:t>
            </w:r>
          </w:p>
        </w:tc>
        <w:tc>
          <w:tcPr>
            <w:tcW w:w="1207" w:type="pct"/>
            <w:vAlign w:val="center"/>
          </w:tcPr>
          <w:p w14:paraId="367D78A9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12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703</w:t>
            </w:r>
            <w:r w:rsidRPr="00D6164D">
              <w:rPr>
                <w:color w:val="000000"/>
              </w:rPr>
              <w:t xml:space="preserve"> (10.1%)</w:t>
            </w:r>
          </w:p>
        </w:tc>
        <w:tc>
          <w:tcPr>
            <w:tcW w:w="890" w:type="pct"/>
            <w:vAlign w:val="center"/>
          </w:tcPr>
          <w:p w14:paraId="068ABFEB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123 (12.3%)</w:t>
            </w:r>
          </w:p>
        </w:tc>
        <w:tc>
          <w:tcPr>
            <w:tcW w:w="1042" w:type="pct"/>
            <w:vAlign w:val="center"/>
          </w:tcPr>
          <w:p w14:paraId="13F149A7" w14:textId="77777777" w:rsidR="00A661BB" w:rsidRPr="00D6164D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1</w:t>
            </w:r>
            <w:r w:rsidRPr="00D6164D">
              <w:rPr>
                <w:rFonts w:eastAsia="Yu Gothic"/>
                <w:color w:val="000000"/>
              </w:rPr>
              <w:t>04 (10.4%)</w:t>
            </w:r>
          </w:p>
        </w:tc>
      </w:tr>
      <w:tr w:rsidR="00A661BB" w:rsidRPr="008B1841" w14:paraId="35D3B384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5743B760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30-39</w:t>
            </w:r>
          </w:p>
        </w:tc>
        <w:tc>
          <w:tcPr>
            <w:tcW w:w="1120" w:type="pct"/>
          </w:tcPr>
          <w:p w14:paraId="5BDEBD7B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9D4B1D">
              <w:t>579</w:t>
            </w:r>
            <w:r>
              <w:t xml:space="preserve"> (10.6%)</w:t>
            </w:r>
          </w:p>
        </w:tc>
        <w:tc>
          <w:tcPr>
            <w:tcW w:w="1207" w:type="pct"/>
            <w:vAlign w:val="center"/>
          </w:tcPr>
          <w:p w14:paraId="0B180F33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14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213</w:t>
            </w:r>
            <w:r w:rsidRPr="00D6164D">
              <w:rPr>
                <w:color w:val="000000"/>
              </w:rPr>
              <w:t xml:space="preserve"> (11.3%)</w:t>
            </w:r>
          </w:p>
        </w:tc>
        <w:tc>
          <w:tcPr>
            <w:tcW w:w="890" w:type="pct"/>
            <w:vAlign w:val="center"/>
          </w:tcPr>
          <w:p w14:paraId="350BC024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179 (17.9%)</w:t>
            </w:r>
          </w:p>
        </w:tc>
        <w:tc>
          <w:tcPr>
            <w:tcW w:w="1042" w:type="pct"/>
            <w:vAlign w:val="center"/>
          </w:tcPr>
          <w:p w14:paraId="1ED6E9CA" w14:textId="77777777" w:rsidR="00A661BB" w:rsidRPr="00D6164D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1</w:t>
            </w:r>
            <w:r w:rsidRPr="00D6164D">
              <w:rPr>
                <w:rFonts w:eastAsia="Yu Gothic"/>
                <w:color w:val="000000"/>
              </w:rPr>
              <w:t>49 (14.9%)</w:t>
            </w:r>
          </w:p>
        </w:tc>
      </w:tr>
      <w:tr w:rsidR="00A661BB" w:rsidRPr="008B1841" w14:paraId="23791F72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159A8D39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40-49</w:t>
            </w:r>
          </w:p>
        </w:tc>
        <w:tc>
          <w:tcPr>
            <w:tcW w:w="1120" w:type="pct"/>
          </w:tcPr>
          <w:p w14:paraId="65287502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9D4B1D">
              <w:t>791</w:t>
            </w:r>
            <w:r>
              <w:t xml:space="preserve"> (14.5%)</w:t>
            </w:r>
          </w:p>
        </w:tc>
        <w:tc>
          <w:tcPr>
            <w:tcW w:w="1207" w:type="pct"/>
            <w:vAlign w:val="center"/>
          </w:tcPr>
          <w:p w14:paraId="5C1DBB7F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18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345</w:t>
            </w:r>
            <w:r w:rsidRPr="00D6164D">
              <w:rPr>
                <w:color w:val="000000"/>
              </w:rPr>
              <w:t xml:space="preserve"> (14.5%)</w:t>
            </w:r>
          </w:p>
        </w:tc>
        <w:tc>
          <w:tcPr>
            <w:tcW w:w="890" w:type="pct"/>
            <w:vAlign w:val="center"/>
          </w:tcPr>
          <w:p w14:paraId="7BAED4F2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243 (24.3%)</w:t>
            </w:r>
          </w:p>
        </w:tc>
        <w:tc>
          <w:tcPr>
            <w:tcW w:w="1042" w:type="pct"/>
            <w:vAlign w:val="center"/>
          </w:tcPr>
          <w:p w14:paraId="7D2C31A2" w14:textId="77777777" w:rsidR="00A661BB" w:rsidRPr="00D6164D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2</w:t>
            </w:r>
            <w:r w:rsidRPr="00D6164D">
              <w:rPr>
                <w:rFonts w:eastAsia="Yu Gothic"/>
                <w:color w:val="000000"/>
              </w:rPr>
              <w:t>57 (25.7%)</w:t>
            </w:r>
          </w:p>
        </w:tc>
      </w:tr>
      <w:tr w:rsidR="00A661BB" w:rsidRPr="008B1841" w14:paraId="79885866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78B81B2C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50-59</w:t>
            </w:r>
          </w:p>
        </w:tc>
        <w:tc>
          <w:tcPr>
            <w:tcW w:w="1120" w:type="pct"/>
          </w:tcPr>
          <w:p w14:paraId="49F7611E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9D4B1D">
              <w:t>737</w:t>
            </w:r>
            <w:r>
              <w:t xml:space="preserve"> (13.5%)</w:t>
            </w:r>
          </w:p>
        </w:tc>
        <w:tc>
          <w:tcPr>
            <w:tcW w:w="1207" w:type="pct"/>
            <w:vAlign w:val="center"/>
          </w:tcPr>
          <w:p w14:paraId="325598BC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16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677</w:t>
            </w:r>
            <w:r w:rsidRPr="00D6164D">
              <w:rPr>
                <w:color w:val="000000"/>
              </w:rPr>
              <w:t xml:space="preserve"> (13.2%)</w:t>
            </w:r>
          </w:p>
        </w:tc>
        <w:tc>
          <w:tcPr>
            <w:tcW w:w="890" w:type="pct"/>
            <w:vAlign w:val="center"/>
          </w:tcPr>
          <w:p w14:paraId="18D14029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/>
                <w:color w:val="000000"/>
              </w:rPr>
              <w:t>236 (23.6%)</w:t>
            </w:r>
          </w:p>
        </w:tc>
        <w:tc>
          <w:tcPr>
            <w:tcW w:w="1042" w:type="pct"/>
            <w:vAlign w:val="center"/>
          </w:tcPr>
          <w:p w14:paraId="2E9732E5" w14:textId="77777777" w:rsidR="00A661BB" w:rsidRPr="00D6164D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eastAsia="Yu Gothic" w:hint="eastAsia"/>
                <w:color w:val="000000"/>
              </w:rPr>
              <w:t>2</w:t>
            </w:r>
            <w:r w:rsidRPr="00D6164D">
              <w:rPr>
                <w:rFonts w:eastAsia="Yu Gothic"/>
                <w:color w:val="000000"/>
              </w:rPr>
              <w:t>65 (26.5%)</w:t>
            </w:r>
          </w:p>
        </w:tc>
      </w:tr>
      <w:tr w:rsidR="00A661BB" w:rsidRPr="008B1841" w14:paraId="08F4C48E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7EB43FC1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 w:rsidRPr="00D6164D">
              <w:rPr>
                <w:rFonts w:hint="eastAsia"/>
                <w:color w:val="000000"/>
              </w:rPr>
              <w:t>60-69</w:t>
            </w:r>
          </w:p>
        </w:tc>
        <w:tc>
          <w:tcPr>
            <w:tcW w:w="1120" w:type="pct"/>
          </w:tcPr>
          <w:p w14:paraId="63FED54F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677</w:t>
            </w:r>
            <w:r>
              <w:rPr>
                <w:color w:val="000000"/>
              </w:rPr>
              <w:t xml:space="preserve"> (12.4%)</w:t>
            </w:r>
          </w:p>
        </w:tc>
        <w:tc>
          <w:tcPr>
            <w:tcW w:w="1207" w:type="pct"/>
            <w:vAlign w:val="center"/>
          </w:tcPr>
          <w:p w14:paraId="424A1DD4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D6164D">
              <w:rPr>
                <w:rFonts w:hint="eastAsia"/>
                <w:color w:val="000000"/>
              </w:rPr>
              <w:t>15</w:t>
            </w:r>
            <w:r w:rsidRPr="00D6164D">
              <w:rPr>
                <w:color w:val="000000"/>
              </w:rPr>
              <w:t>,</w:t>
            </w:r>
            <w:r w:rsidRPr="00D6164D">
              <w:rPr>
                <w:rFonts w:hint="eastAsia"/>
                <w:color w:val="000000"/>
              </w:rPr>
              <w:t>678</w:t>
            </w:r>
            <w:r w:rsidRPr="00D6164D">
              <w:rPr>
                <w:color w:val="000000"/>
              </w:rPr>
              <w:t xml:space="preserve"> (12.4%)</w:t>
            </w:r>
          </w:p>
        </w:tc>
        <w:tc>
          <w:tcPr>
            <w:tcW w:w="890" w:type="pct"/>
            <w:vAlign w:val="center"/>
          </w:tcPr>
          <w:p w14:paraId="30671799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174 (17.4%)</w:t>
            </w:r>
          </w:p>
        </w:tc>
        <w:tc>
          <w:tcPr>
            <w:tcW w:w="1042" w:type="pct"/>
            <w:vAlign w:val="center"/>
          </w:tcPr>
          <w:p w14:paraId="7E010A4A" w14:textId="77777777" w:rsidR="00A661BB" w:rsidRPr="00A3676B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182 (18.2%)</w:t>
            </w:r>
          </w:p>
        </w:tc>
      </w:tr>
      <w:tr w:rsidR="00A661BB" w:rsidRPr="008B1841" w14:paraId="10363CEB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31251EE1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  <w:sz w:val="22"/>
              </w:rPr>
            </w:pPr>
            <w:r w:rsidRPr="00D6164D">
              <w:rPr>
                <w:rFonts w:hint="eastAsia"/>
                <w:color w:val="000000"/>
              </w:rPr>
              <w:t>70-79</w:t>
            </w:r>
          </w:p>
        </w:tc>
        <w:tc>
          <w:tcPr>
            <w:tcW w:w="1120" w:type="pct"/>
          </w:tcPr>
          <w:p w14:paraId="781E666A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740</w:t>
            </w:r>
            <w:r>
              <w:rPr>
                <w:color w:val="000000"/>
              </w:rPr>
              <w:t xml:space="preserve"> (13.5%)</w:t>
            </w:r>
          </w:p>
        </w:tc>
        <w:tc>
          <w:tcPr>
            <w:tcW w:w="1207" w:type="pct"/>
          </w:tcPr>
          <w:p w14:paraId="414BF80E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16,254 (</w:t>
            </w:r>
            <w:r>
              <w:rPr>
                <w:color w:val="000000"/>
              </w:rPr>
              <w:t>12.9%</w:t>
            </w:r>
            <w:r w:rsidRPr="00A3676B">
              <w:rPr>
                <w:color w:val="000000"/>
              </w:rPr>
              <w:t>)</w:t>
            </w:r>
          </w:p>
        </w:tc>
        <w:tc>
          <w:tcPr>
            <w:tcW w:w="890" w:type="pct"/>
            <w:vAlign w:val="center"/>
          </w:tcPr>
          <w:p w14:paraId="1A77FB31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39 (3.9%)</w:t>
            </w:r>
          </w:p>
        </w:tc>
        <w:tc>
          <w:tcPr>
            <w:tcW w:w="1042" w:type="pct"/>
            <w:vAlign w:val="center"/>
          </w:tcPr>
          <w:p w14:paraId="07EC52EF" w14:textId="77777777" w:rsidR="00A661BB" w:rsidRPr="00A3676B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</w:t>
            </w:r>
            <w:r>
              <w:rPr>
                <w:rFonts w:eastAsiaTheme="minorEastAsia"/>
                <w:color w:val="000000"/>
              </w:rPr>
              <w:t xml:space="preserve">0 </w:t>
            </w:r>
            <w:r>
              <w:rPr>
                <w:rFonts w:eastAsiaTheme="minorEastAsia" w:hint="eastAsia"/>
                <w:color w:val="000000"/>
              </w:rPr>
              <w:t>(</w:t>
            </w:r>
            <w:r>
              <w:rPr>
                <w:rFonts w:eastAsiaTheme="minorEastAsia"/>
                <w:color w:val="000000"/>
              </w:rPr>
              <w:t>4.0%)</w:t>
            </w:r>
          </w:p>
        </w:tc>
      </w:tr>
      <w:tr w:rsidR="00A661BB" w:rsidRPr="008B1841" w14:paraId="5FF219EE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0BCBCFA7" w14:textId="77777777" w:rsidR="00A661BB" w:rsidRPr="008B1841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  <w:sz w:val="22"/>
              </w:rPr>
            </w:pPr>
            <w:r w:rsidRPr="00D6164D">
              <w:rPr>
                <w:rFonts w:hint="eastAsia"/>
                <w:color w:val="000000"/>
              </w:rPr>
              <w:t>80-89</w:t>
            </w:r>
          </w:p>
        </w:tc>
        <w:tc>
          <w:tcPr>
            <w:tcW w:w="1120" w:type="pct"/>
          </w:tcPr>
          <w:p w14:paraId="24E9E9B3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403</w:t>
            </w:r>
            <w:r>
              <w:rPr>
                <w:color w:val="000000"/>
              </w:rPr>
              <w:t xml:space="preserve"> (7.4%)</w:t>
            </w:r>
          </w:p>
        </w:tc>
        <w:tc>
          <w:tcPr>
            <w:tcW w:w="1207" w:type="pct"/>
          </w:tcPr>
          <w:p w14:paraId="3CB73C10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9,146</w:t>
            </w:r>
            <w:r>
              <w:rPr>
                <w:color w:val="000000"/>
              </w:rPr>
              <w:t xml:space="preserve"> (7.3%)</w:t>
            </w:r>
          </w:p>
        </w:tc>
        <w:tc>
          <w:tcPr>
            <w:tcW w:w="890" w:type="pct"/>
            <w:vAlign w:val="center"/>
          </w:tcPr>
          <w:p w14:paraId="5C8808F4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 (0.2%)</w:t>
            </w:r>
          </w:p>
        </w:tc>
        <w:tc>
          <w:tcPr>
            <w:tcW w:w="1042" w:type="pct"/>
            <w:vAlign w:val="center"/>
          </w:tcPr>
          <w:p w14:paraId="69CC5BFE" w14:textId="77777777" w:rsidR="00A661BB" w:rsidRPr="00A3676B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 xml:space="preserve"> (0%)</w:t>
            </w:r>
          </w:p>
        </w:tc>
      </w:tr>
      <w:tr w:rsidR="00A661BB" w:rsidRPr="008B1841" w14:paraId="426DAFBB" w14:textId="77777777" w:rsidTr="00A3676B">
        <w:trPr>
          <w:trHeight w:val="506"/>
        </w:trPr>
        <w:tc>
          <w:tcPr>
            <w:tcW w:w="741" w:type="pct"/>
            <w:vAlign w:val="center"/>
          </w:tcPr>
          <w:p w14:paraId="65D9A68F" w14:textId="77777777" w:rsidR="00A661BB" w:rsidRPr="008B1841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  <w:sz w:val="22"/>
              </w:rPr>
            </w:pPr>
            <w:r w:rsidRPr="00D6164D">
              <w:rPr>
                <w:rFonts w:eastAsiaTheme="minorEastAsia" w:hint="eastAsia"/>
                <w:color w:val="000000"/>
              </w:rPr>
              <w:t>&gt;</w:t>
            </w:r>
            <w:r w:rsidRPr="00D6164D">
              <w:rPr>
                <w:rFonts w:eastAsiaTheme="minorEastAsia"/>
                <w:color w:val="000000"/>
              </w:rPr>
              <w:t>90</w:t>
            </w:r>
          </w:p>
        </w:tc>
        <w:tc>
          <w:tcPr>
            <w:tcW w:w="1120" w:type="pct"/>
          </w:tcPr>
          <w:p w14:paraId="69D7B9C0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(1.9%)</w:t>
            </w:r>
          </w:p>
        </w:tc>
        <w:tc>
          <w:tcPr>
            <w:tcW w:w="1207" w:type="pct"/>
          </w:tcPr>
          <w:p w14:paraId="13FDF9FB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color w:val="000000"/>
              </w:rPr>
            </w:pPr>
            <w:r w:rsidRPr="00A3676B">
              <w:rPr>
                <w:color w:val="000000"/>
              </w:rPr>
              <w:t>2,391</w:t>
            </w:r>
            <w:r>
              <w:rPr>
                <w:color w:val="000000"/>
              </w:rPr>
              <w:t xml:space="preserve"> (1.9%)</w:t>
            </w:r>
          </w:p>
        </w:tc>
        <w:tc>
          <w:tcPr>
            <w:tcW w:w="890" w:type="pct"/>
            <w:vAlign w:val="center"/>
          </w:tcPr>
          <w:p w14:paraId="116BD5FF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 xml:space="preserve"> (0%)</w:t>
            </w:r>
          </w:p>
        </w:tc>
        <w:tc>
          <w:tcPr>
            <w:tcW w:w="1042" w:type="pct"/>
            <w:vAlign w:val="center"/>
          </w:tcPr>
          <w:p w14:paraId="70FD59DF" w14:textId="77777777" w:rsidR="00A661BB" w:rsidRPr="00A3676B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 xml:space="preserve"> (0%)</w:t>
            </w:r>
          </w:p>
        </w:tc>
      </w:tr>
      <w:tr w:rsidR="00A661BB" w:rsidRPr="008B1841" w14:paraId="07DB9E8C" w14:textId="77777777" w:rsidTr="00A3676B">
        <w:trPr>
          <w:trHeight w:val="506"/>
        </w:trPr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04FB6C2F" w14:textId="77777777" w:rsidR="00A661BB" w:rsidRPr="008B1841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  <w:sz w:val="22"/>
              </w:rPr>
            </w:pPr>
            <w:r>
              <w:rPr>
                <w:rFonts w:eastAsia="Yu Gothic" w:hint="eastAsia"/>
                <w:color w:val="000000"/>
                <w:sz w:val="22"/>
              </w:rPr>
              <w:t>a</w:t>
            </w:r>
            <w:r>
              <w:rPr>
                <w:rFonts w:eastAsia="Yu Gothic"/>
                <w:color w:val="000000"/>
                <w:sz w:val="22"/>
              </w:rPr>
              <w:t>ll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3C71F2FC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,465 (100%)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7A8371F4" w14:textId="77777777" w:rsidR="00A661BB" w:rsidRPr="00A3676B" w:rsidRDefault="00A661BB" w:rsidP="00A3676B">
            <w:pPr>
              <w:spacing w:line="240" w:lineRule="auto"/>
              <w:contextualSpacing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>26,146 (100%)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1FB797A0" w14:textId="77777777" w:rsidR="00A661BB" w:rsidRPr="00D6164D" w:rsidRDefault="00A661BB" w:rsidP="00A3676B">
            <w:pPr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>
              <w:rPr>
                <w:rFonts w:eastAsia="Yu Gothic" w:hint="eastAsia"/>
                <w:color w:val="000000"/>
              </w:rPr>
              <w:t>1</w:t>
            </w:r>
            <w:r>
              <w:rPr>
                <w:rFonts w:eastAsia="Yu Gothic"/>
                <w:color w:val="000000"/>
              </w:rPr>
              <w:t>,000 (100%)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6140A3DF" w14:textId="77777777" w:rsidR="00A661BB" w:rsidRPr="00D6164D" w:rsidRDefault="00A661BB" w:rsidP="00A3676B">
            <w:pPr>
              <w:adjustRightInd w:val="0"/>
              <w:spacing w:line="240" w:lineRule="auto"/>
              <w:contextualSpacing/>
              <w:jc w:val="left"/>
              <w:rPr>
                <w:rFonts w:eastAsia="Yu Gothic"/>
                <w:color w:val="000000"/>
              </w:rPr>
            </w:pPr>
            <w:r>
              <w:rPr>
                <w:rFonts w:eastAsia="Yu Gothic" w:hint="eastAsia"/>
                <w:color w:val="000000"/>
              </w:rPr>
              <w:t>1</w:t>
            </w:r>
            <w:r>
              <w:rPr>
                <w:rFonts w:eastAsia="Yu Gothic"/>
                <w:color w:val="000000"/>
              </w:rPr>
              <w:t>,000 (100%)</w:t>
            </w:r>
          </w:p>
        </w:tc>
      </w:tr>
    </w:tbl>
    <w:p w14:paraId="0F5E0FFE" w14:textId="77777777" w:rsidR="00A661BB" w:rsidRDefault="00A661BB" w:rsidP="00A661BB">
      <w:pPr>
        <w:spacing w:line="240" w:lineRule="auto"/>
        <w:jc w:val="left"/>
        <w:rPr>
          <w:rFonts w:eastAsiaTheme="minorEastAsia"/>
          <w:sz w:val="22"/>
        </w:rPr>
      </w:pPr>
      <w:r w:rsidRPr="008B1841">
        <w:rPr>
          <w:rFonts w:eastAsiaTheme="minorEastAsia"/>
          <w:sz w:val="22"/>
        </w:rPr>
        <w:t xml:space="preserve">* </w:t>
      </w:r>
      <w:r>
        <w:rPr>
          <w:rFonts w:eastAsia="Yu Gothic"/>
          <w:color w:val="000000"/>
          <w:sz w:val="22"/>
        </w:rPr>
        <w:t>Data was based on a Hyogo prefecture office report for the time point of 1</w:t>
      </w:r>
      <w:r w:rsidRPr="004E1427">
        <w:rPr>
          <w:rFonts w:eastAsia="Yu Gothic"/>
          <w:color w:val="000000"/>
          <w:sz w:val="22"/>
          <w:vertAlign w:val="superscript"/>
        </w:rPr>
        <w:t>st</w:t>
      </w:r>
      <w:r>
        <w:rPr>
          <w:rFonts w:eastAsia="Yu Gothic"/>
          <w:color w:val="000000"/>
          <w:sz w:val="22"/>
        </w:rPr>
        <w:t xml:space="preserve"> Oct, 2020: </w:t>
      </w:r>
      <w:r w:rsidRPr="00477E8A">
        <w:rPr>
          <w:rFonts w:eastAsiaTheme="minorEastAsia"/>
          <w:sz w:val="22"/>
        </w:rPr>
        <w:t>https://web.pref.hyogo.lg.jp/kk11/jinkou-tochitoukei/jinkoubunseki.html</w:t>
      </w:r>
      <w:r>
        <w:rPr>
          <w:rFonts w:eastAsiaTheme="minorEastAsia" w:hint="eastAsia"/>
          <w:sz w:val="22"/>
        </w:rPr>
        <w:t xml:space="preserve"> (</w:t>
      </w:r>
      <w:r>
        <w:rPr>
          <w:rFonts w:eastAsiaTheme="minorEastAsia"/>
          <w:sz w:val="22"/>
        </w:rPr>
        <w:t>Accessed on 28 February)</w:t>
      </w:r>
    </w:p>
    <w:p w14:paraId="2698406B" w14:textId="77777777" w:rsidR="00A661BB" w:rsidRDefault="00A661BB" w:rsidP="00A661BB">
      <w:pPr>
        <w:spacing w:line="240" w:lineRule="auto"/>
        <w:jc w:val="left"/>
        <w:rPr>
          <w:rFonts w:eastAsiaTheme="minorEastAsia"/>
          <w:sz w:val="22"/>
        </w:rPr>
      </w:pPr>
      <w:r w:rsidRPr="004E1427">
        <w:rPr>
          <w:rFonts w:eastAsia="Yu Gothic"/>
          <w:color w:val="000000"/>
          <w:sz w:val="22"/>
          <w:vertAlign w:val="superscript"/>
        </w:rPr>
        <w:t>†</w:t>
      </w:r>
      <w:r>
        <w:rPr>
          <w:rFonts w:eastAsia="Yu Gothic"/>
          <w:color w:val="000000"/>
          <w:sz w:val="22"/>
        </w:rPr>
        <w:t>Data was based on the government report for the time point of 1</w:t>
      </w:r>
      <w:r w:rsidRPr="004E1427">
        <w:rPr>
          <w:rFonts w:eastAsia="Yu Gothic"/>
          <w:color w:val="000000"/>
          <w:sz w:val="22"/>
          <w:vertAlign w:val="superscript"/>
        </w:rPr>
        <w:t>st</w:t>
      </w:r>
      <w:r>
        <w:rPr>
          <w:rFonts w:eastAsia="Yu Gothic"/>
          <w:color w:val="000000"/>
          <w:sz w:val="22"/>
        </w:rPr>
        <w:t xml:space="preserve"> Oct, 2020: </w:t>
      </w:r>
      <w:r w:rsidRPr="00EE27A6">
        <w:rPr>
          <w:rFonts w:eastAsiaTheme="minorEastAsia"/>
          <w:sz w:val="22"/>
        </w:rPr>
        <w:t>https://www.e-stat.go.jp/en/stat-search/files?page=1&amp;layout=datalist&amp;toukei=00200524&amp;tstat=000000090001&amp;cycle=7&amp;year=20200&amp;month=0&amp;tclass1=000001011679&amp;tclass2val=0</w:t>
      </w:r>
      <w:r>
        <w:rPr>
          <w:rFonts w:eastAsiaTheme="minorEastAsia" w:hint="eastAsia"/>
          <w:sz w:val="22"/>
        </w:rPr>
        <w:t xml:space="preserve">　</w:t>
      </w:r>
      <w:r>
        <w:rPr>
          <w:rFonts w:eastAsiaTheme="minorEastAsia" w:hint="eastAsia"/>
          <w:sz w:val="22"/>
        </w:rPr>
        <w:t>(</w:t>
      </w:r>
      <w:r>
        <w:rPr>
          <w:rFonts w:eastAsiaTheme="minorEastAsia"/>
          <w:sz w:val="22"/>
        </w:rPr>
        <w:t xml:space="preserve">Accessed on 28 February) </w:t>
      </w:r>
    </w:p>
    <w:p w14:paraId="39EC04BD" w14:textId="77777777" w:rsidR="00A661BB" w:rsidRDefault="00A661BB" w:rsidP="00A661BB">
      <w:pPr>
        <w:spacing w:line="240" w:lineRule="auto"/>
        <w:jc w:val="left"/>
        <w:rPr>
          <w:rFonts w:eastAsiaTheme="minorEastAsia"/>
          <w:sz w:val="22"/>
        </w:rPr>
      </w:pPr>
      <w:r w:rsidRPr="00D6164D">
        <w:rPr>
          <w:rFonts w:eastAsiaTheme="minorEastAsia"/>
          <w:sz w:val="22"/>
          <w:vertAlign w:val="superscript"/>
        </w:rPr>
        <w:t>‡</w:t>
      </w:r>
      <w:r>
        <w:rPr>
          <w:rFonts w:eastAsiaTheme="minorEastAsia"/>
          <w:sz w:val="22"/>
        </w:rPr>
        <w:t>The data shown in Table 1 were also shown here to compare the age distribution of this study and general population.</w:t>
      </w:r>
    </w:p>
    <w:p w14:paraId="2E7EA585" w14:textId="77777777" w:rsidR="00A661BB" w:rsidRPr="001549B7" w:rsidRDefault="00A661BB" w:rsidP="009B04A2">
      <w:pPr>
        <w:widowControl/>
        <w:spacing w:line="240" w:lineRule="auto"/>
        <w:jc w:val="left"/>
        <w:rPr>
          <w:rFonts w:eastAsiaTheme="minorEastAsia"/>
          <w:sz w:val="22"/>
          <w:vertAlign w:val="superscript"/>
        </w:rPr>
      </w:pPr>
    </w:p>
    <w:sectPr w:rsidR="00A661BB" w:rsidRPr="001549B7" w:rsidSect="009B04A2">
      <w:pgSz w:w="11906" w:h="16838"/>
      <w:pgMar w:top="1985" w:right="1440" w:bottom="1701" w:left="1440" w:header="851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138" w14:textId="77777777" w:rsidR="000B7CA5" w:rsidRDefault="000B7CA5">
      <w:pPr>
        <w:spacing w:line="240" w:lineRule="auto"/>
      </w:pPr>
      <w:r>
        <w:separator/>
      </w:r>
    </w:p>
  </w:endnote>
  <w:endnote w:type="continuationSeparator" w:id="0">
    <w:p w14:paraId="77813944" w14:textId="77777777" w:rsidR="000B7CA5" w:rsidRDefault="000B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8B7A" w14:textId="77777777" w:rsidR="000B7CA5" w:rsidRDefault="000B7CA5">
      <w:pPr>
        <w:spacing w:line="240" w:lineRule="auto"/>
      </w:pPr>
      <w:r>
        <w:separator/>
      </w:r>
    </w:p>
  </w:footnote>
  <w:footnote w:type="continuationSeparator" w:id="0">
    <w:p w14:paraId="6531219B" w14:textId="77777777" w:rsidR="000B7CA5" w:rsidRDefault="000B7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BB"/>
    <w:rsid w:val="000258EA"/>
    <w:rsid w:val="000B7CA5"/>
    <w:rsid w:val="00111C49"/>
    <w:rsid w:val="001549B7"/>
    <w:rsid w:val="00157958"/>
    <w:rsid w:val="00233963"/>
    <w:rsid w:val="0036320B"/>
    <w:rsid w:val="0057480B"/>
    <w:rsid w:val="0057735C"/>
    <w:rsid w:val="00701D8B"/>
    <w:rsid w:val="007314D2"/>
    <w:rsid w:val="007C306B"/>
    <w:rsid w:val="009B04A2"/>
    <w:rsid w:val="00A5617E"/>
    <w:rsid w:val="00A661BB"/>
    <w:rsid w:val="00DA15B8"/>
    <w:rsid w:val="00DB7DA5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14CE7"/>
  <w15:chartTrackingRefBased/>
  <w15:docId w15:val="{23EC99D7-041C-455E-85FE-EFAE598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BB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661B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A661BB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1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61B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661BB"/>
  </w:style>
  <w:style w:type="paragraph" w:styleId="NoSpacing">
    <w:name w:val="No Spacing"/>
    <w:uiPriority w:val="1"/>
    <w:qFormat/>
    <w:rsid w:val="00A661BB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chn off28</cp:lastModifiedBy>
  <cp:revision>4</cp:revision>
  <dcterms:created xsi:type="dcterms:W3CDTF">2022-03-22T07:19:00Z</dcterms:created>
  <dcterms:modified xsi:type="dcterms:W3CDTF">2022-03-29T05:21:00Z</dcterms:modified>
</cp:coreProperties>
</file>