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433E" w14:textId="19126E92" w:rsidR="00100BFD" w:rsidRPr="00100BFD" w:rsidRDefault="00100BFD" w:rsidP="00100BFD">
      <w:pPr>
        <w:rPr>
          <w:b/>
          <w:bCs/>
          <w:lang w:val="en-GB"/>
        </w:rPr>
      </w:pPr>
      <w:bookmarkStart w:id="0" w:name="_Toc86245107"/>
      <w:r w:rsidRPr="00100BFD">
        <w:rPr>
          <w:b/>
          <w:bCs/>
          <w:lang w:val="en-GB"/>
        </w:rPr>
        <w:t xml:space="preserve">Supplementary </w:t>
      </w:r>
      <w:r w:rsidR="00B05834">
        <w:rPr>
          <w:b/>
          <w:bCs/>
          <w:lang w:val="en-GB"/>
        </w:rPr>
        <w:t xml:space="preserve">document </w:t>
      </w:r>
      <w:r w:rsidRPr="00100BFD">
        <w:rPr>
          <w:b/>
          <w:bCs/>
          <w:lang w:val="en-GB"/>
        </w:rPr>
        <w:t>3</w:t>
      </w:r>
    </w:p>
    <w:p w14:paraId="2FC115D6" w14:textId="3B18AFB6" w:rsidR="00100BFD" w:rsidRPr="00D02858" w:rsidRDefault="00100BFD" w:rsidP="00100BFD">
      <w:pPr>
        <w:ind w:left="864" w:hanging="864"/>
        <w:rPr>
          <w:bCs/>
          <w:sz w:val="20"/>
          <w:szCs w:val="20"/>
          <w:lang w:val="en-GB"/>
        </w:rPr>
      </w:pPr>
      <w:r>
        <w:rPr>
          <w:lang w:val="en-GB"/>
        </w:rPr>
        <w:t>S3.</w:t>
      </w:r>
      <w:r w:rsidRPr="00D02858">
        <w:rPr>
          <w:bCs/>
          <w:lang w:val="en-GB"/>
        </w:rPr>
        <w:t xml:space="preserve"> Forest plot </w:t>
      </w:r>
      <w:r w:rsidRPr="00D02858">
        <w:rPr>
          <w:lang w:val="en-GB"/>
        </w:rPr>
        <w:t>of pooled prevalence estimates of Gram-negative enteric bacterial pathogens</w:t>
      </w:r>
      <w:r w:rsidRPr="00D02858">
        <w:rPr>
          <w:bCs/>
          <w:lang w:val="en-GB"/>
        </w:rPr>
        <w:t xml:space="preserve"> subgrouping-based age of the study subjects</w:t>
      </w:r>
      <w:bookmarkEnd w:id="0"/>
    </w:p>
    <w:p w14:paraId="1D6F8B16" w14:textId="77777777" w:rsidR="00100BFD" w:rsidRPr="00CE1EA3" w:rsidRDefault="00100BFD" w:rsidP="00100BFD">
      <w:pPr>
        <w:pStyle w:val="ListParagraph"/>
        <w:autoSpaceDE w:val="0"/>
        <w:autoSpaceDN w:val="0"/>
        <w:adjustRightInd w:val="0"/>
        <w:spacing w:after="0"/>
        <w:ind w:left="360"/>
        <w:rPr>
          <w:bCs/>
          <w:szCs w:val="24"/>
          <w:lang w:val="en-GB"/>
        </w:rPr>
      </w:pPr>
      <w:r w:rsidRPr="0065275D">
        <w:rPr>
          <w:noProof/>
          <w:sz w:val="20"/>
          <w:szCs w:val="20"/>
          <w:lang w:val="en-GB"/>
        </w:rPr>
        <w:drawing>
          <wp:inline distT="0" distB="0" distL="0" distR="0" wp14:anchorId="19006CAB" wp14:editId="25D047CB">
            <wp:extent cx="6035040" cy="582385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80" cy="58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8463" w14:textId="77777777" w:rsidR="00100BFD" w:rsidRPr="00D02858" w:rsidRDefault="00100BFD" w:rsidP="00100BFD">
      <w:pPr>
        <w:pStyle w:val="Caption"/>
        <w:spacing w:line="240" w:lineRule="auto"/>
        <w:ind w:left="360"/>
        <w:rPr>
          <w:bCs/>
          <w:szCs w:val="24"/>
          <w:lang w:val="en-GB"/>
        </w:rPr>
      </w:pPr>
    </w:p>
    <w:p w14:paraId="3FF87FCA" w14:textId="2A78B30C" w:rsidR="00540D69" w:rsidRDefault="00100BFD" w:rsidP="00100BFD">
      <w:pPr>
        <w:pStyle w:val="NoSpacing"/>
        <w:spacing w:after="120" w:line="276" w:lineRule="auto"/>
        <w:ind w:left="360"/>
        <w:jc w:val="both"/>
      </w:pPr>
      <w:r w:rsidRPr="00D02858">
        <w:rPr>
          <w:rFonts w:cs="PalatinoLinotype"/>
          <w:szCs w:val="24"/>
          <w:lang w:val="en-GB"/>
        </w:rPr>
        <w:t xml:space="preserve">The middle solid vertical line represents the minimum possible prevalence value (0). The dashed line represents the mean pooled prevalence estimate. The black dot at the </w:t>
      </w:r>
      <w:r>
        <w:rPr>
          <w:rFonts w:cs="PalatinoLinotype"/>
          <w:szCs w:val="24"/>
          <w:lang w:val="en-GB"/>
        </w:rPr>
        <w:t>centre</w:t>
      </w:r>
      <w:r w:rsidRPr="00D02858">
        <w:rPr>
          <w:rFonts w:cs="PalatinoLinotype"/>
          <w:szCs w:val="24"/>
          <w:lang w:val="en-GB"/>
        </w:rPr>
        <w:t xml:space="preserve"> of the grey box represents the point prevalence estimate of each study and the horizontal line indicates the 95% confidence interval of the estimates. The grey box shows the weight of each study contributing to the pooled prevalence estimate. </w:t>
      </w:r>
      <w:r w:rsidRPr="00A419B2">
        <w:rPr>
          <w:rFonts w:cs="PalatinoLinotype"/>
          <w:szCs w:val="24"/>
          <w:lang w:val="en-GB"/>
        </w:rPr>
        <w:t>The last r</w:t>
      </w:r>
      <w:r>
        <w:rPr>
          <w:rFonts w:cs="PalatinoLinotype"/>
          <w:szCs w:val="24"/>
          <w:lang w:val="en-GB"/>
        </w:rPr>
        <w:t>o</w:t>
      </w:r>
      <w:r w:rsidRPr="00A419B2">
        <w:rPr>
          <w:rFonts w:cs="PalatinoLinotype"/>
          <w:szCs w:val="24"/>
          <w:lang w:val="en-GB"/>
        </w:rPr>
        <w:t xml:space="preserve">w represents the </w:t>
      </w:r>
      <w:r>
        <w:rPr>
          <w:rFonts w:cs="PalatinoLinotype"/>
          <w:szCs w:val="24"/>
          <w:lang w:val="en-GB"/>
        </w:rPr>
        <w:t xml:space="preserve">overall pooled </w:t>
      </w:r>
      <w:r w:rsidRPr="00A419B2">
        <w:rPr>
          <w:rFonts w:cs="PalatinoLinotype"/>
          <w:szCs w:val="24"/>
          <w:lang w:val="en-GB"/>
        </w:rPr>
        <w:t xml:space="preserve">prevalence estimate </w:t>
      </w:r>
      <w:r>
        <w:rPr>
          <w:rFonts w:cs="PalatinoLinotype"/>
          <w:szCs w:val="24"/>
          <w:lang w:val="en-GB"/>
        </w:rPr>
        <w:t xml:space="preserve">with </w:t>
      </w:r>
      <w:r w:rsidRPr="00A419B2">
        <w:rPr>
          <w:rFonts w:cs="PalatinoLinotype"/>
          <w:szCs w:val="24"/>
          <w:lang w:val="en-GB"/>
        </w:rPr>
        <w:t>95% confidence interva</w:t>
      </w:r>
      <w:r>
        <w:rPr>
          <w:rFonts w:cs="PalatinoLinotype"/>
          <w:szCs w:val="24"/>
          <w:lang w:val="en-GB"/>
        </w:rPr>
        <w:t>l</w:t>
      </w:r>
      <w:r w:rsidRPr="00D02858">
        <w:rPr>
          <w:rFonts w:cs="PalatinoLinotype"/>
          <w:szCs w:val="24"/>
          <w:lang w:val="en-GB"/>
        </w:rPr>
        <w:t>.</w:t>
      </w:r>
    </w:p>
    <w:sectPr w:rsidR="00540D69" w:rsidSect="0054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76E81"/>
    <w:multiLevelType w:val="multilevel"/>
    <w:tmpl w:val="B2DAC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51A7"/>
    <w:rsid w:val="00100BFD"/>
    <w:rsid w:val="003E7A6F"/>
    <w:rsid w:val="004A51A7"/>
    <w:rsid w:val="00540D69"/>
    <w:rsid w:val="007D3E04"/>
    <w:rsid w:val="00B0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A2EE"/>
  <w15:chartTrackingRefBased/>
  <w15:docId w15:val="{09CAE75F-09E1-4CA8-99CC-CE0CE3B9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 w:hanging="8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FD"/>
    <w:pPr>
      <w:spacing w:after="160" w:line="259" w:lineRule="auto"/>
      <w:ind w:left="0" w:firstLine="0"/>
      <w:jc w:val="left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BF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0BFD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100BF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00BFD"/>
    <w:pPr>
      <w:spacing w:after="0" w:line="360" w:lineRule="auto"/>
    </w:pPr>
    <w:rPr>
      <w:rFonts w:eastAsia="Calibri" w:cs="Times New Roman"/>
      <w:b/>
      <w:iCs/>
      <w:sz w:val="24"/>
      <w:szCs w:val="18"/>
    </w:rPr>
  </w:style>
  <w:style w:type="paragraph" w:styleId="NoSpacing">
    <w:name w:val="No Spacing"/>
    <w:uiPriority w:val="1"/>
    <w:qFormat/>
    <w:rsid w:val="00100BFD"/>
    <w:pPr>
      <w:ind w:left="0"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Achenef Melaku</dc:creator>
  <cp:keywords/>
  <dc:description/>
  <cp:lastModifiedBy>Dr Achenef Melaku</cp:lastModifiedBy>
  <cp:revision>4</cp:revision>
  <dcterms:created xsi:type="dcterms:W3CDTF">2021-10-29T22:52:00Z</dcterms:created>
  <dcterms:modified xsi:type="dcterms:W3CDTF">2021-10-29T22:55:00Z</dcterms:modified>
</cp:coreProperties>
</file>