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A8A4" w14:textId="5FE01AE7" w:rsidR="00457E77" w:rsidRDefault="00457E77" w:rsidP="004047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Pr>
          <w:rFonts w:ascii="Arial" w:hAnsi="Arial" w:cs="Arial"/>
          <w:b/>
          <w:bCs/>
          <w:noProof/>
          <w:sz w:val="22"/>
          <w:szCs w:val="22"/>
        </w:rPr>
        <w:drawing>
          <wp:inline distT="0" distB="0" distL="0" distR="0" wp14:anchorId="33750A6D" wp14:editId="400300F7">
            <wp:extent cx="5727700" cy="4011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10-19 at 8.32.11 P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4011295"/>
                    </a:xfrm>
                    <a:prstGeom prst="rect">
                      <a:avLst/>
                    </a:prstGeom>
                  </pic:spPr>
                </pic:pic>
              </a:graphicData>
            </a:graphic>
          </wp:inline>
        </w:drawing>
      </w:r>
    </w:p>
    <w:p w14:paraId="23A1EDB3" w14:textId="77777777" w:rsidR="00457E77" w:rsidRDefault="00457E77" w:rsidP="004047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2927620E" w14:textId="701B94D6" w:rsidR="00404784" w:rsidRPr="00920BFE" w:rsidRDefault="00404784" w:rsidP="004047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2"/>
          <w:szCs w:val="22"/>
        </w:rPr>
      </w:pPr>
      <w:r w:rsidRPr="00920BFE">
        <w:rPr>
          <w:rFonts w:ascii="Arial" w:hAnsi="Arial" w:cs="Arial"/>
          <w:b/>
          <w:bCs/>
          <w:sz w:val="22"/>
          <w:szCs w:val="22"/>
        </w:rPr>
        <w:t>S</w:t>
      </w:r>
      <w:r w:rsidR="00760772">
        <w:rPr>
          <w:rFonts w:ascii="Arial" w:hAnsi="Arial" w:cs="Arial"/>
          <w:b/>
          <w:bCs/>
          <w:sz w:val="22"/>
          <w:szCs w:val="22"/>
        </w:rPr>
        <w:t>1</w:t>
      </w:r>
      <w:r w:rsidRPr="00920BFE">
        <w:rPr>
          <w:rFonts w:ascii="Arial" w:hAnsi="Arial" w:cs="Arial"/>
          <w:b/>
          <w:bCs/>
          <w:sz w:val="22"/>
          <w:szCs w:val="22"/>
        </w:rPr>
        <w:t xml:space="preserve"> Fig.</w:t>
      </w:r>
      <w:r w:rsidRPr="00920BFE">
        <w:rPr>
          <w:rFonts w:ascii="Arial" w:hAnsi="Arial" w:cs="Arial"/>
          <w:bCs/>
          <w:sz w:val="22"/>
          <w:szCs w:val="22"/>
        </w:rPr>
        <w:t xml:space="preserve"> </w:t>
      </w:r>
      <w:r w:rsidRPr="00920BFE">
        <w:rPr>
          <w:rFonts w:ascii="Arial" w:hAnsi="Arial" w:cs="Arial"/>
          <w:b/>
          <w:bCs/>
          <w:sz w:val="22"/>
          <w:szCs w:val="22"/>
        </w:rPr>
        <w:t>Reliability of emotion measures over visual narrative stimuli.</w:t>
      </w:r>
      <w:r w:rsidRPr="00920BFE">
        <w:rPr>
          <w:rFonts w:ascii="Arial" w:hAnsi="Arial" w:cs="Arial"/>
          <w:bCs/>
          <w:sz w:val="22"/>
          <w:szCs w:val="22"/>
        </w:rPr>
        <w:t xml:space="preserve"> </w:t>
      </w:r>
    </w:p>
    <w:p w14:paraId="02E73924" w14:textId="14327E15" w:rsidR="000469C4" w:rsidRPr="00920BFE" w:rsidRDefault="003D18CE" w:rsidP="00F020D6">
      <w:pPr>
        <w:pStyle w:val="Body"/>
        <w:rPr>
          <w:rFonts w:ascii="Arial" w:hAnsi="Arial" w:cs="Arial"/>
          <w:lang w:eastAsia="ko-KR"/>
        </w:rPr>
      </w:pPr>
      <w:r>
        <w:rPr>
          <w:rFonts w:ascii="Arial" w:hAnsi="Arial" w:cs="Arial"/>
        </w:rPr>
        <w:t>(A) Spl</w:t>
      </w:r>
      <w:r w:rsidR="000469C4">
        <w:rPr>
          <w:rFonts w:ascii="Arial" w:hAnsi="Arial" w:cs="Arial"/>
        </w:rPr>
        <w:t xml:space="preserve">it-half reliability. </w:t>
      </w:r>
      <w:r w:rsidR="00404784" w:rsidRPr="00920BFE">
        <w:rPr>
          <w:rFonts w:ascii="Arial" w:hAnsi="Arial" w:cs="Arial"/>
        </w:rPr>
        <w:t xml:space="preserve">To evaluate how consistently visual narrative stimuli contribute to the reliable estimation of emotion measures, we carried out split-half reliability tests for all of the 8 emotion measures, </w:t>
      </w:r>
      <m:oMath>
        <m:d>
          <m:dPr>
            <m:begChr m:val="{"/>
            <m:endChr m:val="}"/>
            <m:ctrlPr>
              <w:rPr>
                <w:rFonts w:ascii="Cambria Math" w:hAnsi="Cambria Math" w:cs="Arial"/>
                <w:i/>
                <w:color w:val="000000" w:themeColor="text1"/>
              </w:rPr>
            </m:ctrlPr>
          </m:dPr>
          <m:e>
            <m:sSubSup>
              <m:sSubSupPr>
                <m:ctrlPr>
                  <w:rPr>
                    <w:rFonts w:ascii="Cambria Math" w:hAnsi="Cambria Math" w:cs="Arial"/>
                    <w:i/>
                    <w:color w:val="000000" w:themeColor="text1"/>
                  </w:rPr>
                </m:ctrlPr>
              </m:sSubSupPr>
              <m:e>
                <m:r>
                  <w:rPr>
                    <w:rFonts w:ascii="Cambria Math" w:hAnsi="Cambria Math" w:cs="Arial"/>
                    <w:color w:val="000000" w:themeColor="text1"/>
                  </w:rPr>
                  <m:t>α</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β</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δ</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sSubSup>
                  <m:sSubSupPr>
                    <m:ctrlPr>
                      <w:rPr>
                        <w:rFonts w:ascii="Cambria Math" w:hAnsi="Cambria Math" w:cs="Arial"/>
                        <w:i/>
                        <w:color w:val="000000" w:themeColor="text1"/>
                      </w:rPr>
                    </m:ctrlPr>
                  </m:sSubSupPr>
                  <m:e>
                    <m:r>
                      <w:rPr>
                        <w:rFonts w:ascii="Cambria Math" w:hAnsi="Cambria Math" w:cs="Arial"/>
                        <w:color w:val="000000" w:themeColor="text1"/>
                      </w:rPr>
                      <m:t>σ</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α</m:t>
                </m:r>
              </m:e>
              <m:sub>
                <m:r>
                  <w:rPr>
                    <w:rFonts w:ascii="Cambria Math" w:hAnsi="Cambria Math" w:cs="Arial"/>
                    <w:color w:val="000000" w:themeColor="text1"/>
                  </w:rPr>
                  <m:t>v</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β</m:t>
                </m:r>
              </m:e>
              <m:sub>
                <m:r>
                  <w:rPr>
                    <w:rFonts w:ascii="Cambria Math" w:hAnsi="Cambria Math" w:cs="Arial"/>
                    <w:color w:val="000000" w:themeColor="text1"/>
                  </w:rPr>
                  <m:t>v</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δ</m:t>
                </m:r>
              </m:e>
              <m:sub>
                <m:r>
                  <w:rPr>
                    <w:rFonts w:ascii="Cambria Math" w:hAnsi="Cambria Math" w:cs="Arial"/>
                    <w:color w:val="000000" w:themeColor="text1"/>
                  </w:rPr>
                  <m:t>v</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σ</m:t>
                </m:r>
              </m:e>
              <m:sub>
                <m:r>
                  <w:rPr>
                    <w:rFonts w:ascii="Cambria Math" w:hAnsi="Cambria Math" w:cs="Arial"/>
                    <w:color w:val="000000" w:themeColor="text1"/>
                  </w:rPr>
                  <m:t>v</m:t>
                </m:r>
              </m:sub>
              <m:sup>
                <m:r>
                  <w:rPr>
                    <w:rFonts w:ascii="Cambria Math" w:hAnsi="Cambria Math" w:cs="Arial"/>
                    <w:color w:val="000000" w:themeColor="text1"/>
                  </w:rPr>
                  <m:t>i</m:t>
                </m:r>
              </m:sup>
            </m:sSubSup>
          </m:e>
        </m:d>
      </m:oMath>
      <w:r w:rsidR="00404784" w:rsidRPr="00920BFE">
        <w:rPr>
          <w:rFonts w:ascii="Arial" w:hAnsi="Arial" w:cs="Arial"/>
        </w:rPr>
        <w:t>. For each type, two sets of emotion measures were separately estimated by calculating emotion rating responses to two separate halves of visual narrative stimuli on the</w:t>
      </w:r>
      <w:bookmarkStart w:id="0" w:name="_GoBack"/>
      <w:bookmarkEnd w:id="0"/>
      <w:r w:rsidR="00404784" w:rsidRPr="00920BFE">
        <w:rPr>
          <w:rFonts w:ascii="Arial" w:hAnsi="Arial" w:cs="Arial"/>
        </w:rPr>
        <w:t>ir respective normative (</w:t>
      </w:r>
      <w:r w:rsidR="005D71E2" w:rsidRPr="00920BFE">
        <w:rPr>
          <w:rFonts w:ascii="Arial" w:hAnsi="Arial" w:cs="Arial"/>
        </w:rPr>
        <w:t xml:space="preserve">i.e., </w:t>
      </w:r>
      <w:r w:rsidR="00404784" w:rsidRPr="00920BFE">
        <w:rPr>
          <w:rFonts w:ascii="Arial" w:hAnsi="Arial" w:cs="Arial"/>
        </w:rPr>
        <w:t xml:space="preserve">across-participant averaged) responses. Here, to match the representativeness between the halved sets, the visual narrative stimuli were first sorted by emotion ratings of relevance (i.e., ‘arousal’ (pink), ‘valence’ (green)) and then split into odd- and even-ranked sets. The split-half reliability was evaluated using the Spearman-Brown formula: </w:t>
      </w:r>
      <m:oMath>
        <m:r>
          <w:rPr>
            <w:rFonts w:ascii="Cambria Math" w:hAnsi="Cambria Math" w:cs="Arial"/>
          </w:rPr>
          <m:t>ρ=</m:t>
        </m:r>
        <m:f>
          <m:fPr>
            <m:ctrlPr>
              <w:rPr>
                <w:rFonts w:ascii="Cambria Math" w:hAnsi="Cambria Math" w:cs="Arial"/>
                <w:i/>
              </w:rPr>
            </m:ctrlPr>
          </m:fPr>
          <m:num>
            <m:r>
              <w:rPr>
                <w:rFonts w:ascii="Cambria Math" w:hAnsi="Cambria Math" w:cs="Arial"/>
              </w:rPr>
              <m:t>2r</m:t>
            </m:r>
          </m:num>
          <m:den>
            <m:r>
              <w:rPr>
                <w:rFonts w:ascii="Cambria Math" w:hAnsi="Cambria Math" w:cs="Arial"/>
              </w:rPr>
              <m:t>1+r</m:t>
            </m:r>
          </m:den>
        </m:f>
      </m:oMath>
      <w:r w:rsidR="00404784" w:rsidRPr="00920BFE">
        <w:rPr>
          <w:rFonts w:ascii="Arial" w:hAnsi="Arial" w:cs="Arial"/>
        </w:rPr>
        <w:t xml:space="preserve"> ,</w:t>
      </w:r>
      <m:oMath>
        <m:r>
          <w:rPr>
            <w:rFonts w:ascii="Cambria Math" w:hAnsi="Cambria Math" w:cs="Arial"/>
          </w:rPr>
          <m:t xml:space="preserve"> </m:t>
        </m:r>
      </m:oMath>
      <w:r w:rsidR="00404784" w:rsidRPr="00920BFE">
        <w:rPr>
          <w:rFonts w:ascii="Arial" w:hAnsi="Arial" w:cs="Arial"/>
        </w:rPr>
        <w:t xml:space="preserve">where </w:t>
      </w:r>
      <m:oMath>
        <m:r>
          <w:rPr>
            <w:rFonts w:ascii="Cambria Math" w:hAnsi="Cambria Math" w:cs="Arial"/>
          </w:rPr>
          <m:t>r</m:t>
        </m:r>
      </m:oMath>
      <w:r w:rsidR="00404784" w:rsidRPr="00920BFE">
        <w:rPr>
          <w:rFonts w:ascii="Arial" w:hAnsi="Arial" w:cs="Arial"/>
        </w:rPr>
        <w:t xml:space="preserve"> is the correlation coefficient between the even and odd sets. For all of the 8 types (</w:t>
      </w:r>
      <m:oMath>
        <m:sSubSup>
          <m:sSubSupPr>
            <m:ctrlPr>
              <w:rPr>
                <w:rFonts w:ascii="Cambria Math" w:hAnsi="Cambria Math" w:cs="Arial"/>
                <w:i/>
                <w:color w:val="000000" w:themeColor="text1"/>
              </w:rPr>
            </m:ctrlPr>
          </m:sSubSupPr>
          <m:e>
            <m:r>
              <w:rPr>
                <w:rFonts w:ascii="Cambria Math" w:hAnsi="Cambria Math" w:cs="Arial"/>
                <w:color w:val="000000" w:themeColor="text1"/>
              </w:rPr>
              <m:t>α</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α</m:t>
            </m:r>
          </m:e>
          <m:sub>
            <m:r>
              <w:rPr>
                <w:rFonts w:ascii="Cambria Math" w:hAnsi="Cambria Math" w:cs="Arial"/>
                <w:color w:val="000000" w:themeColor="text1"/>
              </w:rPr>
              <m:t>v</m:t>
            </m:r>
          </m:sub>
          <m:sup>
            <m:r>
              <w:rPr>
                <w:rFonts w:ascii="Cambria Math" w:hAnsi="Cambria Math" w:cs="Arial"/>
                <w:color w:val="000000" w:themeColor="text1"/>
              </w:rPr>
              <m:t>i</m:t>
            </m:r>
          </m:sup>
        </m:sSubSup>
      </m:oMath>
      <w:r w:rsidR="00404784" w:rsidRPr="00920BFE">
        <w:rPr>
          <w:rFonts w:ascii="Arial" w:hAnsi="Arial" w:cs="Arial"/>
        </w:rPr>
        <w:t xml:space="preserve"> for the first panel; </w:t>
      </w:r>
      <m:oMath>
        <m:sSubSup>
          <m:sSubSupPr>
            <m:ctrlPr>
              <w:rPr>
                <w:rFonts w:ascii="Cambria Math" w:hAnsi="Cambria Math" w:cs="Arial"/>
                <w:i/>
                <w:color w:val="000000" w:themeColor="text1"/>
              </w:rPr>
            </m:ctrlPr>
          </m:sSubSupPr>
          <m:e>
            <m:r>
              <w:rPr>
                <w:rFonts w:ascii="Cambria Math" w:hAnsi="Cambria Math" w:cs="Arial"/>
                <w:color w:val="000000" w:themeColor="text1"/>
              </w:rPr>
              <m:t>β</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β</m:t>
            </m:r>
          </m:e>
          <m:sub>
            <m:r>
              <w:rPr>
                <w:rFonts w:ascii="Cambria Math" w:hAnsi="Cambria Math" w:cs="Arial"/>
                <w:color w:val="000000" w:themeColor="text1"/>
              </w:rPr>
              <m:t>v</m:t>
            </m:r>
          </m:sub>
          <m:sup>
            <m:r>
              <w:rPr>
                <w:rFonts w:ascii="Cambria Math" w:hAnsi="Cambria Math" w:cs="Arial"/>
                <w:color w:val="000000" w:themeColor="text1"/>
              </w:rPr>
              <m:t>i</m:t>
            </m:r>
          </m:sup>
        </m:sSubSup>
      </m:oMath>
      <w:r w:rsidR="00404784" w:rsidRPr="00920BFE">
        <w:rPr>
          <w:rFonts w:ascii="Arial" w:hAnsi="Arial" w:cs="Arial"/>
        </w:rPr>
        <w:t xml:space="preserve"> for the second panel; </w:t>
      </w:r>
      <m:oMath>
        <m:sSubSup>
          <m:sSubSupPr>
            <m:ctrlPr>
              <w:rPr>
                <w:rFonts w:ascii="Cambria Math" w:hAnsi="Cambria Math" w:cs="Arial"/>
                <w:i/>
                <w:color w:val="000000" w:themeColor="text1"/>
              </w:rPr>
            </m:ctrlPr>
          </m:sSubSupPr>
          <m:e>
            <m:r>
              <w:rPr>
                <w:rFonts w:ascii="Cambria Math" w:hAnsi="Cambria Math" w:cs="Arial"/>
                <w:color w:val="000000" w:themeColor="text1"/>
              </w:rPr>
              <m:t>δ</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δ</m:t>
            </m:r>
          </m:e>
          <m:sub>
            <m:r>
              <w:rPr>
                <w:rFonts w:ascii="Cambria Math" w:hAnsi="Cambria Math" w:cs="Arial"/>
                <w:color w:val="000000" w:themeColor="text1"/>
              </w:rPr>
              <m:t>v</m:t>
            </m:r>
          </m:sub>
          <m:sup>
            <m:r>
              <w:rPr>
                <w:rFonts w:ascii="Cambria Math" w:hAnsi="Cambria Math" w:cs="Arial"/>
                <w:color w:val="000000" w:themeColor="text1"/>
              </w:rPr>
              <m:t>i</m:t>
            </m:r>
          </m:sup>
        </m:sSubSup>
        <m:r>
          <w:rPr>
            <w:rFonts w:ascii="Cambria Math" w:hAnsi="Cambria Math" w:cs="Arial"/>
            <w:color w:val="000000" w:themeColor="text1"/>
          </w:rPr>
          <m:t xml:space="preserve"> </m:t>
        </m:r>
      </m:oMath>
      <w:r w:rsidR="00404784" w:rsidRPr="00920BFE">
        <w:rPr>
          <w:rFonts w:ascii="Arial" w:hAnsi="Arial" w:cs="Arial"/>
        </w:rPr>
        <w:t xml:space="preserve">for the third panel; </w:t>
      </w:r>
      <m:oMath>
        <m:sSubSup>
          <m:sSubSupPr>
            <m:ctrlPr>
              <w:rPr>
                <w:rFonts w:ascii="Cambria Math" w:hAnsi="Cambria Math" w:cs="Arial"/>
                <w:i/>
                <w:color w:val="000000" w:themeColor="text1"/>
              </w:rPr>
            </m:ctrlPr>
          </m:sSubSupPr>
          <m:e>
            <m:r>
              <w:rPr>
                <w:rFonts w:ascii="Cambria Math" w:hAnsi="Cambria Math" w:cs="Arial"/>
                <w:color w:val="000000" w:themeColor="text1"/>
              </w:rPr>
              <m:t>σ</m:t>
            </m:r>
          </m:e>
          <m:sub>
            <m:r>
              <w:rPr>
                <w:rFonts w:ascii="Cambria Math" w:hAnsi="Cambria Math" w:cs="Arial"/>
                <w:color w:val="000000" w:themeColor="text1"/>
              </w:rPr>
              <m:t>a</m:t>
            </m:r>
          </m:sub>
          <m:sup>
            <m:r>
              <w:rPr>
                <w:rFonts w:ascii="Cambria Math" w:hAnsi="Cambria Math" w:cs="Arial"/>
                <w:color w:val="000000" w:themeColor="text1"/>
              </w:rPr>
              <m:t>i</m:t>
            </m:r>
          </m:sup>
        </m:sSubSup>
        <m:r>
          <w:rPr>
            <w:rFonts w:ascii="Cambria Math" w:hAnsi="Cambria Math" w:cs="Arial"/>
            <w:color w:val="000000" w:themeColor="text1"/>
          </w:rPr>
          <m:t xml:space="preserve">, </m:t>
        </m:r>
        <m:sSubSup>
          <m:sSubSupPr>
            <m:ctrlPr>
              <w:rPr>
                <w:rFonts w:ascii="Cambria Math" w:hAnsi="Cambria Math" w:cs="Arial"/>
                <w:i/>
                <w:color w:val="000000" w:themeColor="text1"/>
              </w:rPr>
            </m:ctrlPr>
          </m:sSubSupPr>
          <m:e>
            <m:r>
              <w:rPr>
                <w:rFonts w:ascii="Cambria Math" w:hAnsi="Cambria Math" w:cs="Arial"/>
                <w:color w:val="000000" w:themeColor="text1"/>
              </w:rPr>
              <m:t>σ</m:t>
            </m:r>
          </m:e>
          <m:sub>
            <m:r>
              <w:rPr>
                <w:rFonts w:ascii="Cambria Math" w:hAnsi="Cambria Math" w:cs="Arial"/>
                <w:color w:val="000000" w:themeColor="text1"/>
              </w:rPr>
              <m:t>v</m:t>
            </m:r>
          </m:sub>
          <m:sup>
            <m:r>
              <w:rPr>
                <w:rFonts w:ascii="Cambria Math" w:hAnsi="Cambria Math" w:cs="Arial"/>
                <w:color w:val="000000" w:themeColor="text1"/>
              </w:rPr>
              <m:t>i</m:t>
            </m:r>
          </m:sup>
        </m:sSubSup>
        <m:r>
          <w:rPr>
            <w:rFonts w:ascii="Cambria Math" w:hAnsi="Cambria Math" w:cs="Arial"/>
            <w:color w:val="000000" w:themeColor="text1"/>
          </w:rPr>
          <m:t xml:space="preserve"> </m:t>
        </m:r>
      </m:oMath>
      <w:r w:rsidR="00404784" w:rsidRPr="00920BFE">
        <w:rPr>
          <w:rFonts w:ascii="Arial" w:hAnsi="Arial" w:cs="Arial"/>
        </w:rPr>
        <w:t xml:space="preserve">for the fourth panel), the emotion measures were consistent between the odd and even </w:t>
      </w:r>
      <w:r w:rsidR="00404784" w:rsidRPr="00760772">
        <w:rPr>
          <w:rFonts w:ascii="Arial" w:hAnsi="Arial" w:cs="Arial"/>
        </w:rPr>
        <w:t xml:space="preserve">sets. </w:t>
      </w:r>
      <w:r w:rsidR="000469C4" w:rsidRPr="00760772">
        <w:rPr>
          <w:rFonts w:ascii="Arial" w:hAnsi="Arial" w:cs="Arial"/>
        </w:rPr>
        <w:t xml:space="preserve">(B) </w:t>
      </w:r>
      <w:r w:rsidR="00B729BA" w:rsidRPr="00760772">
        <w:rPr>
          <w:rFonts w:ascii="Arial" w:hAnsi="Arial" w:cs="Arial"/>
        </w:rPr>
        <w:t xml:space="preserve">Reliability between the emotion measures acquired with the entire VN stimuli (144 video clips) and those acquired only with the VN stimuli excerpted from motion pictures (130 video clips). The 14 </w:t>
      </w:r>
      <w:r w:rsidR="00F020D6" w:rsidRPr="00760772">
        <w:rPr>
          <w:rFonts w:ascii="Arial" w:hAnsi="Arial" w:cs="Arial"/>
        </w:rPr>
        <w:t xml:space="preserve">non-motion-picture </w:t>
      </w:r>
      <w:r w:rsidR="00B729BA" w:rsidRPr="00760772">
        <w:rPr>
          <w:rFonts w:ascii="Arial" w:hAnsi="Arial" w:cs="Arial"/>
        </w:rPr>
        <w:t xml:space="preserve">clips </w:t>
      </w:r>
      <w:r w:rsidR="00F020D6" w:rsidRPr="00760772">
        <w:rPr>
          <w:rFonts w:ascii="Arial" w:hAnsi="Arial" w:cs="Arial"/>
        </w:rPr>
        <w:t>were excerpted from music videos or commercials. The reliability was evaluated by computing the Pearson correlation coefficients between the two sets. The format and arrangement were identical to those used in A.</w:t>
      </w:r>
    </w:p>
    <w:p w14:paraId="2903EF71" w14:textId="77777777" w:rsidR="003F6A86" w:rsidRDefault="003F6A86"/>
    <w:sectPr w:rsidR="003F6A86" w:rsidSect="00F058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CA"/>
    <w:rsid w:val="00004103"/>
    <w:rsid w:val="0002031B"/>
    <w:rsid w:val="000215AD"/>
    <w:rsid w:val="0004565F"/>
    <w:rsid w:val="000469C4"/>
    <w:rsid w:val="000725F7"/>
    <w:rsid w:val="000A1867"/>
    <w:rsid w:val="000A5A24"/>
    <w:rsid w:val="000B05C5"/>
    <w:rsid w:val="000F110A"/>
    <w:rsid w:val="000F6504"/>
    <w:rsid w:val="00125C01"/>
    <w:rsid w:val="001B1501"/>
    <w:rsid w:val="001C56B4"/>
    <w:rsid w:val="001C7AF9"/>
    <w:rsid w:val="001E3548"/>
    <w:rsid w:val="001F3856"/>
    <w:rsid w:val="001F3952"/>
    <w:rsid w:val="001F7556"/>
    <w:rsid w:val="00210B9B"/>
    <w:rsid w:val="002413B4"/>
    <w:rsid w:val="002725EB"/>
    <w:rsid w:val="002B2190"/>
    <w:rsid w:val="002F63F1"/>
    <w:rsid w:val="00302B66"/>
    <w:rsid w:val="00312341"/>
    <w:rsid w:val="003259B6"/>
    <w:rsid w:val="00335404"/>
    <w:rsid w:val="003535C7"/>
    <w:rsid w:val="0036690A"/>
    <w:rsid w:val="00371A8D"/>
    <w:rsid w:val="003B19D6"/>
    <w:rsid w:val="003D18CE"/>
    <w:rsid w:val="003D7132"/>
    <w:rsid w:val="003E0168"/>
    <w:rsid w:val="003F20D7"/>
    <w:rsid w:val="003F6A86"/>
    <w:rsid w:val="00404784"/>
    <w:rsid w:val="004075E0"/>
    <w:rsid w:val="00420D32"/>
    <w:rsid w:val="004221BE"/>
    <w:rsid w:val="00423225"/>
    <w:rsid w:val="00425CEF"/>
    <w:rsid w:val="00444639"/>
    <w:rsid w:val="00455C66"/>
    <w:rsid w:val="00457E77"/>
    <w:rsid w:val="004774E3"/>
    <w:rsid w:val="004B4E23"/>
    <w:rsid w:val="004C0561"/>
    <w:rsid w:val="00513764"/>
    <w:rsid w:val="00526C74"/>
    <w:rsid w:val="005358F4"/>
    <w:rsid w:val="005515E8"/>
    <w:rsid w:val="00552462"/>
    <w:rsid w:val="00570008"/>
    <w:rsid w:val="00576E32"/>
    <w:rsid w:val="005809FA"/>
    <w:rsid w:val="005A55EB"/>
    <w:rsid w:val="005D71E2"/>
    <w:rsid w:val="005F530E"/>
    <w:rsid w:val="005F5CF3"/>
    <w:rsid w:val="006108DB"/>
    <w:rsid w:val="00614EB8"/>
    <w:rsid w:val="006323D7"/>
    <w:rsid w:val="006430F6"/>
    <w:rsid w:val="006545B8"/>
    <w:rsid w:val="00672543"/>
    <w:rsid w:val="00672FAE"/>
    <w:rsid w:val="00696568"/>
    <w:rsid w:val="006A0BEE"/>
    <w:rsid w:val="006C47C3"/>
    <w:rsid w:val="00703994"/>
    <w:rsid w:val="00723ACA"/>
    <w:rsid w:val="00725CB8"/>
    <w:rsid w:val="00760772"/>
    <w:rsid w:val="00770BF1"/>
    <w:rsid w:val="00795F94"/>
    <w:rsid w:val="007D2C54"/>
    <w:rsid w:val="007E0D18"/>
    <w:rsid w:val="008048C9"/>
    <w:rsid w:val="008454DD"/>
    <w:rsid w:val="00847F62"/>
    <w:rsid w:val="00874C54"/>
    <w:rsid w:val="00876406"/>
    <w:rsid w:val="00881D6A"/>
    <w:rsid w:val="008B78A1"/>
    <w:rsid w:val="008C7D96"/>
    <w:rsid w:val="008D1A1A"/>
    <w:rsid w:val="008E0E6E"/>
    <w:rsid w:val="008E6248"/>
    <w:rsid w:val="00925E4E"/>
    <w:rsid w:val="00933F1C"/>
    <w:rsid w:val="009374D8"/>
    <w:rsid w:val="009461ED"/>
    <w:rsid w:val="00957EA3"/>
    <w:rsid w:val="0097079D"/>
    <w:rsid w:val="00990A6E"/>
    <w:rsid w:val="009A1D91"/>
    <w:rsid w:val="009A604D"/>
    <w:rsid w:val="009A781A"/>
    <w:rsid w:val="009B044C"/>
    <w:rsid w:val="009B1DB4"/>
    <w:rsid w:val="009D35CB"/>
    <w:rsid w:val="009D62A1"/>
    <w:rsid w:val="009E0971"/>
    <w:rsid w:val="009E5F7A"/>
    <w:rsid w:val="009F3931"/>
    <w:rsid w:val="009F6620"/>
    <w:rsid w:val="00A269AE"/>
    <w:rsid w:val="00A26CC4"/>
    <w:rsid w:val="00A40A2A"/>
    <w:rsid w:val="00A85DC4"/>
    <w:rsid w:val="00A86652"/>
    <w:rsid w:val="00A95595"/>
    <w:rsid w:val="00AB66BD"/>
    <w:rsid w:val="00AC2D2E"/>
    <w:rsid w:val="00AC4AFF"/>
    <w:rsid w:val="00AD075C"/>
    <w:rsid w:val="00B45521"/>
    <w:rsid w:val="00B51155"/>
    <w:rsid w:val="00B729BA"/>
    <w:rsid w:val="00BA0A4F"/>
    <w:rsid w:val="00BA2C72"/>
    <w:rsid w:val="00BC7501"/>
    <w:rsid w:val="00BE0FE3"/>
    <w:rsid w:val="00BE2551"/>
    <w:rsid w:val="00BE43B7"/>
    <w:rsid w:val="00BE5C93"/>
    <w:rsid w:val="00BF4F58"/>
    <w:rsid w:val="00C1247D"/>
    <w:rsid w:val="00C315A2"/>
    <w:rsid w:val="00C32E15"/>
    <w:rsid w:val="00C61615"/>
    <w:rsid w:val="00C66AAF"/>
    <w:rsid w:val="00C837FD"/>
    <w:rsid w:val="00C957D2"/>
    <w:rsid w:val="00CB75F5"/>
    <w:rsid w:val="00CF447F"/>
    <w:rsid w:val="00CF5499"/>
    <w:rsid w:val="00D26D9D"/>
    <w:rsid w:val="00D307E5"/>
    <w:rsid w:val="00D343CF"/>
    <w:rsid w:val="00D348BB"/>
    <w:rsid w:val="00D34954"/>
    <w:rsid w:val="00D416E3"/>
    <w:rsid w:val="00D50A2C"/>
    <w:rsid w:val="00D75A61"/>
    <w:rsid w:val="00D9392C"/>
    <w:rsid w:val="00DB64DD"/>
    <w:rsid w:val="00DD186F"/>
    <w:rsid w:val="00DD21A2"/>
    <w:rsid w:val="00E222E0"/>
    <w:rsid w:val="00E27B0F"/>
    <w:rsid w:val="00E44851"/>
    <w:rsid w:val="00E56279"/>
    <w:rsid w:val="00E72CB9"/>
    <w:rsid w:val="00E83C42"/>
    <w:rsid w:val="00E92F01"/>
    <w:rsid w:val="00EA649C"/>
    <w:rsid w:val="00EB5C94"/>
    <w:rsid w:val="00EE3883"/>
    <w:rsid w:val="00EF54DF"/>
    <w:rsid w:val="00F020D6"/>
    <w:rsid w:val="00F0245A"/>
    <w:rsid w:val="00F053AA"/>
    <w:rsid w:val="00F058E7"/>
    <w:rsid w:val="00F11A3C"/>
    <w:rsid w:val="00F261E4"/>
    <w:rsid w:val="00F532EC"/>
    <w:rsid w:val="00F858CB"/>
    <w:rsid w:val="00FC5F8D"/>
    <w:rsid w:val="00FD4015"/>
    <w:rsid w:val="00FF30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4582CBB"/>
  <w15:chartTrackingRefBased/>
  <w15:docId w15:val="{F2308E15-15D9-6643-92EB-7B0377D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3ACA"/>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5B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18"/>
      <w:szCs w:val="18"/>
      <w:bdr w:val="none" w:sz="0" w:space="0" w:color="auto"/>
      <w:lang w:eastAsia="ko-KR"/>
    </w:rPr>
  </w:style>
  <w:style w:type="character" w:customStyle="1" w:styleId="BalloonTextChar">
    <w:name w:val="Balloon Text Char"/>
    <w:basedOn w:val="DefaultParagraphFont"/>
    <w:link w:val="BalloonText"/>
    <w:uiPriority w:val="99"/>
    <w:semiHidden/>
    <w:rsid w:val="006545B8"/>
    <w:rPr>
      <w:rFonts w:ascii="Times New Roman" w:hAnsi="Times New Roman" w:cs="Times New Roman"/>
      <w:sz w:val="18"/>
      <w:szCs w:val="18"/>
    </w:rPr>
  </w:style>
  <w:style w:type="paragraph" w:customStyle="1" w:styleId="Body">
    <w:name w:val="Body"/>
    <w:rsid w:val="00723AC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styleId="Revision">
    <w:name w:val="Revision"/>
    <w:hidden/>
    <w:uiPriority w:val="99"/>
    <w:semiHidden/>
    <w:rsid w:val="005D71E2"/>
    <w:rPr>
      <w:rFonts w:ascii="Times New Roman" w:eastAsia="Arial Unicode MS" w:hAnsi="Times New Roman" w:cs="Times New Roman"/>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D15DDB-5E20-B449-8741-08795AE01F73}">
  <we:reference id="wa104381909" version="1.0.0.2" store="en-US" storeType="OMEX"/>
  <we:alternateReferences>
    <we:reference id="WA104381909" version="1.0.0.2" store="WA10438190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68797ED-753E-DA4C-8CD3-D58002804E0D}">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1</Pages>
  <Words>268</Words>
  <Characters>1467</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Jinyoung</dc:creator>
  <cp:keywords/>
  <dc:description/>
  <cp:lastModifiedBy>Jinyoung</cp:lastModifiedBy>
  <cp:revision>4</cp:revision>
  <dcterms:created xsi:type="dcterms:W3CDTF">2021-10-27T06:48:00Z</dcterms:created>
  <dcterms:modified xsi:type="dcterms:W3CDTF">2021-10-28T06:12:00Z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documentId_419</vt:lpwstr>
  </property>
  <property fmtid="{D5CDD505-2E9C-101B-9397-08002B2CF9AE}" pid="3" name="grammarly_documentContext">
    <vt:lpwstr>{"goals":[],"domain":"general","emotions":[],"dialect":"american"}</vt:lpwstr>
  </property>
</Properties>
</file>