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975B" w14:textId="77777777" w:rsidR="00A501CE" w:rsidRPr="00DC623A" w:rsidRDefault="00A501CE" w:rsidP="007B5946">
      <w:pPr>
        <w:rPr>
          <w:rFonts w:ascii="Arial" w:hAnsi="Arial" w:cs="Arial"/>
          <w:sz w:val="20"/>
        </w:rPr>
      </w:pPr>
    </w:p>
    <w:p w14:paraId="46F72BDF" w14:textId="51ADD395" w:rsidR="00B16F99" w:rsidRPr="0085257E" w:rsidRDefault="0085257E" w:rsidP="00B16F99">
      <w:pPr>
        <w:rPr>
          <w:rFonts w:ascii="Arial" w:hAnsi="Arial" w:cs="Arial"/>
          <w:b/>
          <w:sz w:val="36"/>
          <w:szCs w:val="36"/>
        </w:rPr>
      </w:pPr>
      <w:r w:rsidRPr="0085257E">
        <w:rPr>
          <w:rFonts w:ascii="Arial" w:hAnsi="Arial" w:cs="Arial"/>
          <w:b/>
          <w:sz w:val="36"/>
          <w:szCs w:val="36"/>
        </w:rPr>
        <w:t>S1 text for</w:t>
      </w:r>
      <w:r>
        <w:rPr>
          <w:rFonts w:ascii="Arial" w:hAnsi="Arial" w:cs="Arial"/>
          <w:b/>
          <w:sz w:val="36"/>
          <w:szCs w:val="36"/>
        </w:rPr>
        <w:t>:</w:t>
      </w:r>
    </w:p>
    <w:p w14:paraId="7E2B29A7" w14:textId="1342631C" w:rsidR="0026224E" w:rsidRDefault="00171D4A" w:rsidP="007B5946">
      <w:pPr>
        <w:rPr>
          <w:rFonts w:ascii="Arial" w:hAnsi="Arial" w:cs="Arial"/>
          <w:sz w:val="28"/>
          <w:szCs w:val="28"/>
        </w:rPr>
      </w:pPr>
      <w:r w:rsidRPr="00171D4A">
        <w:rPr>
          <w:rFonts w:ascii="Arial" w:hAnsi="Arial" w:cs="Arial"/>
          <w:sz w:val="28"/>
          <w:szCs w:val="28"/>
        </w:rPr>
        <w:t>A dental revolution: the association between chewing behaviours and malocclusion.</w:t>
      </w:r>
    </w:p>
    <w:p w14:paraId="74E0E88F" w14:textId="77777777" w:rsidR="00171D4A" w:rsidRDefault="00171D4A" w:rsidP="007B5946">
      <w:pPr>
        <w:rPr>
          <w:rFonts w:ascii="Arial" w:hAnsi="Arial" w:cs="Arial"/>
          <w:sz w:val="28"/>
          <w:szCs w:val="28"/>
        </w:rPr>
      </w:pPr>
    </w:p>
    <w:p w14:paraId="41FAE993" w14:textId="77777777" w:rsidR="002C030F" w:rsidRPr="00DC623A" w:rsidRDefault="002C030F">
      <w:pPr>
        <w:rPr>
          <w:rFonts w:ascii="Arial" w:hAnsi="Arial" w:cs="Arial"/>
          <w:sz w:val="20"/>
        </w:rPr>
      </w:pPr>
    </w:p>
    <w:p w14:paraId="79396A09" w14:textId="77777777" w:rsidR="0085257E" w:rsidRPr="0085257E" w:rsidRDefault="0085257E" w:rsidP="0085257E">
      <w:pPr>
        <w:spacing w:after="200"/>
        <w:rPr>
          <w:rFonts w:ascii="Arial" w:eastAsiaTheme="minorHAnsi" w:hAnsi="Arial" w:cs="Arial"/>
          <w:sz w:val="20"/>
        </w:rPr>
      </w:pPr>
      <w:r w:rsidRPr="0085257E">
        <w:rPr>
          <w:rFonts w:ascii="Arial" w:eastAsiaTheme="minorHAnsi" w:hAnsi="Arial" w:cs="Arial"/>
          <w:sz w:val="20"/>
        </w:rPr>
        <w:t>Authors:</w:t>
      </w:r>
    </w:p>
    <w:p w14:paraId="2AA5E344" w14:textId="77777777" w:rsidR="0085257E" w:rsidRPr="0085257E" w:rsidRDefault="0085257E" w:rsidP="0085257E">
      <w:pPr>
        <w:spacing w:after="200"/>
        <w:rPr>
          <w:rFonts w:ascii="Arial" w:eastAsiaTheme="minorHAnsi" w:hAnsi="Arial" w:cs="Arial"/>
          <w:sz w:val="20"/>
        </w:rPr>
      </w:pPr>
      <w:r w:rsidRPr="0085257E">
        <w:rPr>
          <w:rFonts w:ascii="Arial" w:eastAsiaTheme="minorHAnsi" w:hAnsi="Arial" w:cs="Arial"/>
          <w:sz w:val="20"/>
        </w:rPr>
        <w:t>Christopher Martin Silvester</w:t>
      </w:r>
      <w:r w:rsidRPr="0085257E">
        <w:rPr>
          <w:rFonts w:ascii="Arial" w:eastAsiaTheme="minorHAnsi" w:hAnsi="Arial" w:cs="Arial"/>
          <w:sz w:val="20"/>
          <w:vertAlign w:val="superscript"/>
        </w:rPr>
        <w:t>1</w:t>
      </w:r>
    </w:p>
    <w:p w14:paraId="390C7541" w14:textId="77777777" w:rsidR="0085257E" w:rsidRPr="0085257E" w:rsidRDefault="0085257E" w:rsidP="0085257E">
      <w:pPr>
        <w:spacing w:after="200"/>
        <w:rPr>
          <w:rFonts w:ascii="Arial" w:eastAsiaTheme="minorHAnsi" w:hAnsi="Arial" w:cs="Arial"/>
          <w:sz w:val="20"/>
        </w:rPr>
      </w:pPr>
      <w:r w:rsidRPr="0085257E">
        <w:rPr>
          <w:rFonts w:ascii="Arial" w:eastAsiaTheme="minorHAnsi" w:hAnsi="Arial" w:cs="Arial"/>
          <w:sz w:val="20"/>
        </w:rPr>
        <w:t>Ottmar Kullmer</w:t>
      </w:r>
      <w:r w:rsidRPr="0085257E">
        <w:rPr>
          <w:rFonts w:ascii="Arial" w:eastAsiaTheme="minorHAnsi" w:hAnsi="Arial" w:cs="Arial"/>
          <w:sz w:val="20"/>
          <w:vertAlign w:val="superscript"/>
        </w:rPr>
        <w:t>23</w:t>
      </w:r>
    </w:p>
    <w:p w14:paraId="2DFB1861" w14:textId="77777777" w:rsidR="0085257E" w:rsidRPr="0085257E" w:rsidRDefault="0085257E" w:rsidP="0085257E">
      <w:pPr>
        <w:spacing w:after="200"/>
        <w:rPr>
          <w:rFonts w:ascii="Arial" w:eastAsiaTheme="minorHAnsi" w:hAnsi="Arial" w:cs="Arial"/>
          <w:sz w:val="20"/>
        </w:rPr>
      </w:pPr>
      <w:r w:rsidRPr="0085257E">
        <w:rPr>
          <w:rFonts w:ascii="Arial" w:eastAsiaTheme="minorHAnsi" w:hAnsi="Arial" w:cs="Arial"/>
          <w:sz w:val="20"/>
        </w:rPr>
        <w:t>Simon Hillson</w:t>
      </w:r>
      <w:r w:rsidRPr="0085257E">
        <w:rPr>
          <w:rFonts w:ascii="Arial" w:eastAsiaTheme="minorHAnsi" w:hAnsi="Arial" w:cs="Arial"/>
          <w:sz w:val="20"/>
          <w:vertAlign w:val="superscript"/>
        </w:rPr>
        <w:t>1</w:t>
      </w:r>
    </w:p>
    <w:p w14:paraId="14E30BF2" w14:textId="77777777" w:rsidR="0085257E" w:rsidRPr="0085257E" w:rsidRDefault="0085257E" w:rsidP="0085257E">
      <w:pPr>
        <w:spacing w:after="160"/>
        <w:jc w:val="both"/>
        <w:rPr>
          <w:rFonts w:ascii="Arial" w:eastAsia="Calibri" w:hAnsi="Arial"/>
          <w:b/>
          <w:bCs/>
          <w:sz w:val="20"/>
          <w:szCs w:val="22"/>
          <w:lang w:val="en-GB"/>
        </w:rPr>
      </w:pPr>
      <w:r w:rsidRPr="0085257E">
        <w:rPr>
          <w:rFonts w:ascii="Arial" w:eastAsia="Calibri" w:hAnsi="Arial"/>
          <w:b/>
          <w:bCs/>
          <w:sz w:val="20"/>
          <w:szCs w:val="22"/>
          <w:lang w:val="en-GB"/>
        </w:rPr>
        <w:t xml:space="preserve">Author Affiliations: </w:t>
      </w:r>
    </w:p>
    <w:p w14:paraId="654DFA0F" w14:textId="77777777" w:rsidR="0085257E" w:rsidRPr="0085257E" w:rsidRDefault="0085257E" w:rsidP="0085257E">
      <w:pPr>
        <w:spacing w:after="160"/>
        <w:jc w:val="both"/>
        <w:rPr>
          <w:rFonts w:ascii="Arial" w:eastAsia="Calibri" w:hAnsi="Arial"/>
          <w:sz w:val="20"/>
          <w:szCs w:val="22"/>
          <w:lang w:val="en-GB"/>
        </w:rPr>
      </w:pPr>
      <w:r w:rsidRPr="0085257E">
        <w:rPr>
          <w:rFonts w:ascii="Arial" w:eastAsia="Calibri" w:hAnsi="Arial"/>
          <w:sz w:val="20"/>
          <w:szCs w:val="22"/>
          <w:lang w:val="en-GB"/>
        </w:rPr>
        <w:t xml:space="preserve">1 </w:t>
      </w:r>
      <w:bookmarkStart w:id="0" w:name="_Hlk61959149"/>
      <w:bookmarkStart w:id="1" w:name="_Hlk66776189"/>
      <w:r w:rsidRPr="0085257E">
        <w:rPr>
          <w:rFonts w:ascii="Arial" w:eastAsia="Calibri" w:hAnsi="Arial"/>
          <w:sz w:val="20"/>
          <w:szCs w:val="22"/>
          <w:lang w:val="en-GB"/>
        </w:rPr>
        <w:t>Institute of Archaeology, University College London, London, WC1H 0PY</w:t>
      </w:r>
      <w:bookmarkEnd w:id="0"/>
      <w:r w:rsidRPr="0085257E">
        <w:rPr>
          <w:rFonts w:ascii="Arial" w:eastAsia="Calibri" w:hAnsi="Arial"/>
          <w:sz w:val="20"/>
          <w:szCs w:val="22"/>
          <w:lang w:val="en-GB"/>
        </w:rPr>
        <w:t xml:space="preserve">, United Kingdom </w:t>
      </w:r>
      <w:bookmarkEnd w:id="1"/>
    </w:p>
    <w:p w14:paraId="7B7F05A9" w14:textId="77777777" w:rsidR="0085257E" w:rsidRPr="0085257E" w:rsidRDefault="0085257E" w:rsidP="0085257E">
      <w:pPr>
        <w:spacing w:after="160"/>
        <w:jc w:val="both"/>
        <w:rPr>
          <w:rFonts w:ascii="Arial" w:eastAsia="Calibri" w:hAnsi="Arial"/>
          <w:sz w:val="20"/>
          <w:szCs w:val="22"/>
          <w:lang w:val="en-GB"/>
        </w:rPr>
      </w:pPr>
      <w:r w:rsidRPr="0085257E">
        <w:rPr>
          <w:rFonts w:ascii="Arial" w:eastAsia="Calibri" w:hAnsi="Arial"/>
          <w:sz w:val="20"/>
          <w:szCs w:val="22"/>
          <w:lang w:val="en-GB"/>
        </w:rPr>
        <w:t xml:space="preserve">2 Department of </w:t>
      </w:r>
      <w:proofErr w:type="spellStart"/>
      <w:r w:rsidRPr="0085257E">
        <w:rPr>
          <w:rFonts w:ascii="Arial" w:eastAsia="Calibri" w:hAnsi="Arial"/>
          <w:sz w:val="20"/>
          <w:szCs w:val="22"/>
          <w:lang w:val="en-GB"/>
        </w:rPr>
        <w:t>Paleoanthropology</w:t>
      </w:r>
      <w:proofErr w:type="spellEnd"/>
      <w:r w:rsidRPr="0085257E">
        <w:rPr>
          <w:rFonts w:ascii="Arial" w:eastAsia="Calibri" w:hAnsi="Arial"/>
          <w:sz w:val="20"/>
          <w:szCs w:val="22"/>
          <w:lang w:val="en-GB"/>
        </w:rPr>
        <w:t>, Senckenberg Research Institute and Natural History Museum Frankfurt, 60325 Frankfurt, Germany</w:t>
      </w:r>
    </w:p>
    <w:p w14:paraId="53091A08" w14:textId="77777777" w:rsidR="0085257E" w:rsidRPr="0085257E" w:rsidRDefault="0085257E" w:rsidP="0085257E">
      <w:pPr>
        <w:spacing w:after="160"/>
        <w:jc w:val="both"/>
        <w:rPr>
          <w:rFonts w:ascii="Arial" w:eastAsia="Calibri" w:hAnsi="Arial"/>
          <w:sz w:val="20"/>
          <w:szCs w:val="22"/>
          <w:lang w:val="en-GB"/>
        </w:rPr>
      </w:pPr>
      <w:r w:rsidRPr="0085257E">
        <w:rPr>
          <w:rFonts w:ascii="Arial" w:eastAsia="Calibri" w:hAnsi="Arial"/>
          <w:sz w:val="20"/>
          <w:szCs w:val="22"/>
          <w:lang w:val="en-GB"/>
        </w:rPr>
        <w:t>3 Department of Paleobiology and Environment, Goethe University, 60439 Frankfurt, Germany</w:t>
      </w:r>
    </w:p>
    <w:p w14:paraId="1F3885A4" w14:textId="77777777" w:rsidR="0085257E" w:rsidRPr="0085257E" w:rsidRDefault="0085257E" w:rsidP="0085257E">
      <w:pPr>
        <w:spacing w:after="200"/>
        <w:rPr>
          <w:rFonts w:ascii="Arial" w:eastAsiaTheme="minorHAnsi" w:hAnsi="Arial" w:cs="Arial"/>
          <w:b/>
          <w:bCs/>
          <w:sz w:val="20"/>
        </w:rPr>
      </w:pPr>
      <w:r w:rsidRPr="0085257E">
        <w:rPr>
          <w:rFonts w:ascii="Arial" w:eastAsiaTheme="minorHAnsi" w:hAnsi="Arial" w:cs="Arial"/>
          <w:b/>
          <w:bCs/>
          <w:sz w:val="20"/>
        </w:rPr>
        <w:t>Corresponding Author:</w:t>
      </w:r>
    </w:p>
    <w:p w14:paraId="51DF9633" w14:textId="0F578FA4" w:rsidR="00015F74" w:rsidRPr="009621B5" w:rsidRDefault="0085257E" w:rsidP="009621B5">
      <w:pPr>
        <w:spacing w:after="200"/>
        <w:rPr>
          <w:rFonts w:ascii="Arial" w:eastAsiaTheme="minorHAnsi" w:hAnsi="Arial" w:cs="Arial"/>
          <w:sz w:val="20"/>
        </w:rPr>
      </w:pPr>
      <w:r w:rsidRPr="0085257E">
        <w:rPr>
          <w:rFonts w:ascii="Arial" w:eastAsiaTheme="minorHAnsi" w:hAnsi="Arial" w:cs="Arial"/>
          <w:b/>
          <w:sz w:val="20"/>
        </w:rPr>
        <w:t xml:space="preserve">Email: </w:t>
      </w:r>
      <w:r w:rsidRPr="0085257E">
        <w:rPr>
          <w:rFonts w:ascii="Arial" w:eastAsiaTheme="minorHAnsi" w:hAnsi="Arial" w:cs="Arial"/>
          <w:sz w:val="20"/>
        </w:rPr>
        <w:t xml:space="preserve"> </w:t>
      </w:r>
      <w:hyperlink r:id="rId8" w:history="1">
        <w:r w:rsidRPr="0085257E">
          <w:rPr>
            <w:rFonts w:ascii="Arial" w:eastAsiaTheme="minorHAnsi" w:hAnsi="Arial" w:cs="Arial"/>
            <w:color w:val="0000FF" w:themeColor="hyperlink"/>
            <w:sz w:val="20"/>
            <w:u w:val="single"/>
          </w:rPr>
          <w:t>christopher.silvester.15@ucl.ac.uk</w:t>
        </w:r>
      </w:hyperlink>
    </w:p>
    <w:p w14:paraId="7702D235" w14:textId="77777777" w:rsidR="002C030F" w:rsidRPr="00DC623A" w:rsidRDefault="002C030F">
      <w:pPr>
        <w:rPr>
          <w:rFonts w:ascii="Arial" w:hAnsi="Arial" w:cs="Arial"/>
          <w:sz w:val="20"/>
        </w:rPr>
      </w:pPr>
    </w:p>
    <w:p w14:paraId="6FBA3BA9" w14:textId="78DE1DE6" w:rsidR="00641620" w:rsidRPr="0085257E" w:rsidRDefault="00641620" w:rsidP="00B42F9C">
      <w:pPr>
        <w:pStyle w:val="SMSubheading"/>
        <w:rPr>
          <w:rFonts w:ascii="Arial" w:hAnsi="Arial" w:cs="Arial"/>
          <w:b/>
          <w:sz w:val="36"/>
          <w:szCs w:val="36"/>
          <w:u w:val="none"/>
        </w:rPr>
      </w:pPr>
      <w:bookmarkStart w:id="2" w:name="Tables"/>
      <w:bookmarkStart w:id="3" w:name="MaterialsMethods"/>
      <w:bookmarkEnd w:id="2"/>
      <w:bookmarkEnd w:id="3"/>
      <w:r w:rsidRPr="0085257E">
        <w:rPr>
          <w:rFonts w:ascii="Arial" w:hAnsi="Arial" w:cs="Arial"/>
          <w:b/>
          <w:sz w:val="36"/>
          <w:szCs w:val="36"/>
          <w:u w:val="none"/>
        </w:rPr>
        <w:t>Methods</w:t>
      </w:r>
      <w:r w:rsidR="00BD306C" w:rsidRPr="0085257E">
        <w:rPr>
          <w:rFonts w:ascii="Arial" w:hAnsi="Arial" w:cs="Arial"/>
          <w:b/>
          <w:sz w:val="36"/>
          <w:szCs w:val="36"/>
          <w:u w:val="none"/>
        </w:rPr>
        <w:t>:</w:t>
      </w:r>
      <w:r w:rsidRPr="0085257E">
        <w:rPr>
          <w:rFonts w:ascii="Arial" w:hAnsi="Arial" w:cs="Arial"/>
          <w:b/>
          <w:sz w:val="36"/>
          <w:szCs w:val="36"/>
          <w:u w:val="none"/>
        </w:rPr>
        <w:t xml:space="preserve"> </w:t>
      </w:r>
      <w:r w:rsidR="00171D4A">
        <w:rPr>
          <w:rFonts w:ascii="Arial" w:hAnsi="Arial" w:cs="Arial"/>
          <w:b/>
          <w:sz w:val="36"/>
          <w:szCs w:val="36"/>
          <w:u w:val="none"/>
        </w:rPr>
        <w:t>o</w:t>
      </w:r>
      <w:r w:rsidRPr="0085257E">
        <w:rPr>
          <w:rFonts w:ascii="Arial" w:hAnsi="Arial" w:cs="Arial"/>
          <w:b/>
          <w:sz w:val="36"/>
          <w:szCs w:val="36"/>
          <w:u w:val="none"/>
        </w:rPr>
        <w:t xml:space="preserve">cclusal </w:t>
      </w:r>
      <w:r w:rsidR="0085257E">
        <w:rPr>
          <w:rFonts w:ascii="Arial" w:hAnsi="Arial" w:cs="Arial"/>
          <w:b/>
          <w:sz w:val="36"/>
          <w:szCs w:val="36"/>
          <w:u w:val="none"/>
        </w:rPr>
        <w:t>f</w:t>
      </w:r>
      <w:r w:rsidRPr="0085257E">
        <w:rPr>
          <w:rFonts w:ascii="Arial" w:hAnsi="Arial" w:cs="Arial"/>
          <w:b/>
          <w:sz w:val="36"/>
          <w:szCs w:val="36"/>
          <w:u w:val="none"/>
        </w:rPr>
        <w:t xml:space="preserve">ingerprint </w:t>
      </w:r>
      <w:r w:rsidR="0085257E">
        <w:rPr>
          <w:rFonts w:ascii="Arial" w:hAnsi="Arial" w:cs="Arial"/>
          <w:b/>
          <w:sz w:val="36"/>
          <w:szCs w:val="36"/>
          <w:u w:val="none"/>
        </w:rPr>
        <w:t>a</w:t>
      </w:r>
      <w:r w:rsidRPr="0085257E">
        <w:rPr>
          <w:rFonts w:ascii="Arial" w:hAnsi="Arial" w:cs="Arial"/>
          <w:b/>
          <w:sz w:val="36"/>
          <w:szCs w:val="36"/>
          <w:u w:val="none"/>
        </w:rPr>
        <w:t>nalysis</w:t>
      </w:r>
      <w:r w:rsidR="00B42F9C" w:rsidRPr="0085257E">
        <w:rPr>
          <w:rFonts w:ascii="Arial" w:hAnsi="Arial" w:cs="Arial"/>
          <w:b/>
          <w:sz w:val="36"/>
          <w:szCs w:val="36"/>
          <w:u w:val="none"/>
        </w:rPr>
        <w:t xml:space="preserve"> </w:t>
      </w:r>
      <w:r w:rsidRPr="0085257E">
        <w:rPr>
          <w:rFonts w:ascii="Arial" w:hAnsi="Arial" w:cs="Arial"/>
          <w:b/>
          <w:sz w:val="36"/>
          <w:szCs w:val="36"/>
          <w:u w:val="none"/>
        </w:rPr>
        <w:t xml:space="preserve">(OFA) </w:t>
      </w:r>
    </w:p>
    <w:p w14:paraId="32F12C25" w14:textId="36E7AD95" w:rsidR="00DD4EB9" w:rsidRDefault="00AD4C19" w:rsidP="0085257E">
      <w:pPr>
        <w:pStyle w:val="SMSubheading"/>
        <w:spacing w:after="120" w:line="480" w:lineRule="auto"/>
        <w:jc w:val="both"/>
        <w:rPr>
          <w:rFonts w:ascii="Arial" w:hAnsi="Arial" w:cs="Arial"/>
          <w:sz w:val="20"/>
          <w:u w:val="none"/>
        </w:rPr>
      </w:pPr>
      <w:r w:rsidRPr="00AD4C19">
        <w:rPr>
          <w:rFonts w:ascii="Arial" w:hAnsi="Arial" w:cs="Arial"/>
          <w:sz w:val="20"/>
          <w:u w:val="none"/>
        </w:rPr>
        <w:t xml:space="preserve">Previous studies </w:t>
      </w:r>
      <w:r w:rsidR="00D76B00">
        <w:rPr>
          <w:rFonts w:ascii="Arial" w:hAnsi="Arial" w:cs="Arial"/>
          <w:sz w:val="20"/>
          <w:u w:val="none"/>
        </w:rPr>
        <w:t>[</w:t>
      </w:r>
      <w:proofErr w:type="gramStart"/>
      <w:r>
        <w:rPr>
          <w:rFonts w:ascii="Arial" w:hAnsi="Arial" w:cs="Arial"/>
          <w:sz w:val="20"/>
          <w:u w:val="none"/>
        </w:rPr>
        <w:t>e.g.</w:t>
      </w:r>
      <w:proofErr w:type="gramEnd"/>
      <w:r>
        <w:rPr>
          <w:rFonts w:ascii="Arial" w:hAnsi="Arial" w:cs="Arial"/>
          <w:sz w:val="20"/>
          <w:u w:val="none"/>
        </w:rPr>
        <w:t xml:space="preserve"> 1, 2</w:t>
      </w:r>
      <w:r w:rsidR="00D76B00">
        <w:rPr>
          <w:rFonts w:ascii="Arial" w:hAnsi="Arial" w:cs="Arial"/>
          <w:sz w:val="20"/>
          <w:u w:val="none"/>
        </w:rPr>
        <w:t>]</w:t>
      </w:r>
      <w:r w:rsidRPr="00AD4C19">
        <w:rPr>
          <w:rFonts w:ascii="Arial" w:hAnsi="Arial" w:cs="Arial"/>
          <w:sz w:val="20"/>
          <w:u w:val="none"/>
        </w:rPr>
        <w:t xml:space="preserve"> have developed </w:t>
      </w:r>
      <w:r w:rsidR="000266A3">
        <w:rPr>
          <w:rFonts w:ascii="Arial" w:hAnsi="Arial" w:cs="Arial"/>
          <w:sz w:val="20"/>
          <w:u w:val="none"/>
        </w:rPr>
        <w:t xml:space="preserve">and utilized </w:t>
      </w:r>
      <w:r w:rsidRPr="00AD4C19">
        <w:rPr>
          <w:rFonts w:ascii="Arial" w:hAnsi="Arial" w:cs="Arial"/>
          <w:sz w:val="20"/>
          <w:u w:val="none"/>
        </w:rPr>
        <w:t xml:space="preserve">a workflow for conducting OFA in the software package </w:t>
      </w:r>
      <w:proofErr w:type="spellStart"/>
      <w:r w:rsidRPr="00AD4C19">
        <w:rPr>
          <w:rFonts w:ascii="Arial" w:hAnsi="Arial" w:cs="Arial"/>
          <w:sz w:val="20"/>
          <w:u w:val="none"/>
        </w:rPr>
        <w:t>Polyworks</w:t>
      </w:r>
      <w:proofErr w:type="spellEnd"/>
      <w:r w:rsidRPr="00AD4C19">
        <w:rPr>
          <w:rFonts w:ascii="Arial" w:hAnsi="Arial" w:cs="Arial"/>
          <w:sz w:val="20"/>
          <w:u w:val="none"/>
        </w:rPr>
        <w:t xml:space="preserve"> (</w:t>
      </w:r>
      <w:proofErr w:type="spellStart"/>
      <w:r w:rsidRPr="00AD4C19">
        <w:rPr>
          <w:rFonts w:ascii="Arial" w:hAnsi="Arial" w:cs="Arial"/>
          <w:sz w:val="20"/>
          <w:u w:val="none"/>
        </w:rPr>
        <w:t>Innovmetric</w:t>
      </w:r>
      <w:proofErr w:type="spellEnd"/>
      <w:r w:rsidRPr="00AD4C19">
        <w:rPr>
          <w:rFonts w:ascii="Arial" w:hAnsi="Arial" w:cs="Arial"/>
          <w:sz w:val="20"/>
          <w:u w:val="none"/>
        </w:rPr>
        <w:t xml:space="preserve">). </w:t>
      </w:r>
      <w:r w:rsidR="00DD4EB9">
        <w:rPr>
          <w:rFonts w:ascii="Arial" w:hAnsi="Arial" w:cs="Arial"/>
          <w:sz w:val="20"/>
          <w:u w:val="none"/>
        </w:rPr>
        <w:t>This software is prohibitively expensive to many researchers. As such, the present study developed a method for performing OFA in</w:t>
      </w:r>
      <w:r w:rsidRPr="00AD4C19">
        <w:rPr>
          <w:rFonts w:ascii="Arial" w:hAnsi="Arial" w:cs="Arial"/>
          <w:sz w:val="20"/>
          <w:u w:val="none"/>
        </w:rPr>
        <w:t xml:space="preserve"> GOM Inspect (GOM, Braunschweig, Germany) </w:t>
      </w:r>
      <w:r w:rsidR="00DD4EB9">
        <w:rPr>
          <w:rFonts w:ascii="Arial" w:hAnsi="Arial" w:cs="Arial"/>
          <w:sz w:val="20"/>
          <w:u w:val="none"/>
        </w:rPr>
        <w:t>which was identified as a freely available alternative</w:t>
      </w:r>
      <w:r w:rsidRPr="00AD4C19">
        <w:rPr>
          <w:rFonts w:ascii="Arial" w:hAnsi="Arial" w:cs="Arial"/>
          <w:sz w:val="20"/>
          <w:u w:val="none"/>
        </w:rPr>
        <w:t xml:space="preserve">. </w:t>
      </w:r>
      <w:r w:rsidR="00A9080F">
        <w:rPr>
          <w:rFonts w:ascii="Arial" w:hAnsi="Arial" w:cs="Arial"/>
          <w:sz w:val="20"/>
          <w:u w:val="none"/>
        </w:rPr>
        <w:t xml:space="preserve">The principles underlying OFA have been detailed recently </w:t>
      </w:r>
      <w:r w:rsidR="00D76B00">
        <w:rPr>
          <w:rFonts w:ascii="Arial" w:hAnsi="Arial" w:cs="Arial"/>
          <w:sz w:val="20"/>
          <w:u w:val="none"/>
        </w:rPr>
        <w:t>[</w:t>
      </w:r>
      <w:r w:rsidR="00A9080F">
        <w:rPr>
          <w:rFonts w:ascii="Arial" w:hAnsi="Arial" w:cs="Arial"/>
          <w:sz w:val="20"/>
          <w:u w:val="none"/>
        </w:rPr>
        <w:t>3)</w:t>
      </w:r>
      <w:r w:rsidR="00D76B00">
        <w:rPr>
          <w:rFonts w:ascii="Arial" w:hAnsi="Arial" w:cs="Arial"/>
          <w:sz w:val="20"/>
          <w:u w:val="none"/>
        </w:rPr>
        <w:t>]</w:t>
      </w:r>
      <w:r w:rsidR="00A9080F">
        <w:rPr>
          <w:rFonts w:ascii="Arial" w:hAnsi="Arial" w:cs="Arial"/>
          <w:sz w:val="20"/>
          <w:u w:val="none"/>
        </w:rPr>
        <w:t xml:space="preserve">, therefore, </w:t>
      </w:r>
      <w:r w:rsidR="008331EF">
        <w:rPr>
          <w:rFonts w:ascii="Arial" w:hAnsi="Arial" w:cs="Arial"/>
          <w:sz w:val="20"/>
          <w:u w:val="none"/>
        </w:rPr>
        <w:t>only the steps involved</w:t>
      </w:r>
      <w:r w:rsidR="00254038">
        <w:rPr>
          <w:rFonts w:ascii="Arial" w:hAnsi="Arial" w:cs="Arial"/>
          <w:sz w:val="20"/>
          <w:u w:val="none"/>
        </w:rPr>
        <w:t xml:space="preserve"> </w:t>
      </w:r>
      <w:r w:rsidR="008331EF">
        <w:rPr>
          <w:rFonts w:ascii="Arial" w:hAnsi="Arial" w:cs="Arial"/>
          <w:sz w:val="20"/>
          <w:u w:val="none"/>
        </w:rPr>
        <w:t>in conducting the method will be dealt with here</w:t>
      </w:r>
      <w:r w:rsidR="00A9080F">
        <w:rPr>
          <w:rFonts w:ascii="Arial" w:hAnsi="Arial" w:cs="Arial"/>
          <w:sz w:val="20"/>
          <w:u w:val="none"/>
        </w:rPr>
        <w:t>.</w:t>
      </w:r>
    </w:p>
    <w:p w14:paraId="4D8EEAAA" w14:textId="4E4C2592" w:rsidR="00E438D3" w:rsidRDefault="000A6313" w:rsidP="0085257E">
      <w:pPr>
        <w:pStyle w:val="SMSubheading"/>
        <w:spacing w:after="120" w:line="480" w:lineRule="auto"/>
        <w:jc w:val="both"/>
        <w:rPr>
          <w:rFonts w:ascii="Arial" w:hAnsi="Arial" w:cs="Arial"/>
          <w:sz w:val="20"/>
          <w:u w:val="none"/>
        </w:rPr>
      </w:pPr>
      <w:r>
        <w:rPr>
          <w:rFonts w:ascii="Arial" w:hAnsi="Arial" w:cs="Arial"/>
          <w:sz w:val="20"/>
          <w:u w:val="none"/>
        </w:rPr>
        <w:t>The</w:t>
      </w:r>
      <w:r w:rsidR="00AD4C19" w:rsidRPr="00AD4C19">
        <w:rPr>
          <w:rFonts w:ascii="Arial" w:hAnsi="Arial" w:cs="Arial"/>
          <w:sz w:val="20"/>
          <w:u w:val="none"/>
        </w:rPr>
        <w:t xml:space="preserve"> workflow </w:t>
      </w:r>
      <w:r w:rsidR="00E438D3">
        <w:rPr>
          <w:rFonts w:ascii="Arial" w:hAnsi="Arial" w:cs="Arial"/>
          <w:sz w:val="20"/>
          <w:u w:val="none"/>
        </w:rPr>
        <w:t xml:space="preserve">detailed was performed using </w:t>
      </w:r>
      <w:r w:rsidR="00AD4C19" w:rsidRPr="00AD4C19">
        <w:rPr>
          <w:rFonts w:ascii="Arial" w:hAnsi="Arial" w:cs="Arial"/>
          <w:sz w:val="20"/>
          <w:u w:val="none"/>
        </w:rPr>
        <w:t>GOM Inspect Version 2018 Hotfix 6</w:t>
      </w:r>
      <w:r w:rsidR="00E438D3">
        <w:rPr>
          <w:rFonts w:ascii="Arial" w:hAnsi="Arial" w:cs="Arial"/>
          <w:sz w:val="20"/>
          <w:u w:val="none"/>
        </w:rPr>
        <w:t>.</w:t>
      </w:r>
      <w:r w:rsidR="00AD4C19" w:rsidRPr="00AD4C19">
        <w:rPr>
          <w:rFonts w:ascii="Arial" w:hAnsi="Arial" w:cs="Arial"/>
          <w:sz w:val="20"/>
          <w:u w:val="none"/>
        </w:rPr>
        <w:t xml:space="preserve"> </w:t>
      </w:r>
      <w:r w:rsidR="006E4D98">
        <w:rPr>
          <w:rFonts w:ascii="Arial" w:hAnsi="Arial" w:cs="Arial"/>
          <w:sz w:val="20"/>
          <w:u w:val="none"/>
        </w:rPr>
        <w:t xml:space="preserve">Firstly, </w:t>
      </w:r>
      <w:r w:rsidR="003072E7">
        <w:rPr>
          <w:rFonts w:ascii="Arial" w:hAnsi="Arial" w:cs="Arial"/>
          <w:sz w:val="20"/>
          <w:u w:val="none"/>
        </w:rPr>
        <w:t>the 3D model of the lower second molar mesh was prepared for analysis. I</w:t>
      </w:r>
      <w:r w:rsidR="006E4D98" w:rsidRPr="006E4D98">
        <w:rPr>
          <w:rFonts w:ascii="Arial" w:hAnsi="Arial" w:cs="Arial"/>
          <w:sz w:val="20"/>
          <w:u w:val="none"/>
        </w:rPr>
        <w:t>n virtual models involving multiple teeth, the lower second molar was first isolated by selecting and deleting the adjacent teeth.</w:t>
      </w:r>
      <w:r w:rsidR="006E4D98">
        <w:rPr>
          <w:rFonts w:ascii="Arial" w:hAnsi="Arial" w:cs="Arial"/>
          <w:sz w:val="20"/>
          <w:u w:val="none"/>
        </w:rPr>
        <w:t xml:space="preserve"> </w:t>
      </w:r>
      <w:r w:rsidR="00D162C7" w:rsidRPr="00D162C7">
        <w:rPr>
          <w:rFonts w:ascii="Arial" w:hAnsi="Arial" w:cs="Arial"/>
          <w:sz w:val="20"/>
          <w:u w:val="none"/>
        </w:rPr>
        <w:t xml:space="preserve">Occasionally very small air bubbles were present on the dental gypsum models and these defects were reproduced on the surface of the virtual dental model created by the </w:t>
      </w:r>
      <w:r w:rsidR="00D162C7">
        <w:rPr>
          <w:rFonts w:ascii="Arial" w:hAnsi="Arial" w:cs="Arial"/>
          <w:sz w:val="20"/>
          <w:u w:val="none"/>
        </w:rPr>
        <w:t>structured light scanning system (</w:t>
      </w:r>
      <w:r w:rsidR="0067103C" w:rsidRPr="0067103C">
        <w:rPr>
          <w:rFonts w:ascii="Arial" w:hAnsi="Arial" w:cs="Arial"/>
          <w:sz w:val="20"/>
          <w:u w:val="none"/>
        </w:rPr>
        <w:t>GOM ATOS 80 scanner, GOM, Braunschweig, Germany</w:t>
      </w:r>
      <w:r w:rsidR="0067103C">
        <w:rPr>
          <w:rFonts w:ascii="Arial" w:hAnsi="Arial" w:cs="Arial"/>
          <w:sz w:val="20"/>
          <w:u w:val="none"/>
        </w:rPr>
        <w:t>)</w:t>
      </w:r>
      <w:r w:rsidR="00D162C7" w:rsidRPr="00D162C7">
        <w:rPr>
          <w:rFonts w:ascii="Arial" w:hAnsi="Arial" w:cs="Arial"/>
          <w:sz w:val="20"/>
          <w:u w:val="none"/>
        </w:rPr>
        <w:t xml:space="preserve">. These areas were manually identified, </w:t>
      </w:r>
      <w:proofErr w:type="gramStart"/>
      <w:r w:rsidR="00D162C7" w:rsidRPr="00D162C7">
        <w:rPr>
          <w:rFonts w:ascii="Arial" w:hAnsi="Arial" w:cs="Arial"/>
          <w:sz w:val="20"/>
          <w:u w:val="none"/>
        </w:rPr>
        <w:t>outlined</w:t>
      </w:r>
      <w:proofErr w:type="gramEnd"/>
      <w:r w:rsidR="00D162C7" w:rsidRPr="00D162C7">
        <w:rPr>
          <w:rFonts w:ascii="Arial" w:hAnsi="Arial" w:cs="Arial"/>
          <w:sz w:val="20"/>
          <w:u w:val="none"/>
        </w:rPr>
        <w:t xml:space="preserve"> and removed from the virtual model and the surface reconstructed </w:t>
      </w:r>
      <w:r w:rsidR="00D162C7" w:rsidRPr="00D162C7">
        <w:rPr>
          <w:rFonts w:ascii="Arial" w:hAnsi="Arial" w:cs="Arial"/>
          <w:sz w:val="20"/>
          <w:u w:val="none"/>
        </w:rPr>
        <w:lastRenderedPageBreak/>
        <w:t>using the close hole function in GOM Inspect.</w:t>
      </w:r>
      <w:r w:rsidR="00045D3C">
        <w:rPr>
          <w:rFonts w:ascii="Arial" w:hAnsi="Arial" w:cs="Arial"/>
          <w:sz w:val="20"/>
          <w:u w:val="none"/>
        </w:rPr>
        <w:t xml:space="preserve"> </w:t>
      </w:r>
      <w:r w:rsidR="00045D3C" w:rsidRPr="00045D3C">
        <w:rPr>
          <w:rFonts w:ascii="Arial" w:hAnsi="Arial" w:cs="Arial"/>
          <w:sz w:val="20"/>
          <w:u w:val="none"/>
        </w:rPr>
        <w:t>Teeth cut from molar tooth rows were frequently missing mesial and distal surfaces obscured by neighboring teeth. Following segmentation from the molar row, any missing surfaces were virtually reconstructed in GOM Inspect providing an approximation of the actual surface. This process utilized the existing 3D mesh to extrapolate the geometry of the missing 3D surface</w:t>
      </w:r>
      <w:r w:rsidR="00045D3C">
        <w:rPr>
          <w:rFonts w:ascii="Arial" w:hAnsi="Arial" w:cs="Arial"/>
          <w:sz w:val="20"/>
          <w:u w:val="none"/>
        </w:rPr>
        <w:t xml:space="preserve"> by building a series of mesh bridges across the missing </w:t>
      </w:r>
      <w:r w:rsidR="00E261B1">
        <w:rPr>
          <w:rFonts w:ascii="Arial" w:hAnsi="Arial" w:cs="Arial"/>
          <w:sz w:val="20"/>
          <w:u w:val="none"/>
        </w:rPr>
        <w:t>area</w:t>
      </w:r>
      <w:r w:rsidR="00045D3C" w:rsidRPr="00045D3C">
        <w:rPr>
          <w:rFonts w:ascii="Arial" w:hAnsi="Arial" w:cs="Arial"/>
          <w:sz w:val="20"/>
          <w:u w:val="none"/>
        </w:rPr>
        <w:t>.</w:t>
      </w:r>
      <w:r w:rsidR="00045D3C">
        <w:rPr>
          <w:rFonts w:ascii="Arial" w:hAnsi="Arial" w:cs="Arial"/>
          <w:sz w:val="20"/>
          <w:u w:val="none"/>
        </w:rPr>
        <w:t xml:space="preserve"> The spaces between the bridges were then filled using the close hole function. Following this, the tooth was ready for further analysis. </w:t>
      </w:r>
    </w:p>
    <w:p w14:paraId="6AFAA165" w14:textId="5F0AA895" w:rsidR="00045D3C" w:rsidRDefault="00D47A10" w:rsidP="0085257E">
      <w:pPr>
        <w:pStyle w:val="SMSubheading"/>
        <w:spacing w:after="120" w:line="480" w:lineRule="auto"/>
        <w:jc w:val="both"/>
        <w:rPr>
          <w:rFonts w:ascii="Arial" w:hAnsi="Arial" w:cs="Arial"/>
          <w:sz w:val="20"/>
          <w:u w:val="none"/>
        </w:rPr>
      </w:pPr>
      <w:r w:rsidRPr="00D47A10">
        <w:rPr>
          <w:rFonts w:ascii="Arial" w:hAnsi="Arial" w:cs="Arial"/>
          <w:sz w:val="20"/>
          <w:u w:val="none"/>
        </w:rPr>
        <w:t>OFA requires each specimen to be orientated in the same way prior to wear facet analysis. This was achieved using a standard reference plane fitted to the cervical margin of the tooth. A curve was drawn around the cervix of the tooth and the area 0.</w:t>
      </w:r>
      <w:r w:rsidR="00ED0B0F">
        <w:rPr>
          <w:rFonts w:ascii="Arial" w:hAnsi="Arial" w:cs="Arial"/>
          <w:sz w:val="20"/>
          <w:u w:val="none"/>
        </w:rPr>
        <w:t>2</w:t>
      </w:r>
      <w:r w:rsidRPr="00D47A10">
        <w:rPr>
          <w:rFonts w:ascii="Arial" w:hAnsi="Arial" w:cs="Arial"/>
          <w:sz w:val="20"/>
          <w:u w:val="none"/>
        </w:rPr>
        <w:t>mm either side of it was selected. A gaussian best-fit plane was then fitted to the selected area</w:t>
      </w:r>
      <w:r>
        <w:rPr>
          <w:rFonts w:ascii="Arial" w:hAnsi="Arial" w:cs="Arial"/>
          <w:sz w:val="20"/>
          <w:u w:val="none"/>
        </w:rPr>
        <w:t xml:space="preserve"> (</w:t>
      </w:r>
      <w:r w:rsidR="0085257E">
        <w:rPr>
          <w:rFonts w:ascii="Arial" w:hAnsi="Arial" w:cs="Arial"/>
          <w:sz w:val="20"/>
          <w:u w:val="none"/>
        </w:rPr>
        <w:t>Fig 2</w:t>
      </w:r>
      <w:r>
        <w:rPr>
          <w:rFonts w:ascii="Arial" w:hAnsi="Arial" w:cs="Arial"/>
          <w:sz w:val="20"/>
          <w:u w:val="none"/>
        </w:rPr>
        <w:t>)</w:t>
      </w:r>
      <w:r w:rsidRPr="00D47A10">
        <w:rPr>
          <w:rFonts w:ascii="Arial" w:hAnsi="Arial" w:cs="Arial"/>
          <w:sz w:val="20"/>
          <w:u w:val="none"/>
        </w:rPr>
        <w:t xml:space="preserve">. The reference plane needs to be independent of the occlusal surface as dental wear progressively modifies and obliterates landmarks on the crown </w:t>
      </w:r>
      <w:r w:rsidR="00D76B00">
        <w:rPr>
          <w:rFonts w:ascii="Arial" w:hAnsi="Arial" w:cs="Arial"/>
          <w:sz w:val="20"/>
          <w:u w:val="none"/>
        </w:rPr>
        <w:t>[</w:t>
      </w:r>
      <w:r w:rsidR="00D95868">
        <w:rPr>
          <w:rFonts w:ascii="Arial" w:hAnsi="Arial" w:cs="Arial"/>
          <w:sz w:val="20"/>
          <w:u w:val="none"/>
        </w:rPr>
        <w:t>1, 4</w:t>
      </w:r>
      <w:r w:rsidR="00D76B00">
        <w:rPr>
          <w:rFonts w:ascii="Arial" w:hAnsi="Arial" w:cs="Arial"/>
          <w:sz w:val="20"/>
          <w:u w:val="none"/>
        </w:rPr>
        <w:t>]</w:t>
      </w:r>
      <w:r w:rsidRPr="00D47A10">
        <w:rPr>
          <w:rFonts w:ascii="Arial" w:hAnsi="Arial" w:cs="Arial"/>
          <w:sz w:val="20"/>
          <w:u w:val="none"/>
        </w:rPr>
        <w:t>.</w:t>
      </w:r>
      <w:r w:rsidR="00185DFB">
        <w:rPr>
          <w:rFonts w:ascii="Arial" w:hAnsi="Arial" w:cs="Arial"/>
          <w:sz w:val="20"/>
          <w:u w:val="none"/>
        </w:rPr>
        <w:t xml:space="preserve"> </w:t>
      </w:r>
      <w:r w:rsidR="00185DFB" w:rsidRPr="00185DFB">
        <w:rPr>
          <w:rFonts w:ascii="Arial" w:hAnsi="Arial" w:cs="Arial"/>
          <w:sz w:val="20"/>
          <w:u w:val="none"/>
        </w:rPr>
        <w:t xml:space="preserve">The cervical plane of each tooth model was then translated to a </w:t>
      </w:r>
      <w:r w:rsidR="00DF6138" w:rsidRPr="00185DFB">
        <w:rPr>
          <w:rFonts w:ascii="Arial" w:hAnsi="Arial" w:cs="Arial"/>
          <w:sz w:val="20"/>
          <w:u w:val="none"/>
        </w:rPr>
        <w:t>standardized</w:t>
      </w:r>
      <w:r w:rsidR="00185DFB" w:rsidRPr="00185DFB">
        <w:rPr>
          <w:rFonts w:ascii="Arial" w:hAnsi="Arial" w:cs="Arial"/>
          <w:sz w:val="20"/>
          <w:u w:val="none"/>
        </w:rPr>
        <w:t xml:space="preserve"> x-y plane. The buccal direction was aligned with the positive y direction, the mesial axis of the tooth was aligned with the positive x direction (in left teeth) and the occlusal direction was aligned with the positive z direction</w:t>
      </w:r>
      <w:r w:rsidR="00185DFB">
        <w:rPr>
          <w:rFonts w:ascii="Arial" w:hAnsi="Arial" w:cs="Arial"/>
          <w:sz w:val="20"/>
          <w:u w:val="none"/>
        </w:rPr>
        <w:t xml:space="preserve"> (</w:t>
      </w:r>
      <w:r w:rsidR="0085257E">
        <w:rPr>
          <w:rFonts w:ascii="Arial" w:hAnsi="Arial" w:cs="Arial"/>
          <w:sz w:val="20"/>
          <w:u w:val="none"/>
        </w:rPr>
        <w:t>Fig 2</w:t>
      </w:r>
      <w:r w:rsidR="00185DFB">
        <w:rPr>
          <w:rFonts w:ascii="Arial" w:hAnsi="Arial" w:cs="Arial"/>
          <w:sz w:val="20"/>
          <w:u w:val="none"/>
        </w:rPr>
        <w:t>)</w:t>
      </w:r>
      <w:r w:rsidR="00185DFB" w:rsidRPr="00185DFB">
        <w:rPr>
          <w:rFonts w:ascii="Arial" w:hAnsi="Arial" w:cs="Arial"/>
          <w:sz w:val="20"/>
          <w:u w:val="none"/>
        </w:rPr>
        <w:t>.</w:t>
      </w:r>
    </w:p>
    <w:p w14:paraId="6E9182F6" w14:textId="13F827B1" w:rsidR="00D95868" w:rsidRDefault="004F583F" w:rsidP="0085257E">
      <w:pPr>
        <w:pStyle w:val="SMSubheading"/>
        <w:spacing w:after="120" w:line="480" w:lineRule="auto"/>
        <w:jc w:val="both"/>
        <w:rPr>
          <w:rFonts w:ascii="Arial" w:hAnsi="Arial" w:cs="Arial"/>
          <w:sz w:val="20"/>
          <w:u w:val="none"/>
        </w:rPr>
      </w:pPr>
      <w:r w:rsidRPr="004F583F">
        <w:rPr>
          <w:rFonts w:ascii="Arial" w:hAnsi="Arial" w:cs="Arial"/>
          <w:sz w:val="20"/>
          <w:u w:val="none"/>
        </w:rPr>
        <w:t>Once aligned, the wear facets on the occlusal surface of each specimen were delineated using surface curve</w:t>
      </w:r>
      <w:r>
        <w:rPr>
          <w:rFonts w:ascii="Arial" w:hAnsi="Arial" w:cs="Arial"/>
          <w:sz w:val="20"/>
          <w:u w:val="none"/>
        </w:rPr>
        <w:t>s</w:t>
      </w:r>
      <w:r w:rsidRPr="004F583F">
        <w:rPr>
          <w:rFonts w:ascii="Arial" w:hAnsi="Arial" w:cs="Arial"/>
          <w:sz w:val="20"/>
          <w:u w:val="none"/>
        </w:rPr>
        <w:t>.</w:t>
      </w:r>
      <w:r>
        <w:rPr>
          <w:rFonts w:ascii="Arial" w:hAnsi="Arial" w:cs="Arial"/>
          <w:sz w:val="20"/>
          <w:u w:val="none"/>
        </w:rPr>
        <w:t xml:space="preserve"> </w:t>
      </w:r>
      <w:r w:rsidRPr="004F583F">
        <w:rPr>
          <w:rFonts w:ascii="Arial" w:hAnsi="Arial" w:cs="Arial"/>
          <w:sz w:val="20"/>
          <w:u w:val="none"/>
        </w:rPr>
        <w:t>The mesh area bounded by the curve demarcating the border of each wear facet was selected in turn and measured to give the area of the wear facet in mm</w:t>
      </w:r>
      <w:r w:rsidRPr="004F583F">
        <w:rPr>
          <w:rFonts w:ascii="Arial" w:hAnsi="Arial" w:cs="Arial"/>
          <w:sz w:val="20"/>
          <w:u w:val="none"/>
          <w:vertAlign w:val="superscript"/>
        </w:rPr>
        <w:t>2</w:t>
      </w:r>
      <w:r w:rsidR="00DF624C">
        <w:rPr>
          <w:rFonts w:ascii="Arial" w:hAnsi="Arial" w:cs="Arial"/>
          <w:sz w:val="20"/>
          <w:u w:val="none"/>
        </w:rPr>
        <w:t xml:space="preserve"> (</w:t>
      </w:r>
      <w:r w:rsidR="0085257E">
        <w:rPr>
          <w:rFonts w:ascii="Arial" w:hAnsi="Arial" w:cs="Arial"/>
          <w:sz w:val="20"/>
          <w:u w:val="none"/>
        </w:rPr>
        <w:t>Fig 2</w:t>
      </w:r>
      <w:r w:rsidR="00DF624C">
        <w:rPr>
          <w:rFonts w:ascii="Arial" w:hAnsi="Arial" w:cs="Arial"/>
          <w:sz w:val="20"/>
          <w:u w:val="none"/>
        </w:rPr>
        <w:t>)</w:t>
      </w:r>
      <w:r w:rsidRPr="004F583F">
        <w:rPr>
          <w:rFonts w:ascii="Arial" w:hAnsi="Arial" w:cs="Arial"/>
          <w:sz w:val="20"/>
          <w:u w:val="none"/>
        </w:rPr>
        <w:t>.</w:t>
      </w:r>
      <w:r>
        <w:rPr>
          <w:rFonts w:ascii="Arial" w:hAnsi="Arial" w:cs="Arial"/>
          <w:sz w:val="20"/>
          <w:u w:val="none"/>
        </w:rPr>
        <w:t xml:space="preserve"> </w:t>
      </w:r>
      <w:r w:rsidRPr="004F583F">
        <w:rPr>
          <w:rFonts w:ascii="Arial" w:hAnsi="Arial" w:cs="Arial"/>
          <w:sz w:val="20"/>
          <w:u w:val="none"/>
        </w:rPr>
        <w:t>For each tooth, wear facets were first grouped according to their functional role during the power stroke: buccal phase I wear (facets 1, 2, 3 and 4), lingual phase I wear (facets 5, 6, 7 and 8) and phase II wear (facets 9, 10, 11, 12 and 13). The relative proportion of the total wear facet area constituted by each wear facet group was then calculated.</w:t>
      </w:r>
      <w:r>
        <w:rPr>
          <w:rFonts w:ascii="Arial" w:hAnsi="Arial" w:cs="Arial"/>
          <w:sz w:val="20"/>
          <w:u w:val="none"/>
        </w:rPr>
        <w:t xml:space="preserve"> </w:t>
      </w:r>
      <w:r w:rsidRPr="004F583F">
        <w:rPr>
          <w:rFonts w:ascii="Arial" w:hAnsi="Arial" w:cs="Arial"/>
          <w:sz w:val="20"/>
          <w:u w:val="none"/>
        </w:rPr>
        <w:t xml:space="preserve">Tip crushing areas were also identified predominantly on the tips of the buccal molar cusps. These wear areas lack a clearly defined dip direction, are frequently more shallowly inclined than wear facets associated with the power stroke and have more poorly demarcated boundaries </w:t>
      </w:r>
      <w:r w:rsidR="00D76B00">
        <w:rPr>
          <w:rFonts w:ascii="Arial" w:hAnsi="Arial" w:cs="Arial"/>
          <w:sz w:val="20"/>
          <w:u w:val="none"/>
        </w:rPr>
        <w:t>[</w:t>
      </w:r>
      <w:r>
        <w:rPr>
          <w:rFonts w:ascii="Arial" w:hAnsi="Arial" w:cs="Arial"/>
          <w:sz w:val="20"/>
          <w:u w:val="none"/>
        </w:rPr>
        <w:t>1</w:t>
      </w:r>
      <w:r w:rsidR="00D76B00">
        <w:rPr>
          <w:rFonts w:ascii="Arial" w:hAnsi="Arial" w:cs="Arial"/>
          <w:sz w:val="20"/>
          <w:u w:val="none"/>
        </w:rPr>
        <w:t>]</w:t>
      </w:r>
      <w:r w:rsidRPr="004F583F">
        <w:rPr>
          <w:rFonts w:ascii="Arial" w:hAnsi="Arial" w:cs="Arial"/>
          <w:sz w:val="20"/>
          <w:u w:val="none"/>
        </w:rPr>
        <w:t xml:space="preserve">. They cannot be definitively attributed to the normal power stroke and may be principally active during puncture-crushing cycles so were </w:t>
      </w:r>
      <w:r>
        <w:rPr>
          <w:rFonts w:ascii="Arial" w:hAnsi="Arial" w:cs="Arial"/>
          <w:sz w:val="20"/>
          <w:u w:val="none"/>
        </w:rPr>
        <w:t xml:space="preserve">not </w:t>
      </w:r>
      <w:r w:rsidRPr="004F583F">
        <w:rPr>
          <w:rFonts w:ascii="Arial" w:hAnsi="Arial" w:cs="Arial"/>
          <w:sz w:val="20"/>
          <w:u w:val="none"/>
        </w:rPr>
        <w:t xml:space="preserve">considered </w:t>
      </w:r>
      <w:r>
        <w:rPr>
          <w:rFonts w:ascii="Arial" w:hAnsi="Arial" w:cs="Arial"/>
          <w:sz w:val="20"/>
          <w:u w:val="none"/>
        </w:rPr>
        <w:t>in the current analysis</w:t>
      </w:r>
      <w:r w:rsidRPr="004F583F">
        <w:rPr>
          <w:rFonts w:ascii="Arial" w:hAnsi="Arial" w:cs="Arial"/>
          <w:sz w:val="20"/>
          <w:u w:val="none"/>
        </w:rPr>
        <w:t xml:space="preserve"> </w:t>
      </w:r>
      <w:r w:rsidR="00D76B00">
        <w:rPr>
          <w:rFonts w:ascii="Arial" w:hAnsi="Arial" w:cs="Arial"/>
          <w:sz w:val="20"/>
          <w:u w:val="none"/>
        </w:rPr>
        <w:t>[</w:t>
      </w:r>
      <w:r w:rsidR="00862B9D">
        <w:rPr>
          <w:rFonts w:ascii="Arial" w:hAnsi="Arial" w:cs="Arial"/>
          <w:sz w:val="20"/>
          <w:u w:val="none"/>
        </w:rPr>
        <w:t>5, 6</w:t>
      </w:r>
      <w:r w:rsidR="00D76B00">
        <w:rPr>
          <w:rFonts w:ascii="Arial" w:hAnsi="Arial" w:cs="Arial"/>
          <w:sz w:val="20"/>
          <w:u w:val="none"/>
        </w:rPr>
        <w:t>]</w:t>
      </w:r>
      <w:r w:rsidRPr="004F583F">
        <w:rPr>
          <w:rFonts w:ascii="Arial" w:hAnsi="Arial" w:cs="Arial"/>
          <w:sz w:val="20"/>
          <w:u w:val="none"/>
        </w:rPr>
        <w:t>.</w:t>
      </w:r>
      <w:r w:rsidR="00217CE1">
        <w:rPr>
          <w:rFonts w:ascii="Arial" w:hAnsi="Arial" w:cs="Arial"/>
          <w:sz w:val="20"/>
          <w:u w:val="none"/>
        </w:rPr>
        <w:t xml:space="preserve"> </w:t>
      </w:r>
      <w:r w:rsidR="00217CE1" w:rsidRPr="00217CE1">
        <w:rPr>
          <w:rFonts w:ascii="Arial" w:hAnsi="Arial" w:cs="Arial"/>
          <w:sz w:val="20"/>
          <w:u w:val="none"/>
        </w:rPr>
        <w:t xml:space="preserve">Wear facet inclination was measured in relation to the </w:t>
      </w:r>
      <w:r w:rsidR="00217CE1">
        <w:rPr>
          <w:rFonts w:ascii="Arial" w:hAnsi="Arial" w:cs="Arial"/>
          <w:sz w:val="20"/>
          <w:u w:val="none"/>
        </w:rPr>
        <w:lastRenderedPageBreak/>
        <w:t>reference</w:t>
      </w:r>
      <w:r w:rsidR="00217CE1" w:rsidRPr="00217CE1">
        <w:rPr>
          <w:rFonts w:ascii="Arial" w:hAnsi="Arial" w:cs="Arial"/>
          <w:sz w:val="20"/>
          <w:u w:val="none"/>
        </w:rPr>
        <w:t xml:space="preserve"> plane created using the cervical margin of the tooth. </w:t>
      </w:r>
      <w:r w:rsidR="00217CE1">
        <w:rPr>
          <w:rFonts w:ascii="Arial" w:hAnsi="Arial" w:cs="Arial"/>
          <w:sz w:val="20"/>
          <w:u w:val="none"/>
        </w:rPr>
        <w:t xml:space="preserve">A </w:t>
      </w:r>
      <w:r w:rsidR="00217CE1" w:rsidRPr="00217CE1">
        <w:rPr>
          <w:rFonts w:ascii="Arial" w:hAnsi="Arial" w:cs="Arial"/>
          <w:sz w:val="20"/>
          <w:u w:val="none"/>
        </w:rPr>
        <w:t xml:space="preserve">gaussian best-fit plane </w:t>
      </w:r>
      <w:r w:rsidR="00217CE1">
        <w:rPr>
          <w:rFonts w:ascii="Arial" w:hAnsi="Arial" w:cs="Arial"/>
          <w:sz w:val="20"/>
          <w:u w:val="none"/>
        </w:rPr>
        <w:t>was fitted to each wear facet and the angle between this plane and the reference plane was measured to give the dip angle for each wear facet (</w:t>
      </w:r>
      <w:r w:rsidR="0085257E">
        <w:rPr>
          <w:rFonts w:ascii="Arial" w:hAnsi="Arial" w:cs="Arial"/>
          <w:sz w:val="20"/>
          <w:u w:val="none"/>
        </w:rPr>
        <w:t>Fig 2</w:t>
      </w:r>
      <w:r w:rsidR="00217CE1">
        <w:rPr>
          <w:rFonts w:ascii="Arial" w:hAnsi="Arial" w:cs="Arial"/>
          <w:sz w:val="20"/>
          <w:u w:val="none"/>
        </w:rPr>
        <w:t xml:space="preserve">). </w:t>
      </w:r>
    </w:p>
    <w:p w14:paraId="0D0BDAF1" w14:textId="529F3F73" w:rsidR="004911A3" w:rsidRDefault="00841451" w:rsidP="0085257E">
      <w:pPr>
        <w:pStyle w:val="SMSubheading"/>
        <w:spacing w:after="120" w:line="480" w:lineRule="auto"/>
        <w:jc w:val="both"/>
        <w:rPr>
          <w:rFonts w:ascii="Arial" w:hAnsi="Arial" w:cs="Arial"/>
          <w:sz w:val="20"/>
          <w:u w:val="none"/>
        </w:rPr>
      </w:pPr>
      <w:r>
        <w:rPr>
          <w:rFonts w:ascii="Arial" w:hAnsi="Arial" w:cs="Arial"/>
          <w:sz w:val="20"/>
          <w:u w:val="none"/>
        </w:rPr>
        <w:t>Occlusal Relief Index (ORI) was calculated for each lower second molar. This value describes the steepness and surface complexity of the occlusal topography with larger values indicating a steeper and more complex surface</w:t>
      </w:r>
      <w:r w:rsidR="00643DDC">
        <w:rPr>
          <w:rFonts w:ascii="Arial" w:hAnsi="Arial" w:cs="Arial"/>
          <w:sz w:val="20"/>
          <w:u w:val="none"/>
        </w:rPr>
        <w:t xml:space="preserve"> </w:t>
      </w:r>
      <w:r w:rsidR="00D76B00">
        <w:rPr>
          <w:rFonts w:ascii="Arial" w:hAnsi="Arial" w:cs="Arial"/>
          <w:sz w:val="20"/>
          <w:u w:val="none"/>
        </w:rPr>
        <w:t>[</w:t>
      </w:r>
      <w:r w:rsidR="00DF5172">
        <w:rPr>
          <w:rFonts w:ascii="Arial" w:hAnsi="Arial" w:cs="Arial"/>
          <w:sz w:val="20"/>
          <w:u w:val="none"/>
        </w:rPr>
        <w:t>7</w:t>
      </w:r>
      <w:r w:rsidR="00D76B00">
        <w:rPr>
          <w:rFonts w:ascii="Arial" w:hAnsi="Arial" w:cs="Arial"/>
          <w:sz w:val="20"/>
          <w:u w:val="none"/>
        </w:rPr>
        <w:t>]</w:t>
      </w:r>
      <w:r>
        <w:rPr>
          <w:rFonts w:ascii="Arial" w:hAnsi="Arial" w:cs="Arial"/>
          <w:sz w:val="20"/>
          <w:u w:val="none"/>
        </w:rPr>
        <w:t xml:space="preserve">. </w:t>
      </w:r>
      <w:r w:rsidRPr="00841451">
        <w:rPr>
          <w:rFonts w:ascii="Arial" w:hAnsi="Arial" w:cs="Arial"/>
          <w:sz w:val="20"/>
          <w:u w:val="none"/>
        </w:rPr>
        <w:t>This value is calculated by dividing the 3D area of the occlusal topography above the level of the central fossae by the 2D area of the molar crown at the level of the central fossae</w:t>
      </w:r>
      <w:r w:rsidR="00AC7583">
        <w:rPr>
          <w:rFonts w:ascii="Arial" w:hAnsi="Arial" w:cs="Arial"/>
          <w:sz w:val="20"/>
          <w:u w:val="none"/>
        </w:rPr>
        <w:t xml:space="preserve"> (</w:t>
      </w:r>
      <w:r w:rsidR="0085257E">
        <w:rPr>
          <w:rFonts w:ascii="Arial" w:hAnsi="Arial" w:cs="Arial"/>
          <w:sz w:val="20"/>
          <w:u w:val="none"/>
        </w:rPr>
        <w:t>Fig 4</w:t>
      </w:r>
      <w:r w:rsidR="00AC7583">
        <w:rPr>
          <w:rFonts w:ascii="Arial" w:hAnsi="Arial" w:cs="Arial"/>
          <w:sz w:val="20"/>
          <w:u w:val="none"/>
        </w:rPr>
        <w:t>)</w:t>
      </w:r>
      <w:r w:rsidRPr="00841451">
        <w:rPr>
          <w:rFonts w:ascii="Arial" w:hAnsi="Arial" w:cs="Arial"/>
          <w:sz w:val="20"/>
          <w:u w:val="none"/>
        </w:rPr>
        <w:t>.</w:t>
      </w:r>
      <w:r>
        <w:rPr>
          <w:rFonts w:ascii="Arial" w:hAnsi="Arial" w:cs="Arial"/>
          <w:sz w:val="20"/>
          <w:u w:val="none"/>
        </w:rPr>
        <w:t xml:space="preserve"> In GOM Inspect, the cervical reference plane was first translated along the z-axis to the level of the central fossa. </w:t>
      </w:r>
      <w:r w:rsidR="00D20009">
        <w:rPr>
          <w:rFonts w:ascii="Arial" w:hAnsi="Arial" w:cs="Arial"/>
          <w:sz w:val="20"/>
          <w:u w:val="none"/>
        </w:rPr>
        <w:t xml:space="preserve">A section </w:t>
      </w:r>
      <w:r w:rsidR="00C37457">
        <w:rPr>
          <w:rFonts w:ascii="Arial" w:hAnsi="Arial" w:cs="Arial"/>
          <w:sz w:val="20"/>
          <w:u w:val="none"/>
        </w:rPr>
        <w:t>was</w:t>
      </w:r>
      <w:r w:rsidR="00D20009">
        <w:rPr>
          <w:rFonts w:ascii="Arial" w:hAnsi="Arial" w:cs="Arial"/>
          <w:sz w:val="20"/>
          <w:u w:val="none"/>
        </w:rPr>
        <w:t xml:space="preserve"> then created through the </w:t>
      </w:r>
      <w:r w:rsidR="00C37457">
        <w:rPr>
          <w:rFonts w:ascii="Arial" w:hAnsi="Arial" w:cs="Arial"/>
          <w:sz w:val="20"/>
          <w:u w:val="none"/>
        </w:rPr>
        <w:t xml:space="preserve">tooth </w:t>
      </w:r>
      <w:r w:rsidR="00D20009">
        <w:rPr>
          <w:rFonts w:ascii="Arial" w:hAnsi="Arial" w:cs="Arial"/>
          <w:sz w:val="20"/>
          <w:u w:val="none"/>
        </w:rPr>
        <w:t xml:space="preserve">model at this level to create </w:t>
      </w:r>
      <w:r w:rsidR="00370B93">
        <w:rPr>
          <w:rFonts w:ascii="Arial" w:hAnsi="Arial" w:cs="Arial"/>
          <w:sz w:val="20"/>
          <w:u w:val="none"/>
        </w:rPr>
        <w:t>an</w:t>
      </w:r>
      <w:r w:rsidR="00D20009">
        <w:rPr>
          <w:rFonts w:ascii="Arial" w:hAnsi="Arial" w:cs="Arial"/>
          <w:sz w:val="20"/>
          <w:u w:val="none"/>
        </w:rPr>
        <w:t xml:space="preserve"> occlusal plane</w:t>
      </w:r>
      <w:r w:rsidR="00370B93">
        <w:rPr>
          <w:rFonts w:ascii="Arial" w:hAnsi="Arial" w:cs="Arial"/>
          <w:sz w:val="20"/>
          <w:u w:val="none"/>
        </w:rPr>
        <w:t xml:space="preserve"> parallel to the </w:t>
      </w:r>
      <w:r w:rsidR="00C37457">
        <w:rPr>
          <w:rFonts w:ascii="Arial" w:hAnsi="Arial" w:cs="Arial"/>
          <w:sz w:val="20"/>
          <w:u w:val="none"/>
        </w:rPr>
        <w:t xml:space="preserve">cervical </w:t>
      </w:r>
      <w:r w:rsidR="00370B93">
        <w:rPr>
          <w:rFonts w:ascii="Arial" w:hAnsi="Arial" w:cs="Arial"/>
          <w:sz w:val="20"/>
          <w:u w:val="none"/>
        </w:rPr>
        <w:t>reference plane</w:t>
      </w:r>
      <w:r w:rsidR="00D20009">
        <w:rPr>
          <w:rFonts w:ascii="Arial" w:hAnsi="Arial" w:cs="Arial"/>
          <w:sz w:val="20"/>
          <w:u w:val="none"/>
        </w:rPr>
        <w:t xml:space="preserve">. The cross-sectional area of the lower second molar </w:t>
      </w:r>
      <w:r w:rsidR="00370B93">
        <w:rPr>
          <w:rFonts w:ascii="Arial" w:hAnsi="Arial" w:cs="Arial"/>
          <w:sz w:val="20"/>
          <w:u w:val="none"/>
        </w:rPr>
        <w:t xml:space="preserve">at the level of the occlusal plane </w:t>
      </w:r>
      <w:r w:rsidR="00C37457">
        <w:rPr>
          <w:rFonts w:ascii="Arial" w:hAnsi="Arial" w:cs="Arial"/>
          <w:sz w:val="20"/>
          <w:u w:val="none"/>
        </w:rPr>
        <w:t>could then be</w:t>
      </w:r>
      <w:r w:rsidR="00370B93">
        <w:rPr>
          <w:rFonts w:ascii="Arial" w:hAnsi="Arial" w:cs="Arial"/>
          <w:sz w:val="20"/>
          <w:u w:val="none"/>
        </w:rPr>
        <w:t xml:space="preserve"> measured in mm</w:t>
      </w:r>
      <w:r w:rsidR="00370B93">
        <w:rPr>
          <w:rFonts w:ascii="Arial" w:hAnsi="Arial" w:cs="Arial"/>
          <w:sz w:val="20"/>
          <w:u w:val="none"/>
          <w:vertAlign w:val="superscript"/>
        </w:rPr>
        <w:t>2</w:t>
      </w:r>
      <w:r w:rsidR="00370B93">
        <w:rPr>
          <w:rFonts w:ascii="Arial" w:hAnsi="Arial" w:cs="Arial"/>
          <w:sz w:val="20"/>
          <w:u w:val="none"/>
        </w:rPr>
        <w:t xml:space="preserve">. </w:t>
      </w:r>
      <w:r w:rsidR="00C37457">
        <w:rPr>
          <w:rFonts w:ascii="Arial" w:hAnsi="Arial" w:cs="Arial"/>
          <w:sz w:val="20"/>
          <w:u w:val="none"/>
        </w:rPr>
        <w:t xml:space="preserve">The 3D area of the occlusal surface above the occlusal plane </w:t>
      </w:r>
      <w:r w:rsidR="00AC7583">
        <w:rPr>
          <w:rFonts w:ascii="Arial" w:hAnsi="Arial" w:cs="Arial"/>
          <w:sz w:val="20"/>
          <w:u w:val="none"/>
        </w:rPr>
        <w:t>was then also measured in mm</w:t>
      </w:r>
      <w:r w:rsidR="00AC7583">
        <w:rPr>
          <w:rFonts w:ascii="Arial" w:hAnsi="Arial" w:cs="Arial"/>
          <w:sz w:val="20"/>
          <w:u w:val="none"/>
          <w:vertAlign w:val="superscript"/>
        </w:rPr>
        <w:t>2</w:t>
      </w:r>
      <w:r w:rsidR="00AC7583">
        <w:rPr>
          <w:rFonts w:ascii="Arial" w:hAnsi="Arial" w:cs="Arial"/>
          <w:sz w:val="20"/>
          <w:u w:val="none"/>
        </w:rPr>
        <w:t xml:space="preserve">. The 3D area of the crown above the occlusal plane was then divided by the 2D area of the crown at the level of the occlusal plane to give the occlusal relief index. </w:t>
      </w:r>
    </w:p>
    <w:p w14:paraId="7AFA7C1E" w14:textId="089E49BB" w:rsidR="008F1058" w:rsidRDefault="008F1058" w:rsidP="0085257E">
      <w:pPr>
        <w:pStyle w:val="SMSubheading"/>
        <w:spacing w:after="120" w:line="480" w:lineRule="auto"/>
        <w:jc w:val="both"/>
        <w:rPr>
          <w:rFonts w:ascii="Arial" w:hAnsi="Arial" w:cs="Arial"/>
          <w:b/>
          <w:bCs/>
          <w:sz w:val="36"/>
          <w:szCs w:val="36"/>
          <w:u w:val="none"/>
        </w:rPr>
      </w:pPr>
      <w:r w:rsidRPr="008F1058">
        <w:rPr>
          <w:rFonts w:ascii="Arial" w:hAnsi="Arial" w:cs="Arial"/>
          <w:b/>
          <w:bCs/>
          <w:sz w:val="36"/>
          <w:szCs w:val="36"/>
          <w:u w:val="none"/>
        </w:rPr>
        <w:t xml:space="preserve">Statistical </w:t>
      </w:r>
      <w:r w:rsidR="00171D4A">
        <w:rPr>
          <w:rFonts w:ascii="Arial" w:hAnsi="Arial" w:cs="Arial"/>
          <w:b/>
          <w:bCs/>
          <w:sz w:val="36"/>
          <w:szCs w:val="36"/>
          <w:u w:val="none"/>
        </w:rPr>
        <w:t>a</w:t>
      </w:r>
      <w:r w:rsidRPr="008F1058">
        <w:rPr>
          <w:rFonts w:ascii="Arial" w:hAnsi="Arial" w:cs="Arial"/>
          <w:b/>
          <w:bCs/>
          <w:sz w:val="36"/>
          <w:szCs w:val="36"/>
          <w:u w:val="none"/>
        </w:rPr>
        <w:t>nalysis</w:t>
      </w:r>
      <w:r>
        <w:rPr>
          <w:rFonts w:ascii="Arial" w:hAnsi="Arial" w:cs="Arial"/>
          <w:b/>
          <w:bCs/>
          <w:sz w:val="36"/>
          <w:szCs w:val="36"/>
          <w:u w:val="none"/>
        </w:rPr>
        <w:t xml:space="preserve">: </w:t>
      </w:r>
      <w:r w:rsidRPr="008F1058">
        <w:rPr>
          <w:rFonts w:ascii="Arial" w:hAnsi="Arial" w:cs="Arial"/>
          <w:b/>
          <w:bCs/>
          <w:sz w:val="36"/>
          <w:szCs w:val="36"/>
          <w:u w:val="none"/>
        </w:rPr>
        <w:t>R code used for performing MANOVA</w:t>
      </w:r>
    </w:p>
    <w:p w14:paraId="5ADB08F2" w14:textId="2D114770"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w:t>
      </w:r>
      <w:proofErr w:type="gramStart"/>
      <w:r w:rsidRPr="00171D4A">
        <w:rPr>
          <w:rFonts w:ascii="Arial" w:hAnsi="Arial" w:cs="Arial"/>
          <w:sz w:val="20"/>
          <w:u w:val="none"/>
        </w:rPr>
        <w:t>load</w:t>
      </w:r>
      <w:proofErr w:type="gramEnd"/>
      <w:r w:rsidRPr="00171D4A">
        <w:rPr>
          <w:rFonts w:ascii="Arial" w:hAnsi="Arial" w:cs="Arial"/>
          <w:sz w:val="20"/>
          <w:u w:val="none"/>
        </w:rPr>
        <w:t xml:space="preserve"> packages</w:t>
      </w:r>
    </w:p>
    <w:p w14:paraId="400E9F91" w14:textId="3D3950BC"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library(compositions)</w:t>
      </w:r>
    </w:p>
    <w:p w14:paraId="4E6D770C" w14:textId="38E47D5C" w:rsidR="00022230" w:rsidRPr="00171D4A" w:rsidRDefault="00022230" w:rsidP="00022230">
      <w:pPr>
        <w:pStyle w:val="SMSubheading"/>
        <w:spacing w:after="120" w:line="480" w:lineRule="auto"/>
        <w:jc w:val="both"/>
        <w:rPr>
          <w:rFonts w:ascii="Arial" w:hAnsi="Arial" w:cs="Arial"/>
          <w:sz w:val="20"/>
          <w:u w:val="none"/>
        </w:rPr>
      </w:pPr>
      <w:proofErr w:type="gramStart"/>
      <w:r w:rsidRPr="00171D4A">
        <w:rPr>
          <w:rFonts w:ascii="Arial" w:hAnsi="Arial" w:cs="Arial"/>
          <w:sz w:val="20"/>
          <w:u w:val="none"/>
        </w:rPr>
        <w:t>library(</w:t>
      </w:r>
      <w:proofErr w:type="spellStart"/>
      <w:proofErr w:type="gramEnd"/>
      <w:r w:rsidRPr="00171D4A">
        <w:rPr>
          <w:rFonts w:ascii="Arial" w:hAnsi="Arial" w:cs="Arial"/>
          <w:sz w:val="20"/>
          <w:u w:val="none"/>
        </w:rPr>
        <w:t>RVAideMemoire</w:t>
      </w:r>
      <w:proofErr w:type="spellEnd"/>
      <w:r w:rsidRPr="00171D4A">
        <w:rPr>
          <w:rFonts w:ascii="Arial" w:hAnsi="Arial" w:cs="Arial"/>
          <w:sz w:val="20"/>
          <w:u w:val="none"/>
        </w:rPr>
        <w:t>)</w:t>
      </w:r>
    </w:p>
    <w:p w14:paraId="30AA08D1" w14:textId="02EEB7DD" w:rsidR="00D64A40" w:rsidRPr="00171D4A" w:rsidRDefault="00D64A40" w:rsidP="00022230">
      <w:pPr>
        <w:pStyle w:val="SMSubheading"/>
        <w:spacing w:after="120" w:line="480" w:lineRule="auto"/>
        <w:jc w:val="both"/>
        <w:rPr>
          <w:rFonts w:ascii="Arial" w:hAnsi="Arial" w:cs="Arial"/>
          <w:sz w:val="20"/>
          <w:u w:val="none"/>
        </w:rPr>
      </w:pPr>
      <w:r w:rsidRPr="00171D4A">
        <w:rPr>
          <w:rFonts w:ascii="Arial" w:hAnsi="Arial" w:cs="Arial"/>
          <w:sz w:val="20"/>
          <w:u w:val="none"/>
        </w:rPr>
        <w:t>library(vegan)</w:t>
      </w:r>
    </w:p>
    <w:p w14:paraId="4049E2D0" w14:textId="217C6B9E"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w:t>
      </w:r>
      <w:proofErr w:type="gramStart"/>
      <w:r w:rsidRPr="00171D4A">
        <w:rPr>
          <w:rFonts w:ascii="Arial" w:hAnsi="Arial" w:cs="Arial"/>
          <w:sz w:val="20"/>
          <w:u w:val="none"/>
        </w:rPr>
        <w:t>get</w:t>
      </w:r>
      <w:proofErr w:type="gramEnd"/>
      <w:r w:rsidRPr="00171D4A">
        <w:rPr>
          <w:rFonts w:ascii="Arial" w:hAnsi="Arial" w:cs="Arial"/>
          <w:sz w:val="20"/>
          <w:u w:val="none"/>
        </w:rPr>
        <w:t xml:space="preserve"> data</w:t>
      </w:r>
    </w:p>
    <w:p w14:paraId="370EDD56" w14:textId="0AEE5E9F" w:rsidR="008F1058"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WAF&lt;</w:t>
      </w:r>
      <w:proofErr w:type="gramStart"/>
      <w:r w:rsidRPr="00171D4A">
        <w:rPr>
          <w:rFonts w:ascii="Arial" w:hAnsi="Arial" w:cs="Arial"/>
          <w:sz w:val="20"/>
          <w:u w:val="none"/>
        </w:rPr>
        <w:t>-read.csv(</w:t>
      </w:r>
      <w:proofErr w:type="gramEnd"/>
      <w:r w:rsidRPr="00171D4A">
        <w:rPr>
          <w:rFonts w:ascii="Arial" w:hAnsi="Arial" w:cs="Arial"/>
          <w:sz w:val="20"/>
          <w:u w:val="none"/>
        </w:rPr>
        <w:t xml:space="preserve">"DentalRevolution_OFAdata.csv", header=T, </w:t>
      </w:r>
      <w:proofErr w:type="spellStart"/>
      <w:r w:rsidRPr="00171D4A">
        <w:rPr>
          <w:rFonts w:ascii="Arial" w:hAnsi="Arial" w:cs="Arial"/>
          <w:sz w:val="20"/>
          <w:u w:val="none"/>
        </w:rPr>
        <w:t>na.strings</w:t>
      </w:r>
      <w:proofErr w:type="spellEnd"/>
      <w:r w:rsidRPr="00171D4A">
        <w:rPr>
          <w:rFonts w:ascii="Arial" w:hAnsi="Arial" w:cs="Arial"/>
          <w:sz w:val="20"/>
          <w:u w:val="none"/>
        </w:rPr>
        <w:t>=c("","NA"))</w:t>
      </w:r>
    </w:p>
    <w:p w14:paraId="75B09F73" w14:textId="6F7B39B8"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w:t>
      </w:r>
      <w:proofErr w:type="gramStart"/>
      <w:r w:rsidRPr="00171D4A">
        <w:rPr>
          <w:rFonts w:ascii="Arial" w:hAnsi="Arial" w:cs="Arial"/>
          <w:sz w:val="20"/>
          <w:u w:val="none"/>
        </w:rPr>
        <w:t>conduct</w:t>
      </w:r>
      <w:proofErr w:type="gramEnd"/>
      <w:r w:rsidRPr="00171D4A">
        <w:rPr>
          <w:rFonts w:ascii="Arial" w:hAnsi="Arial" w:cs="Arial"/>
          <w:sz w:val="20"/>
          <w:u w:val="none"/>
        </w:rPr>
        <w:t xml:space="preserve"> isometric log transformation of wear facet composition data</w:t>
      </w:r>
    </w:p>
    <w:p w14:paraId="50008A4C" w14:textId="6562304B" w:rsidR="00022230" w:rsidRPr="00171D4A" w:rsidRDefault="00022230" w:rsidP="00022230">
      <w:pPr>
        <w:pStyle w:val="SMSubheading"/>
        <w:spacing w:after="120" w:line="480" w:lineRule="auto"/>
        <w:jc w:val="both"/>
        <w:rPr>
          <w:rFonts w:ascii="Arial" w:hAnsi="Arial" w:cs="Arial"/>
          <w:sz w:val="20"/>
          <w:u w:val="none"/>
        </w:rPr>
      </w:pPr>
      <w:proofErr w:type="spellStart"/>
      <w:r w:rsidRPr="00171D4A">
        <w:rPr>
          <w:rFonts w:ascii="Arial" w:hAnsi="Arial" w:cs="Arial"/>
          <w:sz w:val="20"/>
          <w:u w:val="none"/>
        </w:rPr>
        <w:t>WAclo</w:t>
      </w:r>
      <w:proofErr w:type="spellEnd"/>
      <w:r w:rsidRPr="00171D4A">
        <w:rPr>
          <w:rFonts w:ascii="Arial" w:hAnsi="Arial" w:cs="Arial"/>
          <w:sz w:val="20"/>
          <w:u w:val="none"/>
        </w:rPr>
        <w:t>&lt;-</w:t>
      </w:r>
      <w:proofErr w:type="spellStart"/>
      <w:proofErr w:type="gramStart"/>
      <w:r w:rsidRPr="00171D4A">
        <w:rPr>
          <w:rFonts w:ascii="Arial" w:hAnsi="Arial" w:cs="Arial"/>
          <w:sz w:val="20"/>
          <w:u w:val="none"/>
        </w:rPr>
        <w:t>clo</w:t>
      </w:r>
      <w:proofErr w:type="spellEnd"/>
      <w:r w:rsidRPr="00171D4A">
        <w:rPr>
          <w:rFonts w:ascii="Arial" w:hAnsi="Arial" w:cs="Arial"/>
          <w:sz w:val="20"/>
          <w:u w:val="none"/>
        </w:rPr>
        <w:t>(</w:t>
      </w:r>
      <w:proofErr w:type="spellStart"/>
      <w:proofErr w:type="gramEnd"/>
      <w:r w:rsidRPr="00171D4A">
        <w:rPr>
          <w:rFonts w:ascii="Arial" w:hAnsi="Arial" w:cs="Arial"/>
          <w:sz w:val="20"/>
          <w:u w:val="none"/>
        </w:rPr>
        <w:t>WAF,parts</w:t>
      </w:r>
      <w:proofErr w:type="spellEnd"/>
      <w:r w:rsidRPr="00171D4A">
        <w:rPr>
          <w:rFonts w:ascii="Arial" w:hAnsi="Arial" w:cs="Arial"/>
          <w:sz w:val="20"/>
          <w:u w:val="none"/>
        </w:rPr>
        <w:t>=c("BPI","LPI","PII"),total=100)</w:t>
      </w:r>
    </w:p>
    <w:p w14:paraId="3FC66811" w14:textId="77777777"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lastRenderedPageBreak/>
        <w:t>WA&lt;-</w:t>
      </w:r>
      <w:proofErr w:type="spellStart"/>
      <w:proofErr w:type="gramStart"/>
      <w:r w:rsidRPr="00171D4A">
        <w:rPr>
          <w:rFonts w:ascii="Arial" w:hAnsi="Arial" w:cs="Arial"/>
          <w:sz w:val="20"/>
          <w:u w:val="none"/>
        </w:rPr>
        <w:t>acomp</w:t>
      </w:r>
      <w:proofErr w:type="spellEnd"/>
      <w:r w:rsidRPr="00171D4A">
        <w:rPr>
          <w:rFonts w:ascii="Arial" w:hAnsi="Arial" w:cs="Arial"/>
          <w:sz w:val="20"/>
          <w:u w:val="none"/>
        </w:rPr>
        <w:t>(</w:t>
      </w:r>
      <w:proofErr w:type="spellStart"/>
      <w:proofErr w:type="gramEnd"/>
      <w:r w:rsidRPr="00171D4A">
        <w:rPr>
          <w:rFonts w:ascii="Arial" w:hAnsi="Arial" w:cs="Arial"/>
          <w:sz w:val="20"/>
          <w:u w:val="none"/>
        </w:rPr>
        <w:t>WAclo</w:t>
      </w:r>
      <w:proofErr w:type="spellEnd"/>
      <w:r w:rsidRPr="00171D4A">
        <w:rPr>
          <w:rFonts w:ascii="Arial" w:hAnsi="Arial" w:cs="Arial"/>
          <w:sz w:val="20"/>
          <w:u w:val="none"/>
        </w:rPr>
        <w:t>)</w:t>
      </w:r>
    </w:p>
    <w:p w14:paraId="5C7BF697" w14:textId="77777777"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w:t>
      </w:r>
      <w:proofErr w:type="gramStart"/>
      <w:r w:rsidRPr="00171D4A">
        <w:rPr>
          <w:rFonts w:ascii="Arial" w:hAnsi="Arial" w:cs="Arial"/>
          <w:sz w:val="20"/>
          <w:u w:val="none"/>
        </w:rPr>
        <w:t>load</w:t>
      </w:r>
      <w:proofErr w:type="gramEnd"/>
      <w:r w:rsidRPr="00171D4A">
        <w:rPr>
          <w:rFonts w:ascii="Arial" w:hAnsi="Arial" w:cs="Arial"/>
          <w:sz w:val="20"/>
          <w:u w:val="none"/>
        </w:rPr>
        <w:t xml:space="preserve"> dependent variables</w:t>
      </w:r>
    </w:p>
    <w:p w14:paraId="1AAFF82B" w14:textId="02E38F2E"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Period&lt;-</w:t>
      </w:r>
      <w:proofErr w:type="spellStart"/>
      <w:r w:rsidRPr="00171D4A">
        <w:rPr>
          <w:rFonts w:ascii="Arial" w:hAnsi="Arial" w:cs="Arial"/>
          <w:sz w:val="20"/>
          <w:u w:val="none"/>
        </w:rPr>
        <w:t>WAF$Period</w:t>
      </w:r>
      <w:proofErr w:type="spellEnd"/>
    </w:p>
    <w:p w14:paraId="6BD04004" w14:textId="77777777"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Period&lt;-</w:t>
      </w:r>
      <w:proofErr w:type="gramStart"/>
      <w:r w:rsidRPr="00171D4A">
        <w:rPr>
          <w:rFonts w:ascii="Arial" w:hAnsi="Arial" w:cs="Arial"/>
          <w:sz w:val="20"/>
          <w:u w:val="none"/>
        </w:rPr>
        <w:t>factor(</w:t>
      </w:r>
      <w:proofErr w:type="gramEnd"/>
      <w:r w:rsidRPr="00171D4A">
        <w:rPr>
          <w:rFonts w:ascii="Arial" w:hAnsi="Arial" w:cs="Arial"/>
          <w:sz w:val="20"/>
          <w:u w:val="none"/>
        </w:rPr>
        <w:t>Period, levels=c("pre-Industrial", "Industrial"))</w:t>
      </w:r>
    </w:p>
    <w:p w14:paraId="2F34D4B6" w14:textId="60C16071"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 xml:space="preserve">#Calculate base for isometric log ratio transformation. This creates a dendrogram from which the base can be constructed for the wear facet composition data (see [8] for theoretical background). </w:t>
      </w:r>
    </w:p>
    <w:p w14:paraId="18D11C51" w14:textId="77777777"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 xml:space="preserve">dd = </w:t>
      </w:r>
      <w:proofErr w:type="spellStart"/>
      <w:r w:rsidRPr="00171D4A">
        <w:rPr>
          <w:rFonts w:ascii="Arial" w:hAnsi="Arial" w:cs="Arial"/>
          <w:sz w:val="20"/>
          <w:u w:val="none"/>
        </w:rPr>
        <w:t>dist</w:t>
      </w:r>
      <w:proofErr w:type="spellEnd"/>
      <w:r w:rsidRPr="00171D4A">
        <w:rPr>
          <w:rFonts w:ascii="Arial" w:hAnsi="Arial" w:cs="Arial"/>
          <w:sz w:val="20"/>
          <w:u w:val="none"/>
        </w:rPr>
        <w:t>(t(</w:t>
      </w:r>
      <w:proofErr w:type="spellStart"/>
      <w:proofErr w:type="gramStart"/>
      <w:r w:rsidRPr="00171D4A">
        <w:rPr>
          <w:rFonts w:ascii="Arial" w:hAnsi="Arial" w:cs="Arial"/>
          <w:sz w:val="20"/>
          <w:u w:val="none"/>
        </w:rPr>
        <w:t>clr</w:t>
      </w:r>
      <w:proofErr w:type="spellEnd"/>
      <w:r w:rsidRPr="00171D4A">
        <w:rPr>
          <w:rFonts w:ascii="Arial" w:hAnsi="Arial" w:cs="Arial"/>
          <w:sz w:val="20"/>
          <w:u w:val="none"/>
        </w:rPr>
        <w:t>(</w:t>
      </w:r>
      <w:proofErr w:type="gramEnd"/>
      <w:r w:rsidRPr="00171D4A">
        <w:rPr>
          <w:rFonts w:ascii="Arial" w:hAnsi="Arial" w:cs="Arial"/>
          <w:sz w:val="20"/>
          <w:u w:val="none"/>
        </w:rPr>
        <w:t>WA)))</w:t>
      </w:r>
    </w:p>
    <w:p w14:paraId="29380CDE" w14:textId="77777777"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 xml:space="preserve">hc1 = </w:t>
      </w:r>
      <w:proofErr w:type="spellStart"/>
      <w:r w:rsidRPr="00171D4A">
        <w:rPr>
          <w:rFonts w:ascii="Arial" w:hAnsi="Arial" w:cs="Arial"/>
          <w:sz w:val="20"/>
          <w:u w:val="none"/>
        </w:rPr>
        <w:t>hclust</w:t>
      </w:r>
      <w:proofErr w:type="spellEnd"/>
      <w:r w:rsidRPr="00171D4A">
        <w:rPr>
          <w:rFonts w:ascii="Arial" w:hAnsi="Arial" w:cs="Arial"/>
          <w:sz w:val="20"/>
          <w:u w:val="none"/>
        </w:rPr>
        <w:t>(</w:t>
      </w:r>
      <w:proofErr w:type="spellStart"/>
      <w:proofErr w:type="gramStart"/>
      <w:r w:rsidRPr="00171D4A">
        <w:rPr>
          <w:rFonts w:ascii="Arial" w:hAnsi="Arial" w:cs="Arial"/>
          <w:sz w:val="20"/>
          <w:u w:val="none"/>
        </w:rPr>
        <w:t>dd,method</w:t>
      </w:r>
      <w:proofErr w:type="spellEnd"/>
      <w:proofErr w:type="gramEnd"/>
      <w:r w:rsidRPr="00171D4A">
        <w:rPr>
          <w:rFonts w:ascii="Arial" w:hAnsi="Arial" w:cs="Arial"/>
          <w:sz w:val="20"/>
          <w:u w:val="none"/>
        </w:rPr>
        <w:t>="</w:t>
      </w:r>
      <w:proofErr w:type="spellStart"/>
      <w:r w:rsidRPr="00171D4A">
        <w:rPr>
          <w:rFonts w:ascii="Arial" w:hAnsi="Arial" w:cs="Arial"/>
          <w:sz w:val="20"/>
          <w:u w:val="none"/>
        </w:rPr>
        <w:t>ward.D</w:t>
      </w:r>
      <w:proofErr w:type="spellEnd"/>
      <w:r w:rsidRPr="00171D4A">
        <w:rPr>
          <w:rFonts w:ascii="Arial" w:hAnsi="Arial" w:cs="Arial"/>
          <w:sz w:val="20"/>
          <w:u w:val="none"/>
        </w:rPr>
        <w:t>")</w:t>
      </w:r>
    </w:p>
    <w:p w14:paraId="66527863" w14:textId="77777777"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plot(hc1)</w:t>
      </w:r>
    </w:p>
    <w:p w14:paraId="04E162B5" w14:textId="77777777" w:rsidR="00022230" w:rsidRPr="00171D4A" w:rsidRDefault="00022230" w:rsidP="00022230">
      <w:pPr>
        <w:pStyle w:val="SMSubheading"/>
        <w:spacing w:after="120" w:line="480" w:lineRule="auto"/>
        <w:jc w:val="both"/>
        <w:rPr>
          <w:rFonts w:ascii="Arial" w:hAnsi="Arial" w:cs="Arial"/>
          <w:sz w:val="20"/>
          <w:u w:val="none"/>
        </w:rPr>
      </w:pPr>
      <w:proofErr w:type="spellStart"/>
      <w:r w:rsidRPr="00171D4A">
        <w:rPr>
          <w:rFonts w:ascii="Arial" w:hAnsi="Arial" w:cs="Arial"/>
          <w:sz w:val="20"/>
          <w:u w:val="none"/>
        </w:rPr>
        <w:t>mergetree</w:t>
      </w:r>
      <w:proofErr w:type="spellEnd"/>
      <w:r w:rsidRPr="00171D4A">
        <w:rPr>
          <w:rFonts w:ascii="Arial" w:hAnsi="Arial" w:cs="Arial"/>
          <w:sz w:val="20"/>
          <w:u w:val="none"/>
        </w:rPr>
        <w:t>=hc1$merge</w:t>
      </w:r>
    </w:p>
    <w:p w14:paraId="55946D14" w14:textId="77777777"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CoDaDendrogram(X=</w:t>
      </w:r>
      <w:proofErr w:type="gramStart"/>
      <w:r w:rsidRPr="00171D4A">
        <w:rPr>
          <w:rFonts w:ascii="Arial" w:hAnsi="Arial" w:cs="Arial"/>
          <w:sz w:val="20"/>
          <w:u w:val="none"/>
        </w:rPr>
        <w:t>acomp(</w:t>
      </w:r>
      <w:proofErr w:type="gramEnd"/>
      <w:r w:rsidRPr="00171D4A">
        <w:rPr>
          <w:rFonts w:ascii="Arial" w:hAnsi="Arial" w:cs="Arial"/>
          <w:sz w:val="20"/>
          <w:u w:val="none"/>
        </w:rPr>
        <w:t>WA),mergetree=mergetree,col="grey49",range=c(-8,8),box.space=1)</w:t>
      </w:r>
    </w:p>
    <w:p w14:paraId="3A29825D" w14:textId="01AE1E50" w:rsidR="00022230" w:rsidRPr="00171D4A" w:rsidRDefault="00022230" w:rsidP="00022230">
      <w:pPr>
        <w:pStyle w:val="SMSubheading"/>
        <w:spacing w:after="120" w:line="480" w:lineRule="auto"/>
        <w:jc w:val="both"/>
        <w:rPr>
          <w:rFonts w:ascii="Arial" w:hAnsi="Arial" w:cs="Arial"/>
          <w:sz w:val="20"/>
          <w:u w:val="none"/>
        </w:rPr>
      </w:pPr>
      <w:r w:rsidRPr="00171D4A">
        <w:rPr>
          <w:rFonts w:ascii="Arial" w:hAnsi="Arial" w:cs="Arial"/>
          <w:sz w:val="20"/>
          <w:u w:val="none"/>
        </w:rPr>
        <w:t>V&lt;-</w:t>
      </w:r>
      <w:proofErr w:type="spellStart"/>
      <w:proofErr w:type="gramStart"/>
      <w:r w:rsidRPr="00171D4A">
        <w:rPr>
          <w:rFonts w:ascii="Arial" w:hAnsi="Arial" w:cs="Arial"/>
          <w:sz w:val="20"/>
          <w:u w:val="none"/>
        </w:rPr>
        <w:t>balanceBase</w:t>
      </w:r>
      <w:proofErr w:type="spellEnd"/>
      <w:r w:rsidRPr="00171D4A">
        <w:rPr>
          <w:rFonts w:ascii="Arial" w:hAnsi="Arial" w:cs="Arial"/>
          <w:sz w:val="20"/>
          <w:u w:val="none"/>
        </w:rPr>
        <w:t>(</w:t>
      </w:r>
      <w:proofErr w:type="gramEnd"/>
      <w:r w:rsidRPr="00171D4A">
        <w:rPr>
          <w:rFonts w:ascii="Arial" w:hAnsi="Arial" w:cs="Arial"/>
          <w:sz w:val="20"/>
          <w:u w:val="none"/>
        </w:rPr>
        <w:t>WA,~((PII/LPI)/BPI))</w:t>
      </w:r>
    </w:p>
    <w:p w14:paraId="0FCD9A5D" w14:textId="1F58F383" w:rsidR="00480020" w:rsidRPr="00171D4A" w:rsidRDefault="00480020" w:rsidP="00022230">
      <w:pPr>
        <w:pStyle w:val="SMSubheading"/>
        <w:spacing w:after="120" w:line="480" w:lineRule="auto"/>
        <w:jc w:val="both"/>
        <w:rPr>
          <w:rFonts w:ascii="Arial" w:hAnsi="Arial" w:cs="Arial"/>
          <w:sz w:val="20"/>
          <w:u w:val="none"/>
        </w:rPr>
      </w:pPr>
      <w:r w:rsidRPr="00171D4A">
        <w:rPr>
          <w:rFonts w:ascii="Arial" w:hAnsi="Arial" w:cs="Arial"/>
          <w:sz w:val="20"/>
          <w:u w:val="none"/>
        </w:rPr>
        <w:t>#</w:t>
      </w:r>
      <w:r w:rsidR="00D64A40" w:rsidRPr="00171D4A">
        <w:rPr>
          <w:rFonts w:ascii="Arial" w:hAnsi="Arial" w:cs="Arial"/>
          <w:sz w:val="20"/>
          <w:u w:val="none"/>
        </w:rPr>
        <w:t>Create</w:t>
      </w:r>
      <w:r w:rsidRPr="00171D4A">
        <w:rPr>
          <w:rFonts w:ascii="Arial" w:hAnsi="Arial" w:cs="Arial"/>
          <w:sz w:val="20"/>
          <w:u w:val="none"/>
        </w:rPr>
        <w:t xml:space="preserve"> the isometric log-transformed data object. </w:t>
      </w:r>
    </w:p>
    <w:p w14:paraId="300B1E86" w14:textId="4CA414F2" w:rsidR="00022230" w:rsidRPr="00171D4A" w:rsidRDefault="00022230" w:rsidP="00022230">
      <w:pPr>
        <w:pStyle w:val="SMSubheading"/>
        <w:spacing w:after="120" w:line="480" w:lineRule="auto"/>
        <w:jc w:val="both"/>
        <w:rPr>
          <w:rFonts w:ascii="Arial" w:hAnsi="Arial" w:cs="Arial"/>
          <w:sz w:val="20"/>
          <w:u w:val="none"/>
        </w:rPr>
      </w:pPr>
      <w:proofErr w:type="spellStart"/>
      <w:r w:rsidRPr="00171D4A">
        <w:rPr>
          <w:rFonts w:ascii="Arial" w:hAnsi="Arial" w:cs="Arial"/>
          <w:sz w:val="20"/>
          <w:u w:val="none"/>
        </w:rPr>
        <w:t>WAilr</w:t>
      </w:r>
      <w:proofErr w:type="spellEnd"/>
      <w:r w:rsidRPr="00171D4A">
        <w:rPr>
          <w:rFonts w:ascii="Arial" w:hAnsi="Arial" w:cs="Arial"/>
          <w:sz w:val="20"/>
          <w:u w:val="none"/>
        </w:rPr>
        <w:t>&lt;-</w:t>
      </w:r>
      <w:proofErr w:type="spellStart"/>
      <w:proofErr w:type="gramStart"/>
      <w:r w:rsidRPr="00171D4A">
        <w:rPr>
          <w:rFonts w:ascii="Arial" w:hAnsi="Arial" w:cs="Arial"/>
          <w:sz w:val="20"/>
          <w:u w:val="none"/>
        </w:rPr>
        <w:t>ilr</w:t>
      </w:r>
      <w:proofErr w:type="spellEnd"/>
      <w:r w:rsidRPr="00171D4A">
        <w:rPr>
          <w:rFonts w:ascii="Arial" w:hAnsi="Arial" w:cs="Arial"/>
          <w:sz w:val="20"/>
          <w:u w:val="none"/>
        </w:rPr>
        <w:t>(</w:t>
      </w:r>
      <w:proofErr w:type="gramEnd"/>
      <w:r w:rsidRPr="00171D4A">
        <w:rPr>
          <w:rFonts w:ascii="Arial" w:hAnsi="Arial" w:cs="Arial"/>
          <w:sz w:val="20"/>
          <w:u w:val="none"/>
        </w:rPr>
        <w:t>WA,V=V)</w:t>
      </w:r>
    </w:p>
    <w:p w14:paraId="4DC46BA5" w14:textId="66810C63" w:rsidR="00F751F8" w:rsidRPr="00171D4A" w:rsidRDefault="00D64A40" w:rsidP="00022230">
      <w:pPr>
        <w:pStyle w:val="SMSubheading"/>
        <w:spacing w:after="120" w:line="480" w:lineRule="auto"/>
        <w:jc w:val="both"/>
        <w:rPr>
          <w:rFonts w:ascii="Arial" w:hAnsi="Arial" w:cs="Arial"/>
          <w:sz w:val="20"/>
          <w:u w:val="none"/>
        </w:rPr>
      </w:pPr>
      <w:r w:rsidRPr="00171D4A">
        <w:rPr>
          <w:rFonts w:ascii="Arial" w:hAnsi="Arial" w:cs="Arial"/>
          <w:sz w:val="20"/>
          <w:u w:val="none"/>
        </w:rPr>
        <w:t xml:space="preserve">#Create the distance matrix using the </w:t>
      </w:r>
      <w:proofErr w:type="spellStart"/>
      <w:r w:rsidRPr="00171D4A">
        <w:rPr>
          <w:rFonts w:ascii="Arial" w:hAnsi="Arial" w:cs="Arial"/>
          <w:sz w:val="20"/>
          <w:u w:val="none"/>
        </w:rPr>
        <w:t>euclidean</w:t>
      </w:r>
      <w:proofErr w:type="spellEnd"/>
      <w:r w:rsidRPr="00171D4A">
        <w:rPr>
          <w:rFonts w:ascii="Arial" w:hAnsi="Arial" w:cs="Arial"/>
          <w:sz w:val="20"/>
          <w:u w:val="none"/>
        </w:rPr>
        <w:t xml:space="preserve"> distance method.</w:t>
      </w:r>
    </w:p>
    <w:p w14:paraId="44249CDF" w14:textId="7FC517B7" w:rsidR="00D64A40" w:rsidRPr="00171D4A" w:rsidRDefault="00D64A40" w:rsidP="00D64A40">
      <w:pPr>
        <w:pStyle w:val="SMSubheading"/>
        <w:spacing w:after="120" w:line="480" w:lineRule="auto"/>
        <w:jc w:val="both"/>
        <w:rPr>
          <w:rFonts w:ascii="Arial" w:hAnsi="Arial" w:cs="Arial"/>
          <w:sz w:val="20"/>
          <w:u w:val="none"/>
        </w:rPr>
      </w:pPr>
      <w:r w:rsidRPr="00171D4A">
        <w:rPr>
          <w:rFonts w:ascii="Arial" w:hAnsi="Arial" w:cs="Arial"/>
          <w:sz w:val="20"/>
          <w:u w:val="none"/>
        </w:rPr>
        <w:t>Yperiod2&lt;-</w:t>
      </w:r>
      <w:proofErr w:type="spellStart"/>
      <w:proofErr w:type="gramStart"/>
      <w:r w:rsidRPr="00171D4A">
        <w:rPr>
          <w:rFonts w:ascii="Arial" w:hAnsi="Arial" w:cs="Arial"/>
          <w:sz w:val="20"/>
          <w:u w:val="none"/>
        </w:rPr>
        <w:t>vegdist</w:t>
      </w:r>
      <w:proofErr w:type="spellEnd"/>
      <w:r w:rsidRPr="00171D4A">
        <w:rPr>
          <w:rFonts w:ascii="Arial" w:hAnsi="Arial" w:cs="Arial"/>
          <w:sz w:val="20"/>
          <w:u w:val="none"/>
        </w:rPr>
        <w:t>(</w:t>
      </w:r>
      <w:proofErr w:type="spellStart"/>
      <w:proofErr w:type="gramEnd"/>
      <w:r w:rsidRPr="00171D4A">
        <w:rPr>
          <w:rFonts w:ascii="Arial" w:hAnsi="Arial" w:cs="Arial"/>
          <w:sz w:val="20"/>
          <w:u w:val="none"/>
        </w:rPr>
        <w:t>WAilr</w:t>
      </w:r>
      <w:proofErr w:type="spellEnd"/>
      <w:r w:rsidRPr="00171D4A">
        <w:rPr>
          <w:rFonts w:ascii="Arial" w:hAnsi="Arial" w:cs="Arial"/>
          <w:sz w:val="20"/>
          <w:u w:val="none"/>
        </w:rPr>
        <w:t>, method="</w:t>
      </w:r>
      <w:proofErr w:type="spellStart"/>
      <w:r w:rsidRPr="00171D4A">
        <w:rPr>
          <w:rFonts w:ascii="Arial" w:hAnsi="Arial" w:cs="Arial"/>
          <w:sz w:val="20"/>
          <w:u w:val="none"/>
        </w:rPr>
        <w:t>euclidean</w:t>
      </w:r>
      <w:proofErr w:type="spellEnd"/>
      <w:r w:rsidRPr="00171D4A">
        <w:rPr>
          <w:rFonts w:ascii="Arial" w:hAnsi="Arial" w:cs="Arial"/>
          <w:sz w:val="20"/>
          <w:u w:val="none"/>
        </w:rPr>
        <w:t xml:space="preserve">", binary=FALSE, </w:t>
      </w:r>
      <w:proofErr w:type="spellStart"/>
      <w:r w:rsidRPr="00171D4A">
        <w:rPr>
          <w:rFonts w:ascii="Arial" w:hAnsi="Arial" w:cs="Arial"/>
          <w:sz w:val="20"/>
          <w:u w:val="none"/>
        </w:rPr>
        <w:t>diag</w:t>
      </w:r>
      <w:proofErr w:type="spellEnd"/>
      <w:r w:rsidRPr="00171D4A">
        <w:rPr>
          <w:rFonts w:ascii="Arial" w:hAnsi="Arial" w:cs="Arial"/>
          <w:sz w:val="20"/>
          <w:u w:val="none"/>
        </w:rPr>
        <w:t>=FALSE)</w:t>
      </w:r>
    </w:p>
    <w:p w14:paraId="472BBAF2" w14:textId="693D401E" w:rsidR="00D64A40" w:rsidRPr="00171D4A" w:rsidRDefault="00D64A40" w:rsidP="00D64A40">
      <w:pPr>
        <w:pStyle w:val="SMSubheading"/>
        <w:spacing w:after="120" w:line="480" w:lineRule="auto"/>
        <w:jc w:val="both"/>
        <w:rPr>
          <w:rFonts w:ascii="Arial" w:hAnsi="Arial" w:cs="Arial"/>
          <w:sz w:val="20"/>
          <w:u w:val="none"/>
        </w:rPr>
      </w:pPr>
      <w:r w:rsidRPr="00171D4A">
        <w:rPr>
          <w:rFonts w:ascii="Arial" w:hAnsi="Arial" w:cs="Arial"/>
          <w:sz w:val="20"/>
          <w:u w:val="none"/>
        </w:rPr>
        <w:t>#</w:t>
      </w:r>
      <w:proofErr w:type="gramStart"/>
      <w:r w:rsidRPr="00171D4A">
        <w:rPr>
          <w:rFonts w:ascii="Arial" w:hAnsi="Arial" w:cs="Arial"/>
          <w:sz w:val="20"/>
          <w:u w:val="none"/>
        </w:rPr>
        <w:t>code</w:t>
      </w:r>
      <w:proofErr w:type="gramEnd"/>
      <w:r w:rsidRPr="00171D4A">
        <w:rPr>
          <w:rFonts w:ascii="Arial" w:hAnsi="Arial" w:cs="Arial"/>
          <w:sz w:val="20"/>
          <w:u w:val="none"/>
        </w:rPr>
        <w:t xml:space="preserve"> for performing MANOVA</w:t>
      </w:r>
    </w:p>
    <w:p w14:paraId="4BA2ED07" w14:textId="224F6E86" w:rsidR="00D64A40" w:rsidRPr="00171D4A" w:rsidRDefault="00D64A40" w:rsidP="00D64A40">
      <w:pPr>
        <w:pStyle w:val="SMSubheading"/>
        <w:spacing w:after="120" w:line="480" w:lineRule="auto"/>
        <w:jc w:val="both"/>
        <w:rPr>
          <w:rFonts w:ascii="Arial" w:hAnsi="Arial" w:cs="Arial"/>
          <w:sz w:val="20"/>
          <w:u w:val="none"/>
        </w:rPr>
      </w:pPr>
      <w:r w:rsidRPr="00171D4A">
        <w:rPr>
          <w:rFonts w:ascii="Arial" w:hAnsi="Arial" w:cs="Arial"/>
          <w:sz w:val="20"/>
          <w:u w:val="none"/>
        </w:rPr>
        <w:t>WearAreavs</w:t>
      </w:r>
      <w:r w:rsidR="001713EA" w:rsidRPr="00171D4A">
        <w:rPr>
          <w:rFonts w:ascii="Arial" w:hAnsi="Arial" w:cs="Arial"/>
          <w:sz w:val="20"/>
          <w:u w:val="none"/>
        </w:rPr>
        <w:t>Period</w:t>
      </w:r>
      <w:r w:rsidRPr="00171D4A">
        <w:rPr>
          <w:rFonts w:ascii="Arial" w:hAnsi="Arial" w:cs="Arial"/>
          <w:sz w:val="20"/>
          <w:u w:val="none"/>
        </w:rPr>
        <w:t>comp&lt;-</w:t>
      </w:r>
      <w:proofErr w:type="gramStart"/>
      <w:r w:rsidRPr="00171D4A">
        <w:rPr>
          <w:rFonts w:ascii="Arial" w:hAnsi="Arial" w:cs="Arial"/>
          <w:sz w:val="20"/>
          <w:u w:val="none"/>
        </w:rPr>
        <w:t>adonis(</w:t>
      </w:r>
      <w:proofErr w:type="gramEnd"/>
      <w:r w:rsidRPr="00171D4A">
        <w:rPr>
          <w:rFonts w:ascii="Arial" w:hAnsi="Arial" w:cs="Arial"/>
          <w:sz w:val="20"/>
          <w:u w:val="none"/>
        </w:rPr>
        <w:t>Yperiod2~WAF2$</w:t>
      </w:r>
      <w:r w:rsidR="001713EA" w:rsidRPr="00171D4A">
        <w:rPr>
          <w:rFonts w:ascii="Arial" w:hAnsi="Arial" w:cs="Arial"/>
          <w:sz w:val="20"/>
          <w:u w:val="none"/>
        </w:rPr>
        <w:t>Period</w:t>
      </w:r>
      <w:r w:rsidRPr="00171D4A">
        <w:rPr>
          <w:rFonts w:ascii="Arial" w:hAnsi="Arial" w:cs="Arial"/>
          <w:sz w:val="20"/>
          <w:u w:val="none"/>
        </w:rPr>
        <w:t>,permutations=9999)</w:t>
      </w:r>
    </w:p>
    <w:p w14:paraId="446C1376" w14:textId="3C262E33" w:rsidR="00D64A40" w:rsidRPr="00171D4A" w:rsidRDefault="00D64A40" w:rsidP="00D64A40">
      <w:pPr>
        <w:pStyle w:val="SMSubheading"/>
        <w:spacing w:after="120" w:line="480" w:lineRule="auto"/>
        <w:jc w:val="both"/>
        <w:rPr>
          <w:rFonts w:ascii="Arial" w:hAnsi="Arial" w:cs="Arial"/>
          <w:sz w:val="20"/>
          <w:u w:val="none"/>
        </w:rPr>
      </w:pPr>
      <w:r w:rsidRPr="00171D4A">
        <w:rPr>
          <w:rFonts w:ascii="Arial" w:hAnsi="Arial" w:cs="Arial"/>
          <w:sz w:val="20"/>
          <w:u w:val="none"/>
        </w:rPr>
        <w:t>#</w:t>
      </w:r>
      <w:proofErr w:type="gramStart"/>
      <w:r w:rsidRPr="00171D4A">
        <w:rPr>
          <w:rFonts w:ascii="Arial" w:hAnsi="Arial" w:cs="Arial"/>
          <w:sz w:val="20"/>
          <w:u w:val="none"/>
        </w:rPr>
        <w:t>homogeniety</w:t>
      </w:r>
      <w:proofErr w:type="gramEnd"/>
      <w:r w:rsidRPr="00171D4A">
        <w:rPr>
          <w:rFonts w:ascii="Arial" w:hAnsi="Arial" w:cs="Arial"/>
          <w:sz w:val="20"/>
          <w:u w:val="none"/>
        </w:rPr>
        <w:t xml:space="preserve"> of dispersion </w:t>
      </w:r>
      <w:r w:rsidR="00F049E0" w:rsidRPr="00171D4A">
        <w:rPr>
          <w:rFonts w:ascii="Arial" w:hAnsi="Arial" w:cs="Arial"/>
          <w:sz w:val="20"/>
          <w:u w:val="none"/>
        </w:rPr>
        <w:t xml:space="preserve">test for </w:t>
      </w:r>
      <w:r w:rsidRPr="00171D4A">
        <w:rPr>
          <w:rFonts w:ascii="Arial" w:hAnsi="Arial" w:cs="Arial"/>
          <w:sz w:val="20"/>
          <w:u w:val="none"/>
        </w:rPr>
        <w:t xml:space="preserve">wear </w:t>
      </w:r>
      <w:r w:rsidR="001713EA" w:rsidRPr="00171D4A">
        <w:rPr>
          <w:rFonts w:ascii="Arial" w:hAnsi="Arial" w:cs="Arial"/>
          <w:sz w:val="20"/>
          <w:u w:val="none"/>
        </w:rPr>
        <w:t>area</w:t>
      </w:r>
      <w:r w:rsidRPr="00171D4A">
        <w:rPr>
          <w:rFonts w:ascii="Arial" w:hAnsi="Arial" w:cs="Arial"/>
          <w:sz w:val="20"/>
          <w:u w:val="none"/>
        </w:rPr>
        <w:t xml:space="preserve"> vs </w:t>
      </w:r>
      <w:r w:rsidR="001713EA" w:rsidRPr="00171D4A">
        <w:rPr>
          <w:rFonts w:ascii="Arial" w:hAnsi="Arial" w:cs="Arial"/>
          <w:sz w:val="20"/>
          <w:u w:val="none"/>
        </w:rPr>
        <w:t>period.</w:t>
      </w:r>
    </w:p>
    <w:p w14:paraId="0133819E" w14:textId="691052D6" w:rsidR="00D64A40" w:rsidRPr="00171D4A" w:rsidRDefault="00D64A40" w:rsidP="00D64A40">
      <w:pPr>
        <w:pStyle w:val="SMSubheading"/>
        <w:spacing w:after="120" w:line="480" w:lineRule="auto"/>
        <w:jc w:val="both"/>
        <w:rPr>
          <w:rFonts w:ascii="Arial" w:hAnsi="Arial" w:cs="Arial"/>
          <w:sz w:val="20"/>
          <w:u w:val="none"/>
        </w:rPr>
      </w:pPr>
      <w:r w:rsidRPr="00171D4A">
        <w:rPr>
          <w:rFonts w:ascii="Arial" w:hAnsi="Arial" w:cs="Arial"/>
          <w:sz w:val="20"/>
          <w:u w:val="none"/>
        </w:rPr>
        <w:t>mod2&lt;-</w:t>
      </w:r>
      <w:proofErr w:type="spellStart"/>
      <w:proofErr w:type="gramStart"/>
      <w:r w:rsidRPr="00171D4A">
        <w:rPr>
          <w:rFonts w:ascii="Arial" w:hAnsi="Arial" w:cs="Arial"/>
          <w:sz w:val="20"/>
          <w:u w:val="none"/>
        </w:rPr>
        <w:t>betadisper</w:t>
      </w:r>
      <w:proofErr w:type="spellEnd"/>
      <w:r w:rsidRPr="00171D4A">
        <w:rPr>
          <w:rFonts w:ascii="Arial" w:hAnsi="Arial" w:cs="Arial"/>
          <w:sz w:val="20"/>
          <w:u w:val="none"/>
        </w:rPr>
        <w:t>(</w:t>
      </w:r>
      <w:proofErr w:type="gramEnd"/>
      <w:r w:rsidRPr="00171D4A">
        <w:rPr>
          <w:rFonts w:ascii="Arial" w:hAnsi="Arial" w:cs="Arial"/>
          <w:sz w:val="20"/>
          <w:u w:val="none"/>
        </w:rPr>
        <w:t>Yperiod2,WAF$</w:t>
      </w:r>
      <w:r w:rsidR="001713EA" w:rsidRPr="00171D4A">
        <w:rPr>
          <w:rFonts w:ascii="Arial" w:hAnsi="Arial" w:cs="Arial"/>
          <w:sz w:val="20"/>
          <w:u w:val="none"/>
        </w:rPr>
        <w:t>Period</w:t>
      </w:r>
      <w:r w:rsidRPr="00171D4A">
        <w:rPr>
          <w:rFonts w:ascii="Arial" w:hAnsi="Arial" w:cs="Arial"/>
          <w:sz w:val="20"/>
          <w:u w:val="none"/>
        </w:rPr>
        <w:t xml:space="preserve">, type = c("median"), </w:t>
      </w:r>
      <w:proofErr w:type="spellStart"/>
      <w:r w:rsidRPr="00171D4A">
        <w:rPr>
          <w:rFonts w:ascii="Arial" w:hAnsi="Arial" w:cs="Arial"/>
          <w:sz w:val="20"/>
          <w:u w:val="none"/>
        </w:rPr>
        <w:t>bias.adjust</w:t>
      </w:r>
      <w:proofErr w:type="spellEnd"/>
      <w:r w:rsidRPr="00171D4A">
        <w:rPr>
          <w:rFonts w:ascii="Arial" w:hAnsi="Arial" w:cs="Arial"/>
          <w:sz w:val="20"/>
          <w:u w:val="none"/>
        </w:rPr>
        <w:t xml:space="preserve"> = FALSE, </w:t>
      </w:r>
      <w:proofErr w:type="spellStart"/>
      <w:r w:rsidRPr="00171D4A">
        <w:rPr>
          <w:rFonts w:ascii="Arial" w:hAnsi="Arial" w:cs="Arial"/>
          <w:sz w:val="20"/>
          <w:u w:val="none"/>
        </w:rPr>
        <w:t>sqrt.dist</w:t>
      </w:r>
      <w:proofErr w:type="spellEnd"/>
      <w:r w:rsidRPr="00171D4A">
        <w:rPr>
          <w:rFonts w:ascii="Arial" w:hAnsi="Arial" w:cs="Arial"/>
          <w:sz w:val="20"/>
          <w:u w:val="none"/>
        </w:rPr>
        <w:t xml:space="preserve"> = FALSE, add = FALSE)</w:t>
      </w:r>
    </w:p>
    <w:p w14:paraId="30004585" w14:textId="77777777" w:rsidR="00D64A40" w:rsidRPr="00171D4A" w:rsidRDefault="00D64A40" w:rsidP="00D64A40">
      <w:pPr>
        <w:pStyle w:val="SMSubheading"/>
        <w:spacing w:after="120" w:line="480" w:lineRule="auto"/>
        <w:jc w:val="both"/>
        <w:rPr>
          <w:rFonts w:ascii="Arial" w:hAnsi="Arial" w:cs="Arial"/>
          <w:sz w:val="20"/>
          <w:u w:val="none"/>
        </w:rPr>
      </w:pPr>
      <w:r w:rsidRPr="00171D4A">
        <w:rPr>
          <w:rFonts w:ascii="Arial" w:hAnsi="Arial" w:cs="Arial"/>
          <w:sz w:val="20"/>
          <w:u w:val="none"/>
        </w:rPr>
        <w:t>## Permutation test for F</w:t>
      </w:r>
    </w:p>
    <w:p w14:paraId="1577BEDC" w14:textId="3246D667" w:rsidR="00D64A40" w:rsidRPr="00171D4A" w:rsidRDefault="00D64A40" w:rsidP="00D64A40">
      <w:pPr>
        <w:pStyle w:val="SMSubheading"/>
        <w:spacing w:after="120" w:line="480" w:lineRule="auto"/>
        <w:jc w:val="both"/>
        <w:rPr>
          <w:rFonts w:ascii="Arial" w:hAnsi="Arial" w:cs="Arial"/>
          <w:sz w:val="20"/>
          <w:u w:val="none"/>
        </w:rPr>
      </w:pPr>
      <w:proofErr w:type="spellStart"/>
      <w:r w:rsidRPr="00171D4A">
        <w:rPr>
          <w:rFonts w:ascii="Arial" w:hAnsi="Arial" w:cs="Arial"/>
          <w:sz w:val="20"/>
          <w:u w:val="none"/>
        </w:rPr>
        <w:lastRenderedPageBreak/>
        <w:t>disper_PERMANOVA_WearAreavs</w:t>
      </w:r>
      <w:r w:rsidR="001713EA" w:rsidRPr="00171D4A">
        <w:rPr>
          <w:rFonts w:ascii="Arial" w:hAnsi="Arial" w:cs="Arial"/>
          <w:sz w:val="20"/>
          <w:u w:val="none"/>
        </w:rPr>
        <w:t>Period</w:t>
      </w:r>
      <w:proofErr w:type="spellEnd"/>
      <w:r w:rsidRPr="00171D4A">
        <w:rPr>
          <w:rFonts w:ascii="Arial" w:hAnsi="Arial" w:cs="Arial"/>
          <w:sz w:val="20"/>
          <w:u w:val="none"/>
        </w:rPr>
        <w:t>&lt;-</w:t>
      </w:r>
      <w:proofErr w:type="spellStart"/>
      <w:proofErr w:type="gramStart"/>
      <w:r w:rsidRPr="00171D4A">
        <w:rPr>
          <w:rFonts w:ascii="Arial" w:hAnsi="Arial" w:cs="Arial"/>
          <w:sz w:val="20"/>
          <w:u w:val="none"/>
        </w:rPr>
        <w:t>permutest</w:t>
      </w:r>
      <w:proofErr w:type="spellEnd"/>
      <w:r w:rsidRPr="00171D4A">
        <w:rPr>
          <w:rFonts w:ascii="Arial" w:hAnsi="Arial" w:cs="Arial"/>
          <w:sz w:val="20"/>
          <w:u w:val="none"/>
        </w:rPr>
        <w:t>(</w:t>
      </w:r>
      <w:proofErr w:type="gramEnd"/>
      <w:r w:rsidRPr="00171D4A">
        <w:rPr>
          <w:rFonts w:ascii="Arial" w:hAnsi="Arial" w:cs="Arial"/>
          <w:sz w:val="20"/>
          <w:u w:val="none"/>
        </w:rPr>
        <w:t>mod2, pairwise = TRUE, permutations = 9999)</w:t>
      </w:r>
    </w:p>
    <w:p w14:paraId="629BEE27" w14:textId="5FD000CD" w:rsidR="001713EA" w:rsidRPr="00171D4A" w:rsidRDefault="001713EA" w:rsidP="00D64A40">
      <w:pPr>
        <w:pStyle w:val="SMSubheading"/>
        <w:spacing w:after="120" w:line="480" w:lineRule="auto"/>
        <w:jc w:val="both"/>
        <w:rPr>
          <w:rFonts w:ascii="Arial" w:hAnsi="Arial" w:cs="Arial"/>
          <w:sz w:val="20"/>
          <w:u w:val="none"/>
        </w:rPr>
      </w:pPr>
      <w:r w:rsidRPr="00171D4A">
        <w:rPr>
          <w:rFonts w:ascii="Arial" w:hAnsi="Arial" w:cs="Arial"/>
          <w:sz w:val="20"/>
          <w:u w:val="none"/>
        </w:rPr>
        <w:t>#To perform a site by site pairwise comparison</w:t>
      </w:r>
      <w:r w:rsidR="00F049E0" w:rsidRPr="00171D4A">
        <w:rPr>
          <w:rFonts w:ascii="Arial" w:hAnsi="Arial" w:cs="Arial"/>
          <w:sz w:val="20"/>
          <w:u w:val="none"/>
        </w:rPr>
        <w:t xml:space="preserve"> of wear facet area composition</w:t>
      </w:r>
      <w:r w:rsidRPr="00171D4A">
        <w:rPr>
          <w:rFonts w:ascii="Arial" w:hAnsi="Arial" w:cs="Arial"/>
          <w:sz w:val="20"/>
          <w:u w:val="none"/>
        </w:rPr>
        <w:t>.</w:t>
      </w:r>
    </w:p>
    <w:p w14:paraId="6299879A" w14:textId="0D491F41" w:rsidR="00D64A40" w:rsidRPr="00171D4A" w:rsidRDefault="00D64A40" w:rsidP="00D64A40">
      <w:pPr>
        <w:pStyle w:val="SMSubheading"/>
        <w:spacing w:after="120" w:line="480" w:lineRule="auto"/>
        <w:jc w:val="both"/>
        <w:rPr>
          <w:rFonts w:ascii="Arial" w:hAnsi="Arial" w:cs="Arial"/>
          <w:sz w:val="20"/>
          <w:u w:val="none"/>
        </w:rPr>
      </w:pPr>
      <w:r w:rsidRPr="00171D4A">
        <w:rPr>
          <w:rFonts w:ascii="Arial" w:hAnsi="Arial" w:cs="Arial"/>
          <w:sz w:val="20"/>
          <w:u w:val="none"/>
        </w:rPr>
        <w:t>pairmanWearareasite&lt;-</w:t>
      </w:r>
      <w:proofErr w:type="gramStart"/>
      <w:r w:rsidRPr="00171D4A">
        <w:rPr>
          <w:rFonts w:ascii="Arial" w:hAnsi="Arial" w:cs="Arial"/>
          <w:sz w:val="20"/>
          <w:u w:val="none"/>
        </w:rPr>
        <w:t>pairwise.perm</w:t>
      </w:r>
      <w:proofErr w:type="gramEnd"/>
      <w:r w:rsidRPr="00171D4A">
        <w:rPr>
          <w:rFonts w:ascii="Arial" w:hAnsi="Arial" w:cs="Arial"/>
          <w:sz w:val="20"/>
          <w:u w:val="none"/>
        </w:rPr>
        <w:t>.manova(Yperiod2,fact=WAF$Site,test=c("Pillai"),nperm=9999,p.method="fdr")</w:t>
      </w:r>
    </w:p>
    <w:p w14:paraId="53B68B6C" w14:textId="40C5411F" w:rsidR="00E72E52" w:rsidRDefault="00E72E52" w:rsidP="0085257E">
      <w:pPr>
        <w:pStyle w:val="SMSubheading"/>
        <w:spacing w:after="120" w:line="480" w:lineRule="auto"/>
        <w:jc w:val="both"/>
        <w:rPr>
          <w:rFonts w:ascii="Arial" w:hAnsi="Arial" w:cs="Arial"/>
          <w:b/>
          <w:bCs/>
          <w:sz w:val="36"/>
          <w:szCs w:val="36"/>
          <w:u w:val="none"/>
        </w:rPr>
      </w:pPr>
      <w:r w:rsidRPr="008F1058">
        <w:rPr>
          <w:rFonts w:ascii="Arial" w:hAnsi="Arial" w:cs="Arial"/>
          <w:b/>
          <w:bCs/>
          <w:sz w:val="36"/>
          <w:szCs w:val="36"/>
          <w:u w:val="none"/>
        </w:rPr>
        <w:t>Results</w:t>
      </w:r>
    </w:p>
    <w:p w14:paraId="6A601607" w14:textId="41639631" w:rsidR="00B1142D" w:rsidRDefault="00B1142D" w:rsidP="0085257E">
      <w:pPr>
        <w:pStyle w:val="SMSubheading"/>
        <w:spacing w:after="120" w:line="480" w:lineRule="auto"/>
        <w:jc w:val="both"/>
        <w:rPr>
          <w:rFonts w:ascii="Arial" w:hAnsi="Arial" w:cs="Arial"/>
          <w:sz w:val="20"/>
          <w:u w:val="none"/>
        </w:rPr>
      </w:pPr>
      <w:r>
        <w:rPr>
          <w:rFonts w:ascii="Arial" w:hAnsi="Arial" w:cs="Arial"/>
          <w:sz w:val="20"/>
          <w:u w:val="none"/>
        </w:rPr>
        <w:t xml:space="preserve">The following tables (S1-S4) detail the results of the statistical analysis of the relationship between sex and wear facet expression in the material examined. </w:t>
      </w:r>
    </w:p>
    <w:p w14:paraId="2485AA19" w14:textId="77777777" w:rsidR="00B1142D" w:rsidRPr="00B1142D" w:rsidRDefault="00B1142D" w:rsidP="0085257E">
      <w:pPr>
        <w:pStyle w:val="SMSubheading"/>
        <w:spacing w:after="120" w:line="480" w:lineRule="auto"/>
        <w:jc w:val="both"/>
        <w:rPr>
          <w:rFonts w:ascii="Arial" w:hAnsi="Arial" w:cs="Arial"/>
          <w:sz w:val="20"/>
          <w:u w:val="none"/>
        </w:rPr>
      </w:pPr>
    </w:p>
    <w:p w14:paraId="6E0ECDF0" w14:textId="1FE53251" w:rsidR="00E72E52" w:rsidRPr="00171D4A" w:rsidRDefault="00E72E52" w:rsidP="00E72E52">
      <w:pPr>
        <w:spacing w:after="200"/>
        <w:jc w:val="both"/>
        <w:rPr>
          <w:rFonts w:ascii="Arial" w:eastAsia="Calibri" w:hAnsi="Arial" w:cs="Arial"/>
          <w:i/>
          <w:iCs/>
          <w:color w:val="000000"/>
          <w:sz w:val="20"/>
          <w:lang w:val="en-GB"/>
        </w:rPr>
      </w:pPr>
      <w:bookmarkStart w:id="4" w:name="_Toc70408298"/>
      <w:r w:rsidRPr="00171D4A">
        <w:rPr>
          <w:rFonts w:ascii="Arial" w:eastAsia="Calibri" w:hAnsi="Arial" w:cs="Arial"/>
          <w:i/>
          <w:iCs/>
          <w:color w:val="000000"/>
          <w:sz w:val="20"/>
          <w:lang w:val="en-GB"/>
        </w:rPr>
        <w:t xml:space="preserve">S1 Table: Results of Type I PERMANOVA used to assess the relationship between sex and wear facet area composition among the Industrial assemblages examined. </w:t>
      </w:r>
      <w:r w:rsidRPr="00171D4A">
        <w:rPr>
          <w:rFonts w:ascii="Arial" w:eastAsia="Calibri" w:hAnsi="Arial" w:cs="Arial"/>
          <w:b/>
          <w:bCs/>
          <w:i/>
          <w:iCs/>
          <w:color w:val="000000"/>
          <w:sz w:val="20"/>
          <w:lang w:val="en-GB"/>
        </w:rPr>
        <w:t xml:space="preserve">Null hypothesis: relative wear facet area proportions did not differ significantly between the sexes during the Industrial period. </w:t>
      </w:r>
      <w:bookmarkEnd w:id="4"/>
    </w:p>
    <w:tbl>
      <w:tblPr>
        <w:tblStyle w:val="TableGrid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39"/>
        <w:gridCol w:w="1125"/>
        <w:gridCol w:w="615"/>
        <w:gridCol w:w="750"/>
        <w:gridCol w:w="684"/>
        <w:gridCol w:w="1493"/>
        <w:gridCol w:w="1342"/>
      </w:tblGrid>
      <w:tr w:rsidR="00E72E52" w:rsidRPr="00171D4A" w14:paraId="73930F39" w14:textId="77777777" w:rsidTr="00E72E52">
        <w:tc>
          <w:tcPr>
            <w:tcW w:w="1357" w:type="dxa"/>
            <w:tcBorders>
              <w:top w:val="single" w:sz="12" w:space="0" w:color="auto"/>
              <w:bottom w:val="single" w:sz="12" w:space="0" w:color="auto"/>
            </w:tcBorders>
            <w:shd w:val="clear" w:color="auto" w:fill="auto"/>
          </w:tcPr>
          <w:p w14:paraId="43F91293" w14:textId="4FB1AE3F" w:rsidR="00E72E52" w:rsidRPr="00171D4A" w:rsidRDefault="00E72E52" w:rsidP="00E72E52">
            <w:pPr>
              <w:rPr>
                <w:rFonts w:ascii="Arial" w:hAnsi="Arial" w:cs="Arial"/>
                <w:b/>
                <w:sz w:val="20"/>
                <w:szCs w:val="20"/>
              </w:rPr>
            </w:pPr>
          </w:p>
        </w:tc>
        <w:tc>
          <w:tcPr>
            <w:tcW w:w="1139" w:type="dxa"/>
            <w:tcBorders>
              <w:top w:val="single" w:sz="12" w:space="0" w:color="auto"/>
              <w:bottom w:val="single" w:sz="12" w:space="0" w:color="auto"/>
            </w:tcBorders>
            <w:shd w:val="clear" w:color="auto" w:fill="auto"/>
          </w:tcPr>
          <w:p w14:paraId="454A61A7"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Sum of Squares</w:t>
            </w:r>
          </w:p>
        </w:tc>
        <w:tc>
          <w:tcPr>
            <w:tcW w:w="1125" w:type="dxa"/>
            <w:tcBorders>
              <w:top w:val="single" w:sz="12" w:space="0" w:color="auto"/>
              <w:bottom w:val="single" w:sz="12" w:space="0" w:color="auto"/>
            </w:tcBorders>
            <w:shd w:val="clear" w:color="auto" w:fill="auto"/>
          </w:tcPr>
          <w:p w14:paraId="51910BC0"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Mean of Squares</w:t>
            </w:r>
          </w:p>
        </w:tc>
        <w:tc>
          <w:tcPr>
            <w:tcW w:w="615" w:type="dxa"/>
            <w:tcBorders>
              <w:top w:val="single" w:sz="12" w:space="0" w:color="auto"/>
              <w:bottom w:val="single" w:sz="12" w:space="0" w:color="auto"/>
            </w:tcBorders>
            <w:shd w:val="clear" w:color="auto" w:fill="auto"/>
          </w:tcPr>
          <w:p w14:paraId="447C948C"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DF</w:t>
            </w:r>
          </w:p>
        </w:tc>
        <w:tc>
          <w:tcPr>
            <w:tcW w:w="750" w:type="dxa"/>
            <w:tcBorders>
              <w:top w:val="single" w:sz="12" w:space="0" w:color="auto"/>
              <w:bottom w:val="single" w:sz="12" w:space="0" w:color="auto"/>
            </w:tcBorders>
            <w:shd w:val="clear" w:color="auto" w:fill="auto"/>
          </w:tcPr>
          <w:p w14:paraId="7A5BA9DB"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F</w:t>
            </w:r>
          </w:p>
        </w:tc>
        <w:tc>
          <w:tcPr>
            <w:tcW w:w="684" w:type="dxa"/>
            <w:tcBorders>
              <w:top w:val="single" w:sz="12" w:space="0" w:color="auto"/>
              <w:bottom w:val="single" w:sz="12" w:space="0" w:color="auto"/>
            </w:tcBorders>
            <w:shd w:val="clear" w:color="auto" w:fill="auto"/>
          </w:tcPr>
          <w:p w14:paraId="29901F16" w14:textId="77777777" w:rsidR="00E72E52" w:rsidRPr="00171D4A" w:rsidRDefault="00E72E52" w:rsidP="00E72E52">
            <w:pPr>
              <w:jc w:val="right"/>
              <w:rPr>
                <w:rFonts w:ascii="Arial" w:hAnsi="Arial" w:cs="Arial"/>
                <w:b/>
                <w:sz w:val="20"/>
                <w:szCs w:val="20"/>
              </w:rPr>
            </w:pPr>
          </w:p>
        </w:tc>
        <w:tc>
          <w:tcPr>
            <w:tcW w:w="1493" w:type="dxa"/>
            <w:tcBorders>
              <w:top w:val="single" w:sz="12" w:space="0" w:color="auto"/>
              <w:bottom w:val="single" w:sz="12" w:space="0" w:color="auto"/>
            </w:tcBorders>
            <w:shd w:val="clear" w:color="auto" w:fill="auto"/>
          </w:tcPr>
          <w:p w14:paraId="19055175"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Probability (&gt;F)</w:t>
            </w:r>
          </w:p>
        </w:tc>
        <w:tc>
          <w:tcPr>
            <w:tcW w:w="1342" w:type="dxa"/>
            <w:tcBorders>
              <w:top w:val="single" w:sz="12" w:space="0" w:color="auto"/>
              <w:bottom w:val="single" w:sz="12" w:space="0" w:color="auto"/>
            </w:tcBorders>
            <w:shd w:val="clear" w:color="auto" w:fill="auto"/>
          </w:tcPr>
          <w:p w14:paraId="7C12AD66" w14:textId="77777777" w:rsidR="00E72E52" w:rsidRPr="00171D4A" w:rsidRDefault="00E72E52" w:rsidP="00E72E52">
            <w:pPr>
              <w:jc w:val="right"/>
              <w:rPr>
                <w:rFonts w:ascii="Arial" w:hAnsi="Arial" w:cs="Arial"/>
                <w:b/>
                <w:sz w:val="20"/>
                <w:szCs w:val="20"/>
                <w:vertAlign w:val="subscript"/>
              </w:rPr>
            </w:pPr>
            <w:r w:rsidRPr="00171D4A">
              <w:rPr>
                <w:rFonts w:ascii="Arial" w:hAnsi="Arial" w:cs="Arial"/>
                <w:b/>
                <w:sz w:val="20"/>
                <w:szCs w:val="20"/>
              </w:rPr>
              <w:t>H</w:t>
            </w:r>
            <w:r w:rsidRPr="00171D4A">
              <w:rPr>
                <w:rFonts w:ascii="Arial" w:hAnsi="Arial" w:cs="Arial"/>
                <w:b/>
                <w:sz w:val="20"/>
                <w:szCs w:val="20"/>
                <w:vertAlign w:val="subscript"/>
              </w:rPr>
              <w:t>0</w:t>
            </w:r>
          </w:p>
        </w:tc>
      </w:tr>
      <w:tr w:rsidR="00E72E52" w:rsidRPr="00171D4A" w14:paraId="200FB107" w14:textId="77777777" w:rsidTr="00E72E52">
        <w:trPr>
          <w:trHeight w:val="340"/>
        </w:trPr>
        <w:tc>
          <w:tcPr>
            <w:tcW w:w="1357" w:type="dxa"/>
            <w:tcBorders>
              <w:top w:val="single" w:sz="12" w:space="0" w:color="auto"/>
            </w:tcBorders>
            <w:shd w:val="clear" w:color="auto" w:fill="auto"/>
          </w:tcPr>
          <w:p w14:paraId="6BBBF092" w14:textId="77777777" w:rsidR="00E72E52" w:rsidRPr="00171D4A" w:rsidRDefault="00E72E52" w:rsidP="00E72E52">
            <w:pPr>
              <w:rPr>
                <w:rFonts w:ascii="Arial" w:hAnsi="Arial" w:cs="Arial"/>
                <w:b/>
                <w:sz w:val="20"/>
                <w:szCs w:val="20"/>
              </w:rPr>
            </w:pPr>
            <w:r w:rsidRPr="00171D4A">
              <w:rPr>
                <w:rFonts w:ascii="Arial" w:hAnsi="Arial" w:cs="Arial"/>
                <w:b/>
                <w:sz w:val="20"/>
                <w:szCs w:val="20"/>
              </w:rPr>
              <w:t>Sex</w:t>
            </w:r>
          </w:p>
        </w:tc>
        <w:tc>
          <w:tcPr>
            <w:tcW w:w="1139" w:type="dxa"/>
            <w:tcBorders>
              <w:top w:val="single" w:sz="12" w:space="0" w:color="auto"/>
            </w:tcBorders>
            <w:shd w:val="clear" w:color="auto" w:fill="auto"/>
          </w:tcPr>
          <w:p w14:paraId="2408FC6A"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0.00</w:t>
            </w:r>
          </w:p>
        </w:tc>
        <w:tc>
          <w:tcPr>
            <w:tcW w:w="1125" w:type="dxa"/>
            <w:tcBorders>
              <w:top w:val="single" w:sz="12" w:space="0" w:color="auto"/>
            </w:tcBorders>
            <w:shd w:val="clear" w:color="auto" w:fill="auto"/>
          </w:tcPr>
          <w:p w14:paraId="07C82D3A"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0.00</w:t>
            </w:r>
          </w:p>
        </w:tc>
        <w:tc>
          <w:tcPr>
            <w:tcW w:w="615" w:type="dxa"/>
            <w:tcBorders>
              <w:top w:val="single" w:sz="12" w:space="0" w:color="auto"/>
            </w:tcBorders>
            <w:shd w:val="clear" w:color="auto" w:fill="auto"/>
          </w:tcPr>
          <w:p w14:paraId="257BBED2"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1</w:t>
            </w:r>
          </w:p>
        </w:tc>
        <w:tc>
          <w:tcPr>
            <w:tcW w:w="750" w:type="dxa"/>
            <w:tcBorders>
              <w:top w:val="single" w:sz="12" w:space="0" w:color="auto"/>
            </w:tcBorders>
            <w:shd w:val="clear" w:color="auto" w:fill="auto"/>
          </w:tcPr>
          <w:p w14:paraId="17545356"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0.00</w:t>
            </w:r>
          </w:p>
        </w:tc>
        <w:tc>
          <w:tcPr>
            <w:tcW w:w="684" w:type="dxa"/>
            <w:tcBorders>
              <w:top w:val="single" w:sz="12" w:space="0" w:color="auto"/>
            </w:tcBorders>
            <w:shd w:val="clear" w:color="auto" w:fill="auto"/>
          </w:tcPr>
          <w:p w14:paraId="190DC3F1"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0.00</w:t>
            </w:r>
          </w:p>
        </w:tc>
        <w:tc>
          <w:tcPr>
            <w:tcW w:w="1493" w:type="dxa"/>
            <w:tcBorders>
              <w:top w:val="single" w:sz="12" w:space="0" w:color="auto"/>
            </w:tcBorders>
            <w:shd w:val="clear" w:color="auto" w:fill="auto"/>
          </w:tcPr>
          <w:p w14:paraId="4022A2C8"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1.00</w:t>
            </w:r>
          </w:p>
        </w:tc>
        <w:tc>
          <w:tcPr>
            <w:tcW w:w="1342" w:type="dxa"/>
            <w:vMerge w:val="restart"/>
            <w:tcBorders>
              <w:top w:val="single" w:sz="12" w:space="0" w:color="auto"/>
              <w:bottom w:val="single" w:sz="12" w:space="0" w:color="auto"/>
            </w:tcBorders>
            <w:shd w:val="clear" w:color="auto" w:fill="auto"/>
          </w:tcPr>
          <w:p w14:paraId="0BCBAF45"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Not Rejected</w:t>
            </w:r>
          </w:p>
        </w:tc>
      </w:tr>
      <w:tr w:rsidR="00E72E52" w:rsidRPr="00171D4A" w14:paraId="5503DF0B" w14:textId="77777777" w:rsidTr="00E72E52">
        <w:trPr>
          <w:trHeight w:val="340"/>
        </w:trPr>
        <w:tc>
          <w:tcPr>
            <w:tcW w:w="1357" w:type="dxa"/>
            <w:shd w:val="clear" w:color="auto" w:fill="auto"/>
          </w:tcPr>
          <w:p w14:paraId="15070D8C" w14:textId="77777777" w:rsidR="00E72E52" w:rsidRPr="00171D4A" w:rsidRDefault="00E72E52" w:rsidP="00E72E52">
            <w:pPr>
              <w:rPr>
                <w:rFonts w:ascii="Arial" w:hAnsi="Arial" w:cs="Arial"/>
                <w:b/>
                <w:sz w:val="20"/>
                <w:szCs w:val="20"/>
              </w:rPr>
            </w:pPr>
            <w:r w:rsidRPr="00171D4A">
              <w:rPr>
                <w:rFonts w:ascii="Arial" w:hAnsi="Arial" w:cs="Arial"/>
                <w:b/>
                <w:sz w:val="20"/>
                <w:szCs w:val="20"/>
              </w:rPr>
              <w:t>Residuals</w:t>
            </w:r>
          </w:p>
        </w:tc>
        <w:tc>
          <w:tcPr>
            <w:tcW w:w="1139" w:type="dxa"/>
            <w:shd w:val="clear" w:color="auto" w:fill="auto"/>
          </w:tcPr>
          <w:p w14:paraId="4A9F6995"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47.59</w:t>
            </w:r>
          </w:p>
        </w:tc>
        <w:tc>
          <w:tcPr>
            <w:tcW w:w="1125" w:type="dxa"/>
            <w:shd w:val="clear" w:color="auto" w:fill="auto"/>
          </w:tcPr>
          <w:p w14:paraId="60A25C08"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0.54</w:t>
            </w:r>
          </w:p>
        </w:tc>
        <w:tc>
          <w:tcPr>
            <w:tcW w:w="615" w:type="dxa"/>
            <w:shd w:val="clear" w:color="auto" w:fill="auto"/>
          </w:tcPr>
          <w:p w14:paraId="4FB1961E"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88</w:t>
            </w:r>
          </w:p>
        </w:tc>
        <w:tc>
          <w:tcPr>
            <w:tcW w:w="750" w:type="dxa"/>
            <w:shd w:val="clear" w:color="auto" w:fill="auto"/>
          </w:tcPr>
          <w:p w14:paraId="6AD8D65C" w14:textId="77777777" w:rsidR="00E72E52" w:rsidRPr="00171D4A" w:rsidRDefault="00E72E52" w:rsidP="00E72E52">
            <w:pPr>
              <w:jc w:val="right"/>
              <w:rPr>
                <w:rFonts w:ascii="Arial" w:hAnsi="Arial" w:cs="Arial"/>
                <w:bCs/>
                <w:sz w:val="20"/>
                <w:szCs w:val="20"/>
              </w:rPr>
            </w:pPr>
          </w:p>
        </w:tc>
        <w:tc>
          <w:tcPr>
            <w:tcW w:w="684" w:type="dxa"/>
            <w:shd w:val="clear" w:color="auto" w:fill="auto"/>
          </w:tcPr>
          <w:p w14:paraId="1BA482FB"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1.00</w:t>
            </w:r>
          </w:p>
        </w:tc>
        <w:tc>
          <w:tcPr>
            <w:tcW w:w="1493" w:type="dxa"/>
            <w:shd w:val="clear" w:color="auto" w:fill="auto"/>
          </w:tcPr>
          <w:p w14:paraId="11419EE5" w14:textId="77777777" w:rsidR="00E72E52" w:rsidRPr="00171D4A" w:rsidRDefault="00E72E52" w:rsidP="00E72E52">
            <w:pPr>
              <w:jc w:val="right"/>
              <w:rPr>
                <w:rFonts w:ascii="Arial" w:hAnsi="Arial" w:cs="Arial"/>
                <w:bCs/>
                <w:sz w:val="20"/>
                <w:szCs w:val="20"/>
              </w:rPr>
            </w:pPr>
          </w:p>
        </w:tc>
        <w:tc>
          <w:tcPr>
            <w:tcW w:w="1342" w:type="dxa"/>
            <w:vMerge/>
            <w:tcBorders>
              <w:bottom w:val="single" w:sz="12" w:space="0" w:color="auto"/>
            </w:tcBorders>
            <w:shd w:val="clear" w:color="auto" w:fill="auto"/>
          </w:tcPr>
          <w:p w14:paraId="1D796427" w14:textId="77777777" w:rsidR="00E72E52" w:rsidRPr="00171D4A" w:rsidRDefault="00E72E52" w:rsidP="00E72E52">
            <w:pPr>
              <w:jc w:val="right"/>
              <w:rPr>
                <w:rFonts w:ascii="Arial" w:hAnsi="Arial" w:cs="Arial"/>
                <w:bCs/>
                <w:sz w:val="20"/>
                <w:szCs w:val="20"/>
              </w:rPr>
            </w:pPr>
          </w:p>
        </w:tc>
      </w:tr>
      <w:tr w:rsidR="00E72E52" w:rsidRPr="00171D4A" w14:paraId="7A68D3AD" w14:textId="77777777" w:rsidTr="00E72E52">
        <w:trPr>
          <w:trHeight w:val="340"/>
        </w:trPr>
        <w:tc>
          <w:tcPr>
            <w:tcW w:w="1357" w:type="dxa"/>
            <w:tcBorders>
              <w:bottom w:val="single" w:sz="12" w:space="0" w:color="auto"/>
            </w:tcBorders>
            <w:shd w:val="clear" w:color="auto" w:fill="auto"/>
          </w:tcPr>
          <w:p w14:paraId="10908FA7" w14:textId="77777777" w:rsidR="00E72E52" w:rsidRPr="00171D4A" w:rsidRDefault="00E72E52" w:rsidP="00E72E52">
            <w:pPr>
              <w:rPr>
                <w:rFonts w:ascii="Arial" w:hAnsi="Arial" w:cs="Arial"/>
                <w:b/>
                <w:sz w:val="20"/>
                <w:szCs w:val="20"/>
              </w:rPr>
            </w:pPr>
            <w:r w:rsidRPr="00171D4A">
              <w:rPr>
                <w:rFonts w:ascii="Arial" w:hAnsi="Arial" w:cs="Arial"/>
                <w:b/>
                <w:sz w:val="20"/>
                <w:szCs w:val="20"/>
              </w:rPr>
              <w:t>Total</w:t>
            </w:r>
          </w:p>
        </w:tc>
        <w:tc>
          <w:tcPr>
            <w:tcW w:w="1139" w:type="dxa"/>
            <w:tcBorders>
              <w:bottom w:val="single" w:sz="12" w:space="0" w:color="auto"/>
            </w:tcBorders>
            <w:shd w:val="clear" w:color="auto" w:fill="auto"/>
          </w:tcPr>
          <w:p w14:paraId="14E3A74D"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47.58</w:t>
            </w:r>
          </w:p>
        </w:tc>
        <w:tc>
          <w:tcPr>
            <w:tcW w:w="1125" w:type="dxa"/>
            <w:tcBorders>
              <w:bottom w:val="single" w:sz="12" w:space="0" w:color="auto"/>
            </w:tcBorders>
            <w:shd w:val="clear" w:color="auto" w:fill="auto"/>
          </w:tcPr>
          <w:p w14:paraId="7C960033" w14:textId="77777777" w:rsidR="00E72E52" w:rsidRPr="00171D4A" w:rsidRDefault="00E72E52" w:rsidP="00E72E52">
            <w:pPr>
              <w:jc w:val="right"/>
              <w:rPr>
                <w:rFonts w:ascii="Arial" w:hAnsi="Arial" w:cs="Arial"/>
                <w:bCs/>
                <w:sz w:val="20"/>
                <w:szCs w:val="20"/>
              </w:rPr>
            </w:pPr>
          </w:p>
        </w:tc>
        <w:tc>
          <w:tcPr>
            <w:tcW w:w="615" w:type="dxa"/>
            <w:tcBorders>
              <w:bottom w:val="single" w:sz="12" w:space="0" w:color="auto"/>
            </w:tcBorders>
            <w:shd w:val="clear" w:color="auto" w:fill="auto"/>
          </w:tcPr>
          <w:p w14:paraId="21928C74"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89</w:t>
            </w:r>
          </w:p>
        </w:tc>
        <w:tc>
          <w:tcPr>
            <w:tcW w:w="750" w:type="dxa"/>
            <w:tcBorders>
              <w:bottom w:val="single" w:sz="12" w:space="0" w:color="auto"/>
            </w:tcBorders>
            <w:shd w:val="clear" w:color="auto" w:fill="auto"/>
          </w:tcPr>
          <w:p w14:paraId="0E231596" w14:textId="77777777" w:rsidR="00E72E52" w:rsidRPr="00171D4A" w:rsidRDefault="00E72E52" w:rsidP="00E72E52">
            <w:pPr>
              <w:jc w:val="right"/>
              <w:rPr>
                <w:rFonts w:ascii="Arial" w:hAnsi="Arial" w:cs="Arial"/>
                <w:bCs/>
                <w:sz w:val="20"/>
                <w:szCs w:val="20"/>
              </w:rPr>
            </w:pPr>
          </w:p>
        </w:tc>
        <w:tc>
          <w:tcPr>
            <w:tcW w:w="684" w:type="dxa"/>
            <w:tcBorders>
              <w:bottom w:val="single" w:sz="12" w:space="0" w:color="auto"/>
            </w:tcBorders>
            <w:shd w:val="clear" w:color="auto" w:fill="auto"/>
          </w:tcPr>
          <w:p w14:paraId="72FFCDFE" w14:textId="77777777" w:rsidR="00E72E52" w:rsidRPr="00171D4A" w:rsidRDefault="00E72E52" w:rsidP="00E72E52">
            <w:pPr>
              <w:jc w:val="right"/>
              <w:rPr>
                <w:rFonts w:ascii="Arial" w:hAnsi="Arial" w:cs="Arial"/>
                <w:bCs/>
                <w:sz w:val="20"/>
                <w:szCs w:val="20"/>
              </w:rPr>
            </w:pPr>
          </w:p>
        </w:tc>
        <w:tc>
          <w:tcPr>
            <w:tcW w:w="1493" w:type="dxa"/>
            <w:tcBorders>
              <w:bottom w:val="single" w:sz="12" w:space="0" w:color="auto"/>
            </w:tcBorders>
            <w:shd w:val="clear" w:color="auto" w:fill="auto"/>
          </w:tcPr>
          <w:p w14:paraId="5A8E7372" w14:textId="77777777" w:rsidR="00E72E52" w:rsidRPr="00171D4A" w:rsidRDefault="00E72E52" w:rsidP="00E72E52">
            <w:pPr>
              <w:jc w:val="right"/>
              <w:rPr>
                <w:rFonts w:ascii="Arial" w:hAnsi="Arial" w:cs="Arial"/>
                <w:bCs/>
                <w:sz w:val="20"/>
                <w:szCs w:val="20"/>
              </w:rPr>
            </w:pPr>
          </w:p>
        </w:tc>
        <w:tc>
          <w:tcPr>
            <w:tcW w:w="1342" w:type="dxa"/>
            <w:vMerge/>
            <w:tcBorders>
              <w:bottom w:val="single" w:sz="12" w:space="0" w:color="auto"/>
            </w:tcBorders>
            <w:shd w:val="clear" w:color="auto" w:fill="auto"/>
          </w:tcPr>
          <w:p w14:paraId="25EFC517" w14:textId="77777777" w:rsidR="00E72E52" w:rsidRPr="00171D4A" w:rsidRDefault="00E72E52" w:rsidP="00E72E52">
            <w:pPr>
              <w:jc w:val="right"/>
              <w:rPr>
                <w:rFonts w:ascii="Arial" w:hAnsi="Arial" w:cs="Arial"/>
                <w:bCs/>
                <w:sz w:val="20"/>
                <w:szCs w:val="20"/>
              </w:rPr>
            </w:pPr>
          </w:p>
        </w:tc>
      </w:tr>
    </w:tbl>
    <w:p w14:paraId="3FC81C52" w14:textId="7E1E9ACC" w:rsidR="00B1142D" w:rsidRDefault="00B1142D" w:rsidP="00E72E52">
      <w:pPr>
        <w:spacing w:after="200"/>
        <w:jc w:val="both"/>
        <w:rPr>
          <w:rFonts w:ascii="Arial" w:eastAsia="Calibri" w:hAnsi="Arial" w:cs="Arial"/>
          <w:i/>
          <w:iCs/>
          <w:color w:val="000000"/>
          <w:sz w:val="20"/>
          <w:lang w:val="en-GB"/>
        </w:rPr>
      </w:pPr>
      <w:bookmarkStart w:id="5" w:name="_Toc70408299"/>
    </w:p>
    <w:p w14:paraId="1478ECBC" w14:textId="7204A8D4" w:rsidR="00E72E52" w:rsidRPr="00171D4A" w:rsidRDefault="00B1142D" w:rsidP="00B1142D">
      <w:pPr>
        <w:rPr>
          <w:rFonts w:ascii="Arial" w:eastAsia="Calibri" w:hAnsi="Arial" w:cs="Arial"/>
          <w:i/>
          <w:iCs/>
          <w:color w:val="000000"/>
          <w:sz w:val="20"/>
          <w:lang w:val="en-GB"/>
        </w:rPr>
      </w:pPr>
      <w:r>
        <w:rPr>
          <w:rFonts w:ascii="Arial" w:eastAsia="Calibri" w:hAnsi="Arial" w:cs="Arial"/>
          <w:i/>
          <w:iCs/>
          <w:color w:val="000000"/>
          <w:sz w:val="20"/>
          <w:lang w:val="en-GB"/>
        </w:rPr>
        <w:br w:type="page"/>
      </w:r>
    </w:p>
    <w:p w14:paraId="72001CA5" w14:textId="177A096B" w:rsidR="00E72E52" w:rsidRPr="00171D4A" w:rsidRDefault="00E72E52" w:rsidP="00E72E52">
      <w:pPr>
        <w:spacing w:after="200"/>
        <w:jc w:val="both"/>
        <w:rPr>
          <w:rFonts w:ascii="Arial" w:eastAsia="Calibri" w:hAnsi="Arial" w:cs="Arial"/>
          <w:i/>
          <w:iCs/>
          <w:color w:val="000000"/>
          <w:sz w:val="20"/>
          <w:lang w:val="en-GB"/>
        </w:rPr>
      </w:pPr>
      <w:r w:rsidRPr="00171D4A">
        <w:rPr>
          <w:rFonts w:ascii="Arial" w:eastAsia="Calibri" w:hAnsi="Arial" w:cs="Arial"/>
          <w:i/>
          <w:iCs/>
          <w:color w:val="000000"/>
          <w:sz w:val="20"/>
          <w:lang w:val="en-GB"/>
        </w:rPr>
        <w:lastRenderedPageBreak/>
        <w:t xml:space="preserve">S2 Table. </w:t>
      </w:r>
      <w:bookmarkStart w:id="6" w:name="_Hlk22312051"/>
      <w:r w:rsidRPr="00171D4A">
        <w:rPr>
          <w:rFonts w:ascii="Arial" w:eastAsia="Calibri" w:hAnsi="Arial" w:cs="Arial"/>
          <w:i/>
          <w:iCs/>
          <w:color w:val="000000"/>
          <w:sz w:val="20"/>
          <w:lang w:val="en-GB"/>
        </w:rPr>
        <w:t>Results of Independent sample t-tests to assess whether dip angles differed significantly between the sexes in the Industrial material examined. All data were normally distributed (Shapiro-Wilk p&gt;0.05) and exhibited homogeneity of variance (</w:t>
      </w:r>
      <w:proofErr w:type="spellStart"/>
      <w:r w:rsidRPr="00171D4A">
        <w:rPr>
          <w:rFonts w:ascii="Arial" w:eastAsia="Calibri" w:hAnsi="Arial" w:cs="Arial"/>
          <w:i/>
          <w:iCs/>
          <w:color w:val="000000"/>
          <w:sz w:val="20"/>
          <w:lang w:val="en-GB"/>
        </w:rPr>
        <w:t>Levene’s</w:t>
      </w:r>
      <w:proofErr w:type="spellEnd"/>
      <w:r w:rsidRPr="00171D4A">
        <w:rPr>
          <w:rFonts w:ascii="Arial" w:eastAsia="Calibri" w:hAnsi="Arial" w:cs="Arial"/>
          <w:i/>
          <w:iCs/>
          <w:color w:val="000000"/>
          <w:sz w:val="20"/>
          <w:lang w:val="en-GB"/>
        </w:rPr>
        <w:t xml:space="preserve"> test p&gt;0.05).</w:t>
      </w:r>
      <w:bookmarkEnd w:id="6"/>
      <w:r w:rsidRPr="00171D4A">
        <w:rPr>
          <w:rFonts w:ascii="Arial" w:eastAsia="Calibri" w:hAnsi="Arial" w:cs="Arial"/>
          <w:i/>
          <w:iCs/>
          <w:color w:val="000000"/>
          <w:sz w:val="20"/>
          <w:lang w:val="en-GB"/>
        </w:rPr>
        <w:t xml:space="preserve"> </w:t>
      </w:r>
      <w:r w:rsidRPr="00171D4A">
        <w:rPr>
          <w:rFonts w:ascii="Arial" w:eastAsia="Calibri" w:hAnsi="Arial" w:cs="Arial"/>
          <w:b/>
          <w:bCs/>
          <w:i/>
          <w:iCs/>
          <w:color w:val="000000"/>
          <w:sz w:val="20"/>
          <w:lang w:val="en-GB"/>
        </w:rPr>
        <w:t>Null hypothesis: there were no significant differences in dip angle between the sexes for any wear facet type.</w:t>
      </w:r>
      <w:r w:rsidRPr="00171D4A">
        <w:rPr>
          <w:rFonts w:ascii="Arial" w:eastAsia="Calibri" w:hAnsi="Arial" w:cs="Arial"/>
          <w:i/>
          <w:iCs/>
          <w:color w:val="000000"/>
          <w:sz w:val="20"/>
          <w:lang w:val="en-GB"/>
        </w:rPr>
        <w:t xml:space="preserve"> *Bonferroni adjusted p-value=0.017.</w:t>
      </w:r>
      <w:bookmarkEnd w:id="5"/>
    </w:p>
    <w:tbl>
      <w:tblPr>
        <w:tblW w:w="8505" w:type="dxa"/>
        <w:tblLook w:val="04A0" w:firstRow="1" w:lastRow="0" w:firstColumn="1" w:lastColumn="0" w:noHBand="0" w:noVBand="1"/>
      </w:tblPr>
      <w:tblGrid>
        <w:gridCol w:w="3306"/>
        <w:gridCol w:w="1733"/>
        <w:gridCol w:w="1733"/>
        <w:gridCol w:w="1733"/>
      </w:tblGrid>
      <w:tr w:rsidR="00E72E52" w:rsidRPr="00171D4A" w14:paraId="151C1FC2" w14:textId="77777777" w:rsidTr="001B734D">
        <w:trPr>
          <w:trHeight w:val="420"/>
        </w:trPr>
        <w:tc>
          <w:tcPr>
            <w:tcW w:w="1920" w:type="dxa"/>
            <w:tcBorders>
              <w:top w:val="single" w:sz="12" w:space="0" w:color="auto"/>
              <w:bottom w:val="single" w:sz="12" w:space="0" w:color="auto"/>
            </w:tcBorders>
            <w:shd w:val="clear" w:color="auto" w:fill="auto"/>
            <w:vAlign w:val="center"/>
            <w:hideMark/>
          </w:tcPr>
          <w:p w14:paraId="0957E22D"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Wear Facet Type</w:t>
            </w:r>
          </w:p>
        </w:tc>
        <w:tc>
          <w:tcPr>
            <w:tcW w:w="960" w:type="dxa"/>
            <w:tcBorders>
              <w:top w:val="single" w:sz="12" w:space="0" w:color="auto"/>
              <w:bottom w:val="single" w:sz="12" w:space="0" w:color="auto"/>
            </w:tcBorders>
            <w:shd w:val="clear" w:color="auto" w:fill="auto"/>
            <w:vAlign w:val="center"/>
            <w:hideMark/>
          </w:tcPr>
          <w:p w14:paraId="0B8C921F" w14:textId="77777777" w:rsidR="00E72E52" w:rsidRPr="00171D4A" w:rsidRDefault="00E72E52" w:rsidP="00E72E52">
            <w:pPr>
              <w:jc w:val="right"/>
              <w:rPr>
                <w:rFonts w:ascii="Arial" w:eastAsia="Calibri" w:hAnsi="Arial" w:cs="Arial"/>
                <w:b/>
                <w:sz w:val="20"/>
                <w:lang w:val="en-GB" w:eastAsia="en-GB"/>
              </w:rPr>
            </w:pPr>
            <w:r w:rsidRPr="00171D4A">
              <w:rPr>
                <w:rFonts w:ascii="Arial" w:eastAsia="Calibri" w:hAnsi="Arial" w:cs="Arial"/>
                <w:b/>
                <w:sz w:val="20"/>
                <w:lang w:val="en-GB" w:eastAsia="en-GB"/>
              </w:rPr>
              <w:t>BPI</w:t>
            </w:r>
          </w:p>
        </w:tc>
        <w:tc>
          <w:tcPr>
            <w:tcW w:w="960" w:type="dxa"/>
            <w:tcBorders>
              <w:top w:val="single" w:sz="12" w:space="0" w:color="auto"/>
              <w:bottom w:val="single" w:sz="12" w:space="0" w:color="auto"/>
            </w:tcBorders>
            <w:shd w:val="clear" w:color="auto" w:fill="auto"/>
            <w:vAlign w:val="center"/>
            <w:hideMark/>
          </w:tcPr>
          <w:p w14:paraId="2ACE6476" w14:textId="77777777" w:rsidR="00E72E52" w:rsidRPr="00171D4A" w:rsidRDefault="00E72E52" w:rsidP="00E72E52">
            <w:pPr>
              <w:jc w:val="right"/>
              <w:rPr>
                <w:rFonts w:ascii="Arial" w:eastAsia="Calibri" w:hAnsi="Arial" w:cs="Arial"/>
                <w:b/>
                <w:sz w:val="20"/>
                <w:lang w:val="en-GB" w:eastAsia="en-GB"/>
              </w:rPr>
            </w:pPr>
            <w:r w:rsidRPr="00171D4A">
              <w:rPr>
                <w:rFonts w:ascii="Arial" w:eastAsia="Calibri" w:hAnsi="Arial" w:cs="Arial"/>
                <w:b/>
                <w:sz w:val="20"/>
                <w:lang w:val="en-GB" w:eastAsia="en-GB"/>
              </w:rPr>
              <w:t>LPI</w:t>
            </w:r>
          </w:p>
        </w:tc>
        <w:tc>
          <w:tcPr>
            <w:tcW w:w="960" w:type="dxa"/>
            <w:tcBorders>
              <w:top w:val="single" w:sz="12" w:space="0" w:color="auto"/>
              <w:bottom w:val="single" w:sz="12" w:space="0" w:color="auto"/>
            </w:tcBorders>
            <w:shd w:val="clear" w:color="auto" w:fill="auto"/>
            <w:vAlign w:val="center"/>
            <w:hideMark/>
          </w:tcPr>
          <w:p w14:paraId="4AF0DB5B" w14:textId="77777777" w:rsidR="00E72E52" w:rsidRPr="00171D4A" w:rsidRDefault="00E72E52" w:rsidP="00E72E52">
            <w:pPr>
              <w:jc w:val="right"/>
              <w:rPr>
                <w:rFonts w:ascii="Arial" w:eastAsia="Calibri" w:hAnsi="Arial" w:cs="Arial"/>
                <w:b/>
                <w:sz w:val="20"/>
                <w:lang w:val="en-GB" w:eastAsia="en-GB"/>
              </w:rPr>
            </w:pPr>
            <w:r w:rsidRPr="00171D4A">
              <w:rPr>
                <w:rFonts w:ascii="Arial" w:eastAsia="Calibri" w:hAnsi="Arial" w:cs="Arial"/>
                <w:b/>
                <w:sz w:val="20"/>
                <w:lang w:val="en-GB" w:eastAsia="en-GB"/>
              </w:rPr>
              <w:t>PII</w:t>
            </w:r>
          </w:p>
        </w:tc>
      </w:tr>
      <w:tr w:rsidR="00E72E52" w:rsidRPr="00171D4A" w14:paraId="4BCBF6EC" w14:textId="77777777" w:rsidTr="001B734D">
        <w:trPr>
          <w:trHeight w:val="340"/>
        </w:trPr>
        <w:tc>
          <w:tcPr>
            <w:tcW w:w="1920" w:type="dxa"/>
            <w:tcBorders>
              <w:top w:val="single" w:sz="12" w:space="0" w:color="auto"/>
            </w:tcBorders>
            <w:shd w:val="clear" w:color="auto" w:fill="auto"/>
            <w:vAlign w:val="center"/>
            <w:hideMark/>
          </w:tcPr>
          <w:p w14:paraId="72FB05F4"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Female Mean (⁰)</w:t>
            </w:r>
          </w:p>
        </w:tc>
        <w:tc>
          <w:tcPr>
            <w:tcW w:w="960" w:type="dxa"/>
            <w:tcBorders>
              <w:top w:val="single" w:sz="12" w:space="0" w:color="auto"/>
            </w:tcBorders>
            <w:shd w:val="clear" w:color="auto" w:fill="auto"/>
            <w:vAlign w:val="center"/>
            <w:hideMark/>
          </w:tcPr>
          <w:p w14:paraId="23204F7D"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31.39</w:t>
            </w:r>
          </w:p>
        </w:tc>
        <w:tc>
          <w:tcPr>
            <w:tcW w:w="960" w:type="dxa"/>
            <w:tcBorders>
              <w:top w:val="single" w:sz="12" w:space="0" w:color="auto"/>
            </w:tcBorders>
            <w:shd w:val="clear" w:color="auto" w:fill="auto"/>
            <w:vAlign w:val="center"/>
            <w:hideMark/>
          </w:tcPr>
          <w:p w14:paraId="29962CFA"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32.3</w:t>
            </w:r>
          </w:p>
        </w:tc>
        <w:tc>
          <w:tcPr>
            <w:tcW w:w="960" w:type="dxa"/>
            <w:tcBorders>
              <w:top w:val="single" w:sz="12" w:space="0" w:color="auto"/>
            </w:tcBorders>
            <w:shd w:val="clear" w:color="auto" w:fill="auto"/>
            <w:vAlign w:val="center"/>
            <w:hideMark/>
          </w:tcPr>
          <w:p w14:paraId="01484000"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27.24</w:t>
            </w:r>
          </w:p>
        </w:tc>
      </w:tr>
      <w:tr w:rsidR="00E72E52" w:rsidRPr="00171D4A" w14:paraId="41E1E9AB" w14:textId="77777777" w:rsidTr="001B734D">
        <w:trPr>
          <w:trHeight w:val="340"/>
        </w:trPr>
        <w:tc>
          <w:tcPr>
            <w:tcW w:w="1920" w:type="dxa"/>
            <w:shd w:val="clear" w:color="auto" w:fill="auto"/>
            <w:vAlign w:val="center"/>
            <w:hideMark/>
          </w:tcPr>
          <w:p w14:paraId="6ACC9B0B"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Standard Deviation</w:t>
            </w:r>
          </w:p>
        </w:tc>
        <w:tc>
          <w:tcPr>
            <w:tcW w:w="960" w:type="dxa"/>
            <w:shd w:val="clear" w:color="auto" w:fill="auto"/>
            <w:vAlign w:val="center"/>
            <w:hideMark/>
          </w:tcPr>
          <w:p w14:paraId="4664DC19"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9.43</w:t>
            </w:r>
          </w:p>
        </w:tc>
        <w:tc>
          <w:tcPr>
            <w:tcW w:w="960" w:type="dxa"/>
            <w:shd w:val="clear" w:color="auto" w:fill="auto"/>
            <w:vAlign w:val="center"/>
            <w:hideMark/>
          </w:tcPr>
          <w:p w14:paraId="265C8286"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7.58</w:t>
            </w:r>
          </w:p>
        </w:tc>
        <w:tc>
          <w:tcPr>
            <w:tcW w:w="960" w:type="dxa"/>
            <w:shd w:val="clear" w:color="auto" w:fill="auto"/>
            <w:vAlign w:val="center"/>
            <w:hideMark/>
          </w:tcPr>
          <w:p w14:paraId="4608278B"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8.46</w:t>
            </w:r>
          </w:p>
        </w:tc>
      </w:tr>
      <w:tr w:rsidR="00E72E52" w:rsidRPr="00171D4A" w14:paraId="6C964B39" w14:textId="77777777" w:rsidTr="001B734D">
        <w:trPr>
          <w:trHeight w:val="340"/>
        </w:trPr>
        <w:tc>
          <w:tcPr>
            <w:tcW w:w="1920" w:type="dxa"/>
            <w:shd w:val="clear" w:color="auto" w:fill="auto"/>
            <w:vAlign w:val="center"/>
            <w:hideMark/>
          </w:tcPr>
          <w:p w14:paraId="12CE2DB9"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Male Mean (⁰)</w:t>
            </w:r>
          </w:p>
        </w:tc>
        <w:tc>
          <w:tcPr>
            <w:tcW w:w="960" w:type="dxa"/>
            <w:shd w:val="clear" w:color="auto" w:fill="auto"/>
            <w:vAlign w:val="center"/>
            <w:hideMark/>
          </w:tcPr>
          <w:p w14:paraId="0ABCDB91"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29.64</w:t>
            </w:r>
          </w:p>
        </w:tc>
        <w:tc>
          <w:tcPr>
            <w:tcW w:w="960" w:type="dxa"/>
            <w:shd w:val="clear" w:color="auto" w:fill="auto"/>
            <w:vAlign w:val="center"/>
            <w:hideMark/>
          </w:tcPr>
          <w:p w14:paraId="0A3FF67D"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29.74</w:t>
            </w:r>
          </w:p>
        </w:tc>
        <w:tc>
          <w:tcPr>
            <w:tcW w:w="960" w:type="dxa"/>
            <w:shd w:val="clear" w:color="auto" w:fill="auto"/>
            <w:vAlign w:val="center"/>
            <w:hideMark/>
          </w:tcPr>
          <w:p w14:paraId="52DFBE59"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25.22</w:t>
            </w:r>
          </w:p>
        </w:tc>
      </w:tr>
      <w:tr w:rsidR="00E72E52" w:rsidRPr="00171D4A" w14:paraId="2DA82CA7" w14:textId="77777777" w:rsidTr="001B734D">
        <w:trPr>
          <w:trHeight w:val="340"/>
        </w:trPr>
        <w:tc>
          <w:tcPr>
            <w:tcW w:w="1920" w:type="dxa"/>
            <w:tcBorders>
              <w:bottom w:val="single" w:sz="12" w:space="0" w:color="auto"/>
            </w:tcBorders>
            <w:shd w:val="clear" w:color="auto" w:fill="auto"/>
            <w:vAlign w:val="center"/>
            <w:hideMark/>
          </w:tcPr>
          <w:p w14:paraId="5CD0C350"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Standard Deviation</w:t>
            </w:r>
          </w:p>
        </w:tc>
        <w:tc>
          <w:tcPr>
            <w:tcW w:w="960" w:type="dxa"/>
            <w:tcBorders>
              <w:bottom w:val="single" w:sz="12" w:space="0" w:color="auto"/>
            </w:tcBorders>
            <w:shd w:val="clear" w:color="auto" w:fill="auto"/>
            <w:vAlign w:val="center"/>
            <w:hideMark/>
          </w:tcPr>
          <w:p w14:paraId="4FE1CCC5"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9.55</w:t>
            </w:r>
          </w:p>
        </w:tc>
        <w:tc>
          <w:tcPr>
            <w:tcW w:w="960" w:type="dxa"/>
            <w:tcBorders>
              <w:bottom w:val="single" w:sz="12" w:space="0" w:color="auto"/>
            </w:tcBorders>
            <w:shd w:val="clear" w:color="auto" w:fill="auto"/>
            <w:vAlign w:val="center"/>
            <w:hideMark/>
          </w:tcPr>
          <w:p w14:paraId="2479934F"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7.21</w:t>
            </w:r>
          </w:p>
        </w:tc>
        <w:tc>
          <w:tcPr>
            <w:tcW w:w="960" w:type="dxa"/>
            <w:tcBorders>
              <w:bottom w:val="single" w:sz="12" w:space="0" w:color="auto"/>
            </w:tcBorders>
            <w:shd w:val="clear" w:color="auto" w:fill="auto"/>
            <w:vAlign w:val="center"/>
            <w:hideMark/>
          </w:tcPr>
          <w:p w14:paraId="67150D32"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8.18</w:t>
            </w:r>
          </w:p>
        </w:tc>
      </w:tr>
      <w:tr w:rsidR="00E72E52" w:rsidRPr="00171D4A" w14:paraId="3987BF47" w14:textId="77777777" w:rsidTr="001B734D">
        <w:trPr>
          <w:trHeight w:val="340"/>
        </w:trPr>
        <w:tc>
          <w:tcPr>
            <w:tcW w:w="1920" w:type="dxa"/>
            <w:tcBorders>
              <w:top w:val="single" w:sz="12" w:space="0" w:color="auto"/>
            </w:tcBorders>
            <w:shd w:val="clear" w:color="auto" w:fill="auto"/>
            <w:vAlign w:val="center"/>
            <w:hideMark/>
          </w:tcPr>
          <w:p w14:paraId="27C5D551"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t-value</w:t>
            </w:r>
          </w:p>
        </w:tc>
        <w:tc>
          <w:tcPr>
            <w:tcW w:w="960" w:type="dxa"/>
            <w:tcBorders>
              <w:top w:val="single" w:sz="12" w:space="0" w:color="auto"/>
            </w:tcBorders>
            <w:shd w:val="clear" w:color="auto" w:fill="auto"/>
            <w:vAlign w:val="center"/>
            <w:hideMark/>
          </w:tcPr>
          <w:p w14:paraId="6B954550"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0.87</w:t>
            </w:r>
          </w:p>
        </w:tc>
        <w:tc>
          <w:tcPr>
            <w:tcW w:w="960" w:type="dxa"/>
            <w:tcBorders>
              <w:top w:val="single" w:sz="12" w:space="0" w:color="auto"/>
            </w:tcBorders>
            <w:shd w:val="clear" w:color="auto" w:fill="auto"/>
            <w:vAlign w:val="center"/>
            <w:hideMark/>
          </w:tcPr>
          <w:p w14:paraId="5890F370"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1.63</w:t>
            </w:r>
          </w:p>
        </w:tc>
        <w:tc>
          <w:tcPr>
            <w:tcW w:w="960" w:type="dxa"/>
            <w:tcBorders>
              <w:top w:val="single" w:sz="12" w:space="0" w:color="auto"/>
            </w:tcBorders>
            <w:shd w:val="clear" w:color="auto" w:fill="auto"/>
            <w:vAlign w:val="center"/>
            <w:hideMark/>
          </w:tcPr>
          <w:p w14:paraId="4BD806C0"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1.14</w:t>
            </w:r>
          </w:p>
        </w:tc>
      </w:tr>
      <w:tr w:rsidR="00E72E52" w:rsidRPr="00171D4A" w14:paraId="6A6642AA" w14:textId="77777777" w:rsidTr="001B734D">
        <w:trPr>
          <w:trHeight w:val="340"/>
        </w:trPr>
        <w:tc>
          <w:tcPr>
            <w:tcW w:w="1920" w:type="dxa"/>
            <w:shd w:val="clear" w:color="auto" w:fill="auto"/>
            <w:vAlign w:val="center"/>
            <w:hideMark/>
          </w:tcPr>
          <w:p w14:paraId="27C1E43B"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Degrees of Freedom</w:t>
            </w:r>
          </w:p>
        </w:tc>
        <w:tc>
          <w:tcPr>
            <w:tcW w:w="960" w:type="dxa"/>
            <w:shd w:val="clear" w:color="auto" w:fill="auto"/>
            <w:vAlign w:val="center"/>
            <w:hideMark/>
          </w:tcPr>
          <w:p w14:paraId="545D7251"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77.26</w:t>
            </w:r>
          </w:p>
        </w:tc>
        <w:tc>
          <w:tcPr>
            <w:tcW w:w="960" w:type="dxa"/>
            <w:shd w:val="clear" w:color="auto" w:fill="auto"/>
            <w:vAlign w:val="center"/>
            <w:hideMark/>
          </w:tcPr>
          <w:p w14:paraId="1FF760D3"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74.03</w:t>
            </w:r>
          </w:p>
        </w:tc>
        <w:tc>
          <w:tcPr>
            <w:tcW w:w="960" w:type="dxa"/>
            <w:shd w:val="clear" w:color="auto" w:fill="auto"/>
            <w:vAlign w:val="center"/>
            <w:hideMark/>
          </w:tcPr>
          <w:p w14:paraId="704A387F"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78.8</w:t>
            </w:r>
          </w:p>
        </w:tc>
      </w:tr>
      <w:tr w:rsidR="00E72E52" w:rsidRPr="00171D4A" w14:paraId="0406159F" w14:textId="77777777" w:rsidTr="001B734D">
        <w:trPr>
          <w:trHeight w:val="340"/>
        </w:trPr>
        <w:tc>
          <w:tcPr>
            <w:tcW w:w="1920" w:type="dxa"/>
            <w:shd w:val="clear" w:color="auto" w:fill="auto"/>
            <w:vAlign w:val="center"/>
            <w:hideMark/>
          </w:tcPr>
          <w:p w14:paraId="70186E90"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p value*</w:t>
            </w:r>
          </w:p>
        </w:tc>
        <w:tc>
          <w:tcPr>
            <w:tcW w:w="960" w:type="dxa"/>
            <w:shd w:val="clear" w:color="auto" w:fill="auto"/>
            <w:vAlign w:val="center"/>
            <w:hideMark/>
          </w:tcPr>
          <w:p w14:paraId="74567F59"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0.39</w:t>
            </w:r>
          </w:p>
        </w:tc>
        <w:tc>
          <w:tcPr>
            <w:tcW w:w="960" w:type="dxa"/>
            <w:shd w:val="clear" w:color="auto" w:fill="auto"/>
            <w:vAlign w:val="center"/>
            <w:hideMark/>
          </w:tcPr>
          <w:p w14:paraId="35606F0C"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0.11</w:t>
            </w:r>
          </w:p>
        </w:tc>
        <w:tc>
          <w:tcPr>
            <w:tcW w:w="960" w:type="dxa"/>
            <w:shd w:val="clear" w:color="auto" w:fill="auto"/>
            <w:vAlign w:val="center"/>
            <w:hideMark/>
          </w:tcPr>
          <w:p w14:paraId="4F90E09F"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0.26</w:t>
            </w:r>
          </w:p>
        </w:tc>
      </w:tr>
      <w:tr w:rsidR="00E72E52" w:rsidRPr="00171D4A" w14:paraId="245D9BB7" w14:textId="77777777" w:rsidTr="001B734D">
        <w:trPr>
          <w:trHeight w:val="340"/>
        </w:trPr>
        <w:tc>
          <w:tcPr>
            <w:tcW w:w="1920" w:type="dxa"/>
            <w:shd w:val="clear" w:color="auto" w:fill="auto"/>
            <w:vAlign w:val="center"/>
            <w:hideMark/>
          </w:tcPr>
          <w:p w14:paraId="787830C7"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Effect size</w:t>
            </w:r>
          </w:p>
        </w:tc>
        <w:tc>
          <w:tcPr>
            <w:tcW w:w="960" w:type="dxa"/>
            <w:shd w:val="clear" w:color="auto" w:fill="auto"/>
            <w:vAlign w:val="center"/>
            <w:hideMark/>
          </w:tcPr>
          <w:p w14:paraId="35F42F17"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0.19</w:t>
            </w:r>
          </w:p>
        </w:tc>
        <w:tc>
          <w:tcPr>
            <w:tcW w:w="960" w:type="dxa"/>
            <w:shd w:val="clear" w:color="auto" w:fill="auto"/>
            <w:vAlign w:val="center"/>
            <w:hideMark/>
          </w:tcPr>
          <w:p w14:paraId="73BF554D"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0.35</w:t>
            </w:r>
          </w:p>
        </w:tc>
        <w:tc>
          <w:tcPr>
            <w:tcW w:w="960" w:type="dxa"/>
            <w:shd w:val="clear" w:color="auto" w:fill="auto"/>
            <w:vAlign w:val="center"/>
            <w:hideMark/>
          </w:tcPr>
          <w:p w14:paraId="0E3863E9"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0.24</w:t>
            </w:r>
          </w:p>
        </w:tc>
      </w:tr>
      <w:tr w:rsidR="00E72E52" w:rsidRPr="00171D4A" w14:paraId="5EBAC678" w14:textId="77777777" w:rsidTr="001B734D">
        <w:trPr>
          <w:trHeight w:val="340"/>
        </w:trPr>
        <w:tc>
          <w:tcPr>
            <w:tcW w:w="1920" w:type="dxa"/>
            <w:shd w:val="clear" w:color="auto" w:fill="auto"/>
            <w:vAlign w:val="center"/>
            <w:hideMark/>
          </w:tcPr>
          <w:p w14:paraId="362B8C8E"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95% CI Effect Size</w:t>
            </w:r>
          </w:p>
        </w:tc>
        <w:tc>
          <w:tcPr>
            <w:tcW w:w="960" w:type="dxa"/>
            <w:shd w:val="clear" w:color="auto" w:fill="auto"/>
            <w:vAlign w:val="center"/>
            <w:hideMark/>
          </w:tcPr>
          <w:p w14:paraId="3FBBEB98"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-0.23 to 0.61</w:t>
            </w:r>
          </w:p>
        </w:tc>
        <w:tc>
          <w:tcPr>
            <w:tcW w:w="960" w:type="dxa"/>
            <w:shd w:val="clear" w:color="auto" w:fill="auto"/>
            <w:vAlign w:val="center"/>
            <w:hideMark/>
          </w:tcPr>
          <w:p w14:paraId="2749EF0D"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-0.08 to 0.79</w:t>
            </w:r>
          </w:p>
        </w:tc>
        <w:tc>
          <w:tcPr>
            <w:tcW w:w="960" w:type="dxa"/>
            <w:shd w:val="clear" w:color="auto" w:fill="auto"/>
            <w:vAlign w:val="center"/>
            <w:hideMark/>
          </w:tcPr>
          <w:p w14:paraId="5A648E7A"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-0.18 to 0.67</w:t>
            </w:r>
          </w:p>
        </w:tc>
      </w:tr>
      <w:tr w:rsidR="00E72E52" w:rsidRPr="00171D4A" w14:paraId="48A07A17" w14:textId="77777777" w:rsidTr="001B734D">
        <w:trPr>
          <w:trHeight w:val="340"/>
        </w:trPr>
        <w:tc>
          <w:tcPr>
            <w:tcW w:w="1920" w:type="dxa"/>
            <w:tcBorders>
              <w:bottom w:val="single" w:sz="12" w:space="0" w:color="auto"/>
            </w:tcBorders>
            <w:shd w:val="clear" w:color="auto" w:fill="auto"/>
            <w:vAlign w:val="center"/>
            <w:hideMark/>
          </w:tcPr>
          <w:p w14:paraId="3E5CD5DE"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eastAsia="en-GB"/>
              </w:rPr>
              <w:t>Statistical Power</w:t>
            </w:r>
          </w:p>
        </w:tc>
        <w:tc>
          <w:tcPr>
            <w:tcW w:w="960" w:type="dxa"/>
            <w:tcBorders>
              <w:bottom w:val="single" w:sz="12" w:space="0" w:color="auto"/>
            </w:tcBorders>
            <w:shd w:val="clear" w:color="auto" w:fill="auto"/>
            <w:vAlign w:val="center"/>
            <w:hideMark/>
          </w:tcPr>
          <w:p w14:paraId="0A856B2F"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0.14</w:t>
            </w:r>
          </w:p>
        </w:tc>
        <w:tc>
          <w:tcPr>
            <w:tcW w:w="960" w:type="dxa"/>
            <w:tcBorders>
              <w:bottom w:val="single" w:sz="12" w:space="0" w:color="auto"/>
            </w:tcBorders>
            <w:shd w:val="clear" w:color="auto" w:fill="auto"/>
            <w:vAlign w:val="center"/>
            <w:hideMark/>
          </w:tcPr>
          <w:p w14:paraId="3B6DB321"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0.37</w:t>
            </w:r>
          </w:p>
        </w:tc>
        <w:tc>
          <w:tcPr>
            <w:tcW w:w="960" w:type="dxa"/>
            <w:tcBorders>
              <w:bottom w:val="single" w:sz="12" w:space="0" w:color="auto"/>
            </w:tcBorders>
            <w:shd w:val="clear" w:color="auto" w:fill="auto"/>
            <w:vAlign w:val="center"/>
            <w:hideMark/>
          </w:tcPr>
          <w:p w14:paraId="7A7DD6A5"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0.20</w:t>
            </w:r>
          </w:p>
        </w:tc>
      </w:tr>
      <w:tr w:rsidR="00E72E52" w:rsidRPr="00171D4A" w14:paraId="614FFE31" w14:textId="77777777" w:rsidTr="001B734D">
        <w:trPr>
          <w:trHeight w:val="432"/>
        </w:trPr>
        <w:tc>
          <w:tcPr>
            <w:tcW w:w="1920" w:type="dxa"/>
            <w:tcBorders>
              <w:top w:val="single" w:sz="12" w:space="0" w:color="auto"/>
              <w:bottom w:val="single" w:sz="12" w:space="0" w:color="auto"/>
            </w:tcBorders>
            <w:shd w:val="clear" w:color="auto" w:fill="auto"/>
            <w:vAlign w:val="center"/>
            <w:hideMark/>
          </w:tcPr>
          <w:p w14:paraId="4F78B1D3" w14:textId="77777777" w:rsidR="00E72E52" w:rsidRPr="00171D4A" w:rsidRDefault="00E72E52" w:rsidP="00E72E52">
            <w:pPr>
              <w:rPr>
                <w:rFonts w:ascii="Arial" w:eastAsia="Calibri" w:hAnsi="Arial" w:cs="Arial"/>
                <w:b/>
                <w:sz w:val="20"/>
                <w:lang w:val="en-GB" w:eastAsia="en-GB"/>
              </w:rPr>
            </w:pPr>
            <w:r w:rsidRPr="00171D4A">
              <w:rPr>
                <w:rFonts w:ascii="Arial" w:eastAsia="Calibri" w:hAnsi="Arial" w:cs="Arial"/>
                <w:b/>
                <w:sz w:val="20"/>
                <w:lang w:val="en-GB"/>
              </w:rPr>
              <w:t>H</w:t>
            </w:r>
            <w:r w:rsidRPr="00171D4A">
              <w:rPr>
                <w:rFonts w:ascii="Arial" w:eastAsia="Calibri" w:hAnsi="Arial" w:cs="Arial"/>
                <w:b/>
                <w:sz w:val="20"/>
                <w:vertAlign w:val="subscript"/>
                <w:lang w:val="en-GB"/>
              </w:rPr>
              <w:t>0</w:t>
            </w:r>
          </w:p>
        </w:tc>
        <w:tc>
          <w:tcPr>
            <w:tcW w:w="960" w:type="dxa"/>
            <w:tcBorders>
              <w:top w:val="single" w:sz="12" w:space="0" w:color="auto"/>
              <w:bottom w:val="single" w:sz="12" w:space="0" w:color="auto"/>
            </w:tcBorders>
            <w:shd w:val="clear" w:color="auto" w:fill="auto"/>
            <w:vAlign w:val="center"/>
            <w:hideMark/>
          </w:tcPr>
          <w:p w14:paraId="644AD3F3"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Not Rejected</w:t>
            </w:r>
          </w:p>
        </w:tc>
        <w:tc>
          <w:tcPr>
            <w:tcW w:w="960" w:type="dxa"/>
            <w:tcBorders>
              <w:top w:val="single" w:sz="12" w:space="0" w:color="auto"/>
              <w:bottom w:val="single" w:sz="12" w:space="0" w:color="auto"/>
            </w:tcBorders>
            <w:shd w:val="clear" w:color="auto" w:fill="auto"/>
            <w:vAlign w:val="center"/>
            <w:hideMark/>
          </w:tcPr>
          <w:p w14:paraId="25B20B7D"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Not Rejected</w:t>
            </w:r>
          </w:p>
        </w:tc>
        <w:tc>
          <w:tcPr>
            <w:tcW w:w="960" w:type="dxa"/>
            <w:tcBorders>
              <w:top w:val="single" w:sz="12" w:space="0" w:color="auto"/>
              <w:bottom w:val="single" w:sz="12" w:space="0" w:color="auto"/>
            </w:tcBorders>
            <w:shd w:val="clear" w:color="auto" w:fill="auto"/>
            <w:vAlign w:val="center"/>
            <w:hideMark/>
          </w:tcPr>
          <w:p w14:paraId="3A6F77B4" w14:textId="77777777" w:rsidR="00E72E52" w:rsidRPr="00171D4A" w:rsidRDefault="00E72E52" w:rsidP="00E72E52">
            <w:pPr>
              <w:jc w:val="right"/>
              <w:rPr>
                <w:rFonts w:ascii="Arial" w:eastAsia="Calibri" w:hAnsi="Arial" w:cs="Arial"/>
                <w:bCs/>
                <w:sz w:val="20"/>
                <w:lang w:val="en-GB" w:eastAsia="en-GB"/>
              </w:rPr>
            </w:pPr>
            <w:r w:rsidRPr="00171D4A">
              <w:rPr>
                <w:rFonts w:ascii="Arial" w:eastAsia="Calibri" w:hAnsi="Arial" w:cs="Arial"/>
                <w:bCs/>
                <w:sz w:val="20"/>
                <w:lang w:val="en-GB" w:eastAsia="en-GB"/>
              </w:rPr>
              <w:t>Not Rejected</w:t>
            </w:r>
          </w:p>
        </w:tc>
      </w:tr>
    </w:tbl>
    <w:p w14:paraId="228D8943" w14:textId="77777777" w:rsidR="00E72E52" w:rsidRPr="00171D4A" w:rsidRDefault="00E72E52" w:rsidP="00E72E52">
      <w:pPr>
        <w:spacing w:after="160" w:line="360" w:lineRule="auto"/>
        <w:jc w:val="both"/>
        <w:rPr>
          <w:rFonts w:ascii="Arial" w:eastAsia="Calibri" w:hAnsi="Arial" w:cs="Arial"/>
          <w:sz w:val="20"/>
          <w:lang w:val="en-GB"/>
        </w:rPr>
      </w:pPr>
    </w:p>
    <w:p w14:paraId="6A5D4A65" w14:textId="41825A0B" w:rsidR="00E72E52" w:rsidRPr="00171D4A" w:rsidRDefault="00E72E52" w:rsidP="00E72E52">
      <w:pPr>
        <w:spacing w:after="200"/>
        <w:jc w:val="both"/>
        <w:rPr>
          <w:rFonts w:ascii="Arial" w:eastAsia="Calibri" w:hAnsi="Arial" w:cs="Arial"/>
          <w:i/>
          <w:iCs/>
          <w:color w:val="000000"/>
          <w:sz w:val="20"/>
          <w:lang w:val="en-GB"/>
        </w:rPr>
      </w:pPr>
      <w:bookmarkStart w:id="7" w:name="_Toc70408329"/>
      <w:r w:rsidRPr="00171D4A">
        <w:rPr>
          <w:rFonts w:ascii="Arial" w:eastAsia="Calibri" w:hAnsi="Arial" w:cs="Arial"/>
          <w:i/>
          <w:iCs/>
          <w:color w:val="000000"/>
          <w:sz w:val="20"/>
          <w:lang w:val="en-GB"/>
        </w:rPr>
        <w:t xml:space="preserve">S3 Table Results of Type I PERMANOVA assessing the relationship between sex and wear facet area proportions in the Medieval and early </w:t>
      </w:r>
      <w:proofErr w:type="gramStart"/>
      <w:r w:rsidRPr="00171D4A">
        <w:rPr>
          <w:rFonts w:ascii="Arial" w:eastAsia="Calibri" w:hAnsi="Arial" w:cs="Arial"/>
          <w:i/>
          <w:iCs/>
          <w:color w:val="000000"/>
          <w:sz w:val="20"/>
          <w:lang w:val="en-GB"/>
        </w:rPr>
        <w:t>Post-Medieval</w:t>
      </w:r>
      <w:proofErr w:type="gramEnd"/>
      <w:r w:rsidRPr="00171D4A">
        <w:rPr>
          <w:rFonts w:ascii="Arial" w:eastAsia="Calibri" w:hAnsi="Arial" w:cs="Arial"/>
          <w:i/>
          <w:iCs/>
          <w:color w:val="000000"/>
          <w:sz w:val="20"/>
          <w:lang w:val="en-GB"/>
        </w:rPr>
        <w:t xml:space="preserve"> periods. </w:t>
      </w:r>
      <w:r w:rsidRPr="00171D4A">
        <w:rPr>
          <w:rFonts w:ascii="Arial" w:eastAsia="Calibri" w:hAnsi="Arial" w:cs="Arial"/>
          <w:b/>
          <w:bCs/>
          <w:i/>
          <w:iCs/>
          <w:color w:val="000000"/>
          <w:sz w:val="20"/>
          <w:lang w:val="en-GB"/>
        </w:rPr>
        <w:t xml:space="preserve">Null Hypothesis: relative wear facet areas did not differ significantly between males and females in the Medieval and early </w:t>
      </w:r>
      <w:proofErr w:type="gramStart"/>
      <w:r w:rsidRPr="00171D4A">
        <w:rPr>
          <w:rFonts w:ascii="Arial" w:eastAsia="Calibri" w:hAnsi="Arial" w:cs="Arial"/>
          <w:b/>
          <w:bCs/>
          <w:i/>
          <w:iCs/>
          <w:color w:val="000000"/>
          <w:sz w:val="20"/>
          <w:lang w:val="en-GB"/>
        </w:rPr>
        <w:t>Post-Medieval</w:t>
      </w:r>
      <w:proofErr w:type="gramEnd"/>
      <w:r w:rsidRPr="00171D4A">
        <w:rPr>
          <w:rFonts w:ascii="Arial" w:eastAsia="Calibri" w:hAnsi="Arial" w:cs="Arial"/>
          <w:b/>
          <w:bCs/>
          <w:i/>
          <w:iCs/>
          <w:color w:val="000000"/>
          <w:sz w:val="20"/>
          <w:lang w:val="en-GB"/>
        </w:rPr>
        <w:t xml:space="preserve"> groups examined.</w:t>
      </w:r>
      <w:bookmarkEnd w:id="7"/>
      <w:r w:rsidRPr="00171D4A">
        <w:rPr>
          <w:rFonts w:ascii="Arial" w:eastAsia="Calibri" w:hAnsi="Arial" w:cs="Arial"/>
          <w:i/>
          <w:iCs/>
          <w:color w:val="000000"/>
          <w:sz w:val="20"/>
          <w:lang w:val="en-GB"/>
        </w:rPr>
        <w:t xml:space="preserve">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235"/>
        <w:gridCol w:w="1125"/>
        <w:gridCol w:w="1200"/>
        <w:gridCol w:w="1084"/>
        <w:gridCol w:w="1152"/>
        <w:gridCol w:w="1194"/>
      </w:tblGrid>
      <w:tr w:rsidR="00E72E52" w:rsidRPr="00171D4A" w14:paraId="6D1B5D94" w14:textId="77777777" w:rsidTr="00E72E52">
        <w:trPr>
          <w:trHeight w:val="340"/>
        </w:trPr>
        <w:tc>
          <w:tcPr>
            <w:tcW w:w="1650" w:type="dxa"/>
            <w:tcBorders>
              <w:top w:val="single" w:sz="12" w:space="0" w:color="auto"/>
              <w:bottom w:val="single" w:sz="12" w:space="0" w:color="auto"/>
            </w:tcBorders>
            <w:shd w:val="clear" w:color="auto" w:fill="auto"/>
          </w:tcPr>
          <w:p w14:paraId="1C3D5849" w14:textId="3D697759" w:rsidR="00E72E52" w:rsidRPr="00171D4A" w:rsidRDefault="00E72E52" w:rsidP="00E72E52">
            <w:pPr>
              <w:rPr>
                <w:rFonts w:ascii="Arial" w:hAnsi="Arial" w:cs="Arial"/>
                <w:b/>
                <w:sz w:val="20"/>
                <w:szCs w:val="20"/>
              </w:rPr>
            </w:pPr>
          </w:p>
        </w:tc>
        <w:tc>
          <w:tcPr>
            <w:tcW w:w="1235" w:type="dxa"/>
            <w:tcBorders>
              <w:top w:val="single" w:sz="12" w:space="0" w:color="auto"/>
              <w:bottom w:val="single" w:sz="12" w:space="0" w:color="auto"/>
            </w:tcBorders>
            <w:shd w:val="clear" w:color="auto" w:fill="auto"/>
          </w:tcPr>
          <w:p w14:paraId="7870B877"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Sum of Squares</w:t>
            </w:r>
          </w:p>
        </w:tc>
        <w:tc>
          <w:tcPr>
            <w:tcW w:w="1125" w:type="dxa"/>
            <w:tcBorders>
              <w:top w:val="single" w:sz="12" w:space="0" w:color="auto"/>
              <w:bottom w:val="single" w:sz="12" w:space="0" w:color="auto"/>
            </w:tcBorders>
            <w:shd w:val="clear" w:color="auto" w:fill="auto"/>
          </w:tcPr>
          <w:p w14:paraId="1761A62B"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Mean of Squares</w:t>
            </w:r>
          </w:p>
        </w:tc>
        <w:tc>
          <w:tcPr>
            <w:tcW w:w="1200" w:type="dxa"/>
            <w:tcBorders>
              <w:top w:val="single" w:sz="12" w:space="0" w:color="auto"/>
              <w:bottom w:val="single" w:sz="12" w:space="0" w:color="auto"/>
            </w:tcBorders>
            <w:shd w:val="clear" w:color="auto" w:fill="auto"/>
          </w:tcPr>
          <w:p w14:paraId="183079B1"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Degrees of Freedom</w:t>
            </w:r>
          </w:p>
        </w:tc>
        <w:tc>
          <w:tcPr>
            <w:tcW w:w="1084" w:type="dxa"/>
            <w:tcBorders>
              <w:top w:val="single" w:sz="12" w:space="0" w:color="auto"/>
              <w:bottom w:val="single" w:sz="12" w:space="0" w:color="auto"/>
            </w:tcBorders>
            <w:shd w:val="clear" w:color="auto" w:fill="auto"/>
          </w:tcPr>
          <w:p w14:paraId="16B94C60"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F</w:t>
            </w:r>
          </w:p>
        </w:tc>
        <w:tc>
          <w:tcPr>
            <w:tcW w:w="1152" w:type="dxa"/>
            <w:tcBorders>
              <w:top w:val="single" w:sz="12" w:space="0" w:color="auto"/>
              <w:bottom w:val="single" w:sz="12" w:space="0" w:color="auto"/>
            </w:tcBorders>
            <w:shd w:val="clear" w:color="auto" w:fill="auto"/>
          </w:tcPr>
          <w:p w14:paraId="5DB3C6E1"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p-value (&gt;F)</w:t>
            </w:r>
          </w:p>
        </w:tc>
        <w:tc>
          <w:tcPr>
            <w:tcW w:w="1194" w:type="dxa"/>
            <w:tcBorders>
              <w:top w:val="single" w:sz="12" w:space="0" w:color="auto"/>
              <w:bottom w:val="single" w:sz="12" w:space="0" w:color="auto"/>
            </w:tcBorders>
            <w:shd w:val="clear" w:color="auto" w:fill="auto"/>
          </w:tcPr>
          <w:p w14:paraId="54E194EE" w14:textId="77777777" w:rsidR="00E72E52" w:rsidRPr="00171D4A" w:rsidRDefault="00E72E52" w:rsidP="00E72E52">
            <w:pPr>
              <w:jc w:val="right"/>
              <w:rPr>
                <w:rFonts w:ascii="Arial" w:hAnsi="Arial" w:cs="Arial"/>
                <w:b/>
                <w:sz w:val="20"/>
                <w:szCs w:val="20"/>
                <w:vertAlign w:val="subscript"/>
              </w:rPr>
            </w:pPr>
            <w:r w:rsidRPr="00171D4A">
              <w:rPr>
                <w:rFonts w:ascii="Arial" w:hAnsi="Arial" w:cs="Arial"/>
                <w:b/>
                <w:sz w:val="20"/>
                <w:szCs w:val="20"/>
              </w:rPr>
              <w:t>H</w:t>
            </w:r>
            <w:r w:rsidRPr="00171D4A">
              <w:rPr>
                <w:rFonts w:ascii="Arial" w:hAnsi="Arial" w:cs="Arial"/>
                <w:b/>
                <w:sz w:val="20"/>
                <w:szCs w:val="20"/>
                <w:vertAlign w:val="subscript"/>
              </w:rPr>
              <w:t>0</w:t>
            </w:r>
          </w:p>
        </w:tc>
      </w:tr>
      <w:tr w:rsidR="00E72E52" w:rsidRPr="00171D4A" w14:paraId="1176325B" w14:textId="77777777" w:rsidTr="00E72E52">
        <w:trPr>
          <w:trHeight w:val="340"/>
        </w:trPr>
        <w:tc>
          <w:tcPr>
            <w:tcW w:w="1650" w:type="dxa"/>
            <w:tcBorders>
              <w:top w:val="single" w:sz="12" w:space="0" w:color="auto"/>
            </w:tcBorders>
            <w:shd w:val="clear" w:color="auto" w:fill="auto"/>
          </w:tcPr>
          <w:p w14:paraId="4DE1DEEA" w14:textId="77777777" w:rsidR="00E72E52" w:rsidRPr="00171D4A" w:rsidRDefault="00E72E52" w:rsidP="00E72E52">
            <w:pPr>
              <w:rPr>
                <w:rFonts w:ascii="Arial" w:hAnsi="Arial" w:cs="Arial"/>
                <w:b/>
                <w:sz w:val="20"/>
                <w:szCs w:val="20"/>
              </w:rPr>
            </w:pPr>
            <w:r w:rsidRPr="00171D4A">
              <w:rPr>
                <w:rFonts w:ascii="Arial" w:hAnsi="Arial" w:cs="Arial"/>
                <w:b/>
                <w:sz w:val="20"/>
                <w:szCs w:val="20"/>
              </w:rPr>
              <w:t>Sex</w:t>
            </w:r>
          </w:p>
        </w:tc>
        <w:tc>
          <w:tcPr>
            <w:tcW w:w="1235" w:type="dxa"/>
            <w:tcBorders>
              <w:top w:val="single" w:sz="12" w:space="0" w:color="auto"/>
            </w:tcBorders>
            <w:shd w:val="clear" w:color="auto" w:fill="auto"/>
          </w:tcPr>
          <w:p w14:paraId="6D31A36D"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0.46</w:t>
            </w:r>
          </w:p>
        </w:tc>
        <w:tc>
          <w:tcPr>
            <w:tcW w:w="1125" w:type="dxa"/>
            <w:tcBorders>
              <w:top w:val="single" w:sz="12" w:space="0" w:color="auto"/>
            </w:tcBorders>
            <w:shd w:val="clear" w:color="auto" w:fill="auto"/>
          </w:tcPr>
          <w:p w14:paraId="2457866F"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0.46</w:t>
            </w:r>
          </w:p>
        </w:tc>
        <w:tc>
          <w:tcPr>
            <w:tcW w:w="1200" w:type="dxa"/>
            <w:tcBorders>
              <w:top w:val="single" w:sz="12" w:space="0" w:color="auto"/>
            </w:tcBorders>
            <w:shd w:val="clear" w:color="auto" w:fill="auto"/>
          </w:tcPr>
          <w:p w14:paraId="4CCD1149"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1.00</w:t>
            </w:r>
          </w:p>
        </w:tc>
        <w:tc>
          <w:tcPr>
            <w:tcW w:w="1084" w:type="dxa"/>
            <w:tcBorders>
              <w:top w:val="single" w:sz="12" w:space="0" w:color="auto"/>
            </w:tcBorders>
            <w:shd w:val="clear" w:color="auto" w:fill="auto"/>
          </w:tcPr>
          <w:p w14:paraId="721D09DD"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1.27</w:t>
            </w:r>
          </w:p>
        </w:tc>
        <w:tc>
          <w:tcPr>
            <w:tcW w:w="1152" w:type="dxa"/>
            <w:tcBorders>
              <w:top w:val="single" w:sz="12" w:space="0" w:color="auto"/>
            </w:tcBorders>
            <w:shd w:val="clear" w:color="auto" w:fill="auto"/>
          </w:tcPr>
          <w:p w14:paraId="5F105626"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0.28</w:t>
            </w:r>
          </w:p>
        </w:tc>
        <w:tc>
          <w:tcPr>
            <w:tcW w:w="1194" w:type="dxa"/>
            <w:vMerge w:val="restart"/>
            <w:tcBorders>
              <w:top w:val="single" w:sz="12" w:space="0" w:color="auto"/>
            </w:tcBorders>
            <w:shd w:val="clear" w:color="auto" w:fill="auto"/>
          </w:tcPr>
          <w:p w14:paraId="10C5DB2E"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Not Rejected</w:t>
            </w:r>
          </w:p>
        </w:tc>
      </w:tr>
      <w:tr w:rsidR="00E72E52" w:rsidRPr="00171D4A" w14:paraId="4F90CFB5" w14:textId="77777777" w:rsidTr="00E72E52">
        <w:trPr>
          <w:trHeight w:val="340"/>
        </w:trPr>
        <w:tc>
          <w:tcPr>
            <w:tcW w:w="1650" w:type="dxa"/>
            <w:tcBorders>
              <w:bottom w:val="single" w:sz="12" w:space="0" w:color="auto"/>
            </w:tcBorders>
            <w:shd w:val="clear" w:color="auto" w:fill="auto"/>
          </w:tcPr>
          <w:p w14:paraId="7E767AD6" w14:textId="77777777" w:rsidR="00E72E52" w:rsidRPr="00171D4A" w:rsidRDefault="00E72E52" w:rsidP="00E72E52">
            <w:pPr>
              <w:rPr>
                <w:rFonts w:ascii="Arial" w:hAnsi="Arial" w:cs="Arial"/>
                <w:b/>
                <w:sz w:val="20"/>
                <w:szCs w:val="20"/>
              </w:rPr>
            </w:pPr>
            <w:r w:rsidRPr="00171D4A">
              <w:rPr>
                <w:rFonts w:ascii="Arial" w:hAnsi="Arial" w:cs="Arial"/>
                <w:b/>
                <w:sz w:val="20"/>
                <w:szCs w:val="20"/>
              </w:rPr>
              <w:t>Residuals</w:t>
            </w:r>
          </w:p>
        </w:tc>
        <w:tc>
          <w:tcPr>
            <w:tcW w:w="1235" w:type="dxa"/>
            <w:tcBorders>
              <w:bottom w:val="single" w:sz="12" w:space="0" w:color="auto"/>
            </w:tcBorders>
            <w:shd w:val="clear" w:color="auto" w:fill="auto"/>
          </w:tcPr>
          <w:p w14:paraId="22536346"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26.80</w:t>
            </w:r>
          </w:p>
        </w:tc>
        <w:tc>
          <w:tcPr>
            <w:tcW w:w="1125" w:type="dxa"/>
            <w:tcBorders>
              <w:bottom w:val="single" w:sz="12" w:space="0" w:color="auto"/>
            </w:tcBorders>
            <w:shd w:val="clear" w:color="auto" w:fill="auto"/>
          </w:tcPr>
          <w:p w14:paraId="74142DE6"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0.36</w:t>
            </w:r>
          </w:p>
        </w:tc>
        <w:tc>
          <w:tcPr>
            <w:tcW w:w="1200" w:type="dxa"/>
            <w:tcBorders>
              <w:bottom w:val="single" w:sz="12" w:space="0" w:color="auto"/>
            </w:tcBorders>
            <w:shd w:val="clear" w:color="auto" w:fill="auto"/>
          </w:tcPr>
          <w:p w14:paraId="4531B69B"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74.00</w:t>
            </w:r>
          </w:p>
        </w:tc>
        <w:tc>
          <w:tcPr>
            <w:tcW w:w="1084" w:type="dxa"/>
            <w:tcBorders>
              <w:bottom w:val="single" w:sz="12" w:space="0" w:color="auto"/>
            </w:tcBorders>
            <w:shd w:val="clear" w:color="auto" w:fill="auto"/>
          </w:tcPr>
          <w:p w14:paraId="1F37416F" w14:textId="77777777" w:rsidR="00E72E52" w:rsidRPr="00171D4A" w:rsidRDefault="00E72E52" w:rsidP="00E72E52">
            <w:pPr>
              <w:jc w:val="right"/>
              <w:rPr>
                <w:rFonts w:ascii="Arial" w:hAnsi="Arial" w:cs="Arial"/>
                <w:bCs/>
                <w:sz w:val="20"/>
                <w:szCs w:val="20"/>
              </w:rPr>
            </w:pPr>
          </w:p>
        </w:tc>
        <w:tc>
          <w:tcPr>
            <w:tcW w:w="1152" w:type="dxa"/>
            <w:tcBorders>
              <w:bottom w:val="single" w:sz="12" w:space="0" w:color="auto"/>
            </w:tcBorders>
            <w:shd w:val="clear" w:color="auto" w:fill="auto"/>
          </w:tcPr>
          <w:p w14:paraId="25D61319" w14:textId="77777777" w:rsidR="00E72E52" w:rsidRPr="00171D4A" w:rsidRDefault="00E72E52" w:rsidP="00E72E52">
            <w:pPr>
              <w:jc w:val="right"/>
              <w:rPr>
                <w:rFonts w:ascii="Arial" w:hAnsi="Arial" w:cs="Arial"/>
                <w:bCs/>
                <w:sz w:val="20"/>
                <w:szCs w:val="20"/>
              </w:rPr>
            </w:pPr>
          </w:p>
        </w:tc>
        <w:tc>
          <w:tcPr>
            <w:tcW w:w="1194" w:type="dxa"/>
            <w:vMerge/>
            <w:tcBorders>
              <w:bottom w:val="single" w:sz="12" w:space="0" w:color="auto"/>
            </w:tcBorders>
            <w:shd w:val="clear" w:color="auto" w:fill="auto"/>
          </w:tcPr>
          <w:p w14:paraId="20A75C68" w14:textId="77777777" w:rsidR="00E72E52" w:rsidRPr="00171D4A" w:rsidRDefault="00E72E52" w:rsidP="00E72E52">
            <w:pPr>
              <w:jc w:val="right"/>
              <w:rPr>
                <w:rFonts w:ascii="Arial" w:hAnsi="Arial" w:cs="Arial"/>
                <w:bCs/>
                <w:sz w:val="20"/>
                <w:szCs w:val="20"/>
              </w:rPr>
            </w:pPr>
          </w:p>
        </w:tc>
      </w:tr>
    </w:tbl>
    <w:p w14:paraId="6D0F5450" w14:textId="4DA73EC2" w:rsidR="00E72E52" w:rsidRPr="00171D4A" w:rsidRDefault="00E72E52" w:rsidP="0085257E">
      <w:pPr>
        <w:pStyle w:val="SMSubheading"/>
        <w:spacing w:after="120" w:line="480" w:lineRule="auto"/>
        <w:jc w:val="both"/>
        <w:rPr>
          <w:rFonts w:ascii="Arial" w:hAnsi="Arial" w:cs="Arial"/>
          <w:sz w:val="20"/>
          <w:u w:val="none"/>
        </w:rPr>
      </w:pPr>
    </w:p>
    <w:p w14:paraId="1B4259ED" w14:textId="006D6272" w:rsidR="00E72E52" w:rsidRPr="00171D4A" w:rsidRDefault="00E72E52" w:rsidP="00E72E52">
      <w:pPr>
        <w:spacing w:after="200"/>
        <w:jc w:val="both"/>
        <w:rPr>
          <w:rFonts w:ascii="Arial" w:eastAsia="Calibri" w:hAnsi="Arial" w:cs="Arial"/>
          <w:i/>
          <w:iCs/>
          <w:color w:val="000000"/>
          <w:sz w:val="20"/>
          <w:lang w:val="en-GB"/>
        </w:rPr>
      </w:pPr>
      <w:bookmarkStart w:id="8" w:name="_Toc70408331"/>
      <w:r w:rsidRPr="00171D4A">
        <w:rPr>
          <w:rFonts w:ascii="Arial" w:eastAsia="Calibri" w:hAnsi="Arial" w:cs="Arial"/>
          <w:i/>
          <w:iCs/>
          <w:color w:val="000000"/>
          <w:sz w:val="20"/>
          <w:lang w:val="en-GB"/>
        </w:rPr>
        <w:t xml:space="preserve">S4 Table Wilcoxon Rank Sum test results for the influence of sex of wear facet dip angle in the Medieval and early </w:t>
      </w:r>
      <w:proofErr w:type="gramStart"/>
      <w:r w:rsidRPr="00171D4A">
        <w:rPr>
          <w:rFonts w:ascii="Arial" w:eastAsia="Calibri" w:hAnsi="Arial" w:cs="Arial"/>
          <w:i/>
          <w:iCs/>
          <w:color w:val="000000"/>
          <w:sz w:val="20"/>
          <w:lang w:val="en-GB"/>
        </w:rPr>
        <w:t>Post-Medieval</w:t>
      </w:r>
      <w:proofErr w:type="gramEnd"/>
      <w:r w:rsidRPr="00171D4A">
        <w:rPr>
          <w:rFonts w:ascii="Arial" w:eastAsia="Calibri" w:hAnsi="Arial" w:cs="Arial"/>
          <w:i/>
          <w:iCs/>
          <w:color w:val="000000"/>
          <w:sz w:val="20"/>
          <w:lang w:val="en-GB"/>
        </w:rPr>
        <w:t xml:space="preserve"> periods. Non-parametric testing was used as the assumption of normality was violated (Shapiro-Wilk p&gt;0.05). </w:t>
      </w:r>
      <w:r w:rsidRPr="00171D4A">
        <w:rPr>
          <w:rFonts w:ascii="Arial" w:eastAsia="Calibri" w:hAnsi="Arial" w:cs="Arial"/>
          <w:b/>
          <w:bCs/>
          <w:i/>
          <w:iCs/>
          <w:color w:val="000000"/>
          <w:sz w:val="20"/>
          <w:lang w:val="en-GB"/>
        </w:rPr>
        <w:t>Null hypothesis: dip angle values for the given wear facet type did not differ significantly between males and females in the pre-Industrial groups examined.</w:t>
      </w:r>
      <w:bookmarkEnd w:id="8"/>
      <w:r w:rsidRPr="00171D4A">
        <w:rPr>
          <w:rFonts w:ascii="Arial" w:eastAsia="Calibri" w:hAnsi="Arial" w:cs="Arial"/>
          <w:b/>
          <w:bCs/>
          <w:i/>
          <w:iCs/>
          <w:color w:val="000000"/>
          <w:sz w:val="20"/>
          <w:lang w:val="en-GB"/>
        </w:rPr>
        <w:t xml:space="preserve"> </w:t>
      </w:r>
    </w:p>
    <w:tbl>
      <w:tblPr>
        <w:tblStyle w:val="TableGrid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931"/>
        <w:gridCol w:w="1467"/>
        <w:gridCol w:w="2208"/>
      </w:tblGrid>
      <w:tr w:rsidR="00E72E52" w:rsidRPr="00171D4A" w14:paraId="33AD923F" w14:textId="77777777" w:rsidTr="001B734D">
        <w:tc>
          <w:tcPr>
            <w:tcW w:w="3003" w:type="dxa"/>
            <w:tcBorders>
              <w:top w:val="single" w:sz="12" w:space="0" w:color="auto"/>
              <w:bottom w:val="single" w:sz="12" w:space="0" w:color="auto"/>
            </w:tcBorders>
            <w:shd w:val="clear" w:color="auto" w:fill="auto"/>
          </w:tcPr>
          <w:p w14:paraId="5B8093D7" w14:textId="77777777" w:rsidR="00E72E52" w:rsidRPr="00171D4A" w:rsidRDefault="00E72E52" w:rsidP="00E72E52">
            <w:pPr>
              <w:rPr>
                <w:rFonts w:ascii="Arial" w:hAnsi="Arial" w:cs="Arial"/>
                <w:b/>
                <w:sz w:val="20"/>
                <w:szCs w:val="20"/>
              </w:rPr>
            </w:pPr>
            <w:r w:rsidRPr="00171D4A">
              <w:rPr>
                <w:rFonts w:ascii="Arial" w:hAnsi="Arial" w:cs="Arial"/>
                <w:b/>
                <w:sz w:val="20"/>
                <w:szCs w:val="20"/>
              </w:rPr>
              <w:t>Wear Facet Function</w:t>
            </w:r>
          </w:p>
        </w:tc>
        <w:tc>
          <w:tcPr>
            <w:tcW w:w="682" w:type="dxa"/>
            <w:tcBorders>
              <w:top w:val="single" w:sz="12" w:space="0" w:color="auto"/>
              <w:bottom w:val="single" w:sz="12" w:space="0" w:color="auto"/>
            </w:tcBorders>
            <w:shd w:val="clear" w:color="auto" w:fill="auto"/>
          </w:tcPr>
          <w:p w14:paraId="6EB48887"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W</w:t>
            </w:r>
          </w:p>
        </w:tc>
        <w:tc>
          <w:tcPr>
            <w:tcW w:w="1130" w:type="dxa"/>
            <w:tcBorders>
              <w:top w:val="single" w:sz="12" w:space="0" w:color="auto"/>
              <w:bottom w:val="single" w:sz="12" w:space="0" w:color="auto"/>
            </w:tcBorders>
            <w:shd w:val="clear" w:color="auto" w:fill="auto"/>
          </w:tcPr>
          <w:p w14:paraId="1EE692B0"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p-value</w:t>
            </w:r>
          </w:p>
        </w:tc>
        <w:tc>
          <w:tcPr>
            <w:tcW w:w="1701" w:type="dxa"/>
            <w:tcBorders>
              <w:top w:val="single" w:sz="12" w:space="0" w:color="auto"/>
              <w:bottom w:val="single" w:sz="12" w:space="0" w:color="auto"/>
            </w:tcBorders>
            <w:shd w:val="clear" w:color="auto" w:fill="auto"/>
          </w:tcPr>
          <w:p w14:paraId="0E96364B" w14:textId="77777777" w:rsidR="00E72E52" w:rsidRPr="00171D4A" w:rsidRDefault="00E72E52" w:rsidP="00E72E52">
            <w:pPr>
              <w:jc w:val="right"/>
              <w:rPr>
                <w:rFonts w:ascii="Arial" w:hAnsi="Arial" w:cs="Arial"/>
                <w:b/>
                <w:sz w:val="20"/>
                <w:szCs w:val="20"/>
              </w:rPr>
            </w:pPr>
            <w:r w:rsidRPr="00171D4A">
              <w:rPr>
                <w:rFonts w:ascii="Arial" w:hAnsi="Arial" w:cs="Arial"/>
                <w:b/>
                <w:sz w:val="20"/>
                <w:szCs w:val="20"/>
              </w:rPr>
              <w:t>H</w:t>
            </w:r>
            <w:r w:rsidRPr="00171D4A">
              <w:rPr>
                <w:rFonts w:ascii="Arial" w:hAnsi="Arial" w:cs="Arial"/>
                <w:b/>
                <w:sz w:val="20"/>
                <w:szCs w:val="20"/>
                <w:vertAlign w:val="subscript"/>
              </w:rPr>
              <w:t>0</w:t>
            </w:r>
          </w:p>
        </w:tc>
      </w:tr>
      <w:tr w:rsidR="00E72E52" w:rsidRPr="00171D4A" w14:paraId="6F5D3AE0" w14:textId="77777777" w:rsidTr="001B734D">
        <w:tc>
          <w:tcPr>
            <w:tcW w:w="3003" w:type="dxa"/>
            <w:tcBorders>
              <w:top w:val="single" w:sz="12" w:space="0" w:color="auto"/>
            </w:tcBorders>
            <w:shd w:val="clear" w:color="auto" w:fill="auto"/>
          </w:tcPr>
          <w:p w14:paraId="24D03ACD" w14:textId="77777777" w:rsidR="00E72E52" w:rsidRPr="00171D4A" w:rsidRDefault="00E72E52" w:rsidP="00E72E52">
            <w:pPr>
              <w:rPr>
                <w:rFonts w:ascii="Arial" w:hAnsi="Arial" w:cs="Arial"/>
                <w:b/>
                <w:sz w:val="20"/>
                <w:szCs w:val="20"/>
              </w:rPr>
            </w:pPr>
            <w:r w:rsidRPr="00171D4A">
              <w:rPr>
                <w:rFonts w:ascii="Arial" w:hAnsi="Arial" w:cs="Arial"/>
                <w:b/>
                <w:sz w:val="20"/>
                <w:szCs w:val="20"/>
              </w:rPr>
              <w:t>BPI</w:t>
            </w:r>
          </w:p>
        </w:tc>
        <w:tc>
          <w:tcPr>
            <w:tcW w:w="682" w:type="dxa"/>
            <w:tcBorders>
              <w:top w:val="single" w:sz="12" w:space="0" w:color="auto"/>
            </w:tcBorders>
            <w:shd w:val="clear" w:color="auto" w:fill="auto"/>
          </w:tcPr>
          <w:p w14:paraId="636CA1FD"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943</w:t>
            </w:r>
          </w:p>
        </w:tc>
        <w:tc>
          <w:tcPr>
            <w:tcW w:w="1130" w:type="dxa"/>
            <w:tcBorders>
              <w:top w:val="single" w:sz="12" w:space="0" w:color="auto"/>
            </w:tcBorders>
            <w:shd w:val="clear" w:color="auto" w:fill="auto"/>
          </w:tcPr>
          <w:p w14:paraId="598F46BE"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0.85</w:t>
            </w:r>
          </w:p>
        </w:tc>
        <w:tc>
          <w:tcPr>
            <w:tcW w:w="1701" w:type="dxa"/>
            <w:tcBorders>
              <w:top w:val="single" w:sz="12" w:space="0" w:color="auto"/>
            </w:tcBorders>
            <w:shd w:val="clear" w:color="auto" w:fill="auto"/>
          </w:tcPr>
          <w:p w14:paraId="6899CD13"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Not Rejected</w:t>
            </w:r>
          </w:p>
        </w:tc>
      </w:tr>
      <w:tr w:rsidR="00E72E52" w:rsidRPr="00171D4A" w14:paraId="7C9786BE" w14:textId="77777777" w:rsidTr="001B734D">
        <w:tc>
          <w:tcPr>
            <w:tcW w:w="3003" w:type="dxa"/>
            <w:shd w:val="clear" w:color="auto" w:fill="auto"/>
          </w:tcPr>
          <w:p w14:paraId="66A88F92" w14:textId="77777777" w:rsidR="00E72E52" w:rsidRPr="00171D4A" w:rsidRDefault="00E72E52" w:rsidP="00E72E52">
            <w:pPr>
              <w:rPr>
                <w:rFonts w:ascii="Arial" w:hAnsi="Arial" w:cs="Arial"/>
                <w:b/>
                <w:sz w:val="20"/>
                <w:szCs w:val="20"/>
              </w:rPr>
            </w:pPr>
            <w:r w:rsidRPr="00171D4A">
              <w:rPr>
                <w:rFonts w:ascii="Arial" w:hAnsi="Arial" w:cs="Arial"/>
                <w:b/>
                <w:sz w:val="20"/>
                <w:szCs w:val="20"/>
              </w:rPr>
              <w:t>LPI</w:t>
            </w:r>
          </w:p>
        </w:tc>
        <w:tc>
          <w:tcPr>
            <w:tcW w:w="682" w:type="dxa"/>
            <w:shd w:val="clear" w:color="auto" w:fill="auto"/>
          </w:tcPr>
          <w:p w14:paraId="6B98B8F7"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911.5</w:t>
            </w:r>
          </w:p>
        </w:tc>
        <w:tc>
          <w:tcPr>
            <w:tcW w:w="1130" w:type="dxa"/>
            <w:shd w:val="clear" w:color="auto" w:fill="auto"/>
          </w:tcPr>
          <w:p w14:paraId="5CFCCF45"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0.95</w:t>
            </w:r>
          </w:p>
        </w:tc>
        <w:tc>
          <w:tcPr>
            <w:tcW w:w="1701" w:type="dxa"/>
            <w:shd w:val="clear" w:color="auto" w:fill="auto"/>
          </w:tcPr>
          <w:p w14:paraId="69A86780"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Not Rejected</w:t>
            </w:r>
          </w:p>
        </w:tc>
      </w:tr>
      <w:tr w:rsidR="00E72E52" w:rsidRPr="00171D4A" w14:paraId="2D29A185" w14:textId="77777777" w:rsidTr="001B734D">
        <w:tc>
          <w:tcPr>
            <w:tcW w:w="3003" w:type="dxa"/>
            <w:tcBorders>
              <w:bottom w:val="single" w:sz="12" w:space="0" w:color="auto"/>
            </w:tcBorders>
            <w:shd w:val="clear" w:color="auto" w:fill="auto"/>
          </w:tcPr>
          <w:p w14:paraId="5C1920C8" w14:textId="77777777" w:rsidR="00E72E52" w:rsidRPr="00171D4A" w:rsidRDefault="00E72E52" w:rsidP="00E72E52">
            <w:pPr>
              <w:rPr>
                <w:rFonts w:ascii="Arial" w:hAnsi="Arial" w:cs="Arial"/>
                <w:b/>
                <w:sz w:val="20"/>
                <w:szCs w:val="20"/>
              </w:rPr>
            </w:pPr>
            <w:r w:rsidRPr="00171D4A">
              <w:rPr>
                <w:rFonts w:ascii="Arial" w:hAnsi="Arial" w:cs="Arial"/>
                <w:b/>
                <w:sz w:val="20"/>
                <w:szCs w:val="20"/>
              </w:rPr>
              <w:t>PII</w:t>
            </w:r>
          </w:p>
        </w:tc>
        <w:tc>
          <w:tcPr>
            <w:tcW w:w="682" w:type="dxa"/>
            <w:tcBorders>
              <w:bottom w:val="single" w:sz="12" w:space="0" w:color="auto"/>
            </w:tcBorders>
            <w:shd w:val="clear" w:color="auto" w:fill="auto"/>
          </w:tcPr>
          <w:p w14:paraId="4B0B78F0"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756</w:t>
            </w:r>
          </w:p>
        </w:tc>
        <w:tc>
          <w:tcPr>
            <w:tcW w:w="1130" w:type="dxa"/>
            <w:tcBorders>
              <w:bottom w:val="single" w:sz="12" w:space="0" w:color="auto"/>
            </w:tcBorders>
            <w:shd w:val="clear" w:color="auto" w:fill="auto"/>
          </w:tcPr>
          <w:p w14:paraId="122B78B1"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0.16</w:t>
            </w:r>
          </w:p>
        </w:tc>
        <w:tc>
          <w:tcPr>
            <w:tcW w:w="1701" w:type="dxa"/>
            <w:tcBorders>
              <w:bottom w:val="single" w:sz="12" w:space="0" w:color="auto"/>
            </w:tcBorders>
            <w:shd w:val="clear" w:color="auto" w:fill="auto"/>
          </w:tcPr>
          <w:p w14:paraId="28C1C830" w14:textId="77777777" w:rsidR="00E72E52" w:rsidRPr="00171D4A" w:rsidRDefault="00E72E52" w:rsidP="00E72E52">
            <w:pPr>
              <w:jc w:val="right"/>
              <w:rPr>
                <w:rFonts w:ascii="Arial" w:hAnsi="Arial" w:cs="Arial"/>
                <w:bCs/>
                <w:sz w:val="20"/>
                <w:szCs w:val="20"/>
              </w:rPr>
            </w:pPr>
            <w:r w:rsidRPr="00171D4A">
              <w:rPr>
                <w:rFonts w:ascii="Arial" w:hAnsi="Arial" w:cs="Arial"/>
                <w:bCs/>
                <w:sz w:val="20"/>
                <w:szCs w:val="20"/>
              </w:rPr>
              <w:t>Not Rejected</w:t>
            </w:r>
          </w:p>
        </w:tc>
      </w:tr>
    </w:tbl>
    <w:p w14:paraId="241F6DBF" w14:textId="51EB2920" w:rsidR="00E72E52" w:rsidRDefault="00E72E52" w:rsidP="0085257E">
      <w:pPr>
        <w:pStyle w:val="SMSubheading"/>
        <w:spacing w:after="120" w:line="480" w:lineRule="auto"/>
        <w:jc w:val="both"/>
        <w:rPr>
          <w:rFonts w:ascii="Arial" w:hAnsi="Arial" w:cs="Arial"/>
          <w:sz w:val="20"/>
          <w:u w:val="none"/>
        </w:rPr>
      </w:pPr>
    </w:p>
    <w:p w14:paraId="45959A33" w14:textId="77777777" w:rsidR="00C77575" w:rsidRDefault="00C77575" w:rsidP="0085257E">
      <w:pPr>
        <w:pStyle w:val="SMSubheading"/>
        <w:spacing w:after="120" w:line="480" w:lineRule="auto"/>
        <w:jc w:val="both"/>
        <w:rPr>
          <w:rFonts w:ascii="Arial" w:hAnsi="Arial" w:cs="Arial"/>
          <w:sz w:val="20"/>
          <w:u w:val="none"/>
        </w:rPr>
      </w:pPr>
    </w:p>
    <w:p w14:paraId="0AA738C7" w14:textId="1AF35505" w:rsidR="00030840" w:rsidRPr="00DC623A" w:rsidRDefault="00030840" w:rsidP="0085257E">
      <w:pPr>
        <w:rPr>
          <w:rFonts w:ascii="Arial" w:hAnsi="Arial" w:cs="Arial"/>
          <w:sz w:val="20"/>
        </w:rPr>
      </w:pPr>
    </w:p>
    <w:p w14:paraId="6C96BED5" w14:textId="6F8C6CE2" w:rsidR="00820484" w:rsidRPr="00DC623A" w:rsidRDefault="0085257E" w:rsidP="00477182">
      <w:pPr>
        <w:pStyle w:val="SMcaption"/>
        <w:rPr>
          <w:rFonts w:ascii="Arial" w:hAnsi="Arial" w:cs="Arial"/>
          <w:b/>
          <w:sz w:val="20"/>
        </w:rPr>
      </w:pPr>
      <w:r>
        <w:rPr>
          <w:rFonts w:ascii="Arial" w:hAnsi="Arial" w:cs="Arial"/>
          <w:b/>
          <w:sz w:val="20"/>
        </w:rPr>
        <w:t>S1 Text References</w:t>
      </w:r>
    </w:p>
    <w:p w14:paraId="59D77E69" w14:textId="593FF0EE" w:rsidR="002C667A" w:rsidRDefault="002C667A" w:rsidP="00477182">
      <w:pPr>
        <w:pStyle w:val="SMcaption"/>
        <w:rPr>
          <w:rFonts w:ascii="Arial" w:hAnsi="Arial" w:cs="Arial"/>
          <w:b/>
          <w:sz w:val="20"/>
        </w:rPr>
      </w:pPr>
    </w:p>
    <w:p w14:paraId="448751F2" w14:textId="77777777" w:rsidR="00F23204" w:rsidRPr="00F23204" w:rsidRDefault="00F23204" w:rsidP="00F23204">
      <w:pPr>
        <w:pStyle w:val="ListParagraph"/>
        <w:numPr>
          <w:ilvl w:val="0"/>
          <w:numId w:val="15"/>
        </w:numPr>
        <w:rPr>
          <w:rFonts w:ascii="Arial" w:hAnsi="Arial" w:cs="Arial"/>
          <w:bCs/>
          <w:sz w:val="20"/>
        </w:rPr>
      </w:pPr>
      <w:r w:rsidRPr="00F23204">
        <w:rPr>
          <w:rFonts w:ascii="Arial" w:hAnsi="Arial" w:cs="Arial"/>
          <w:bCs/>
          <w:sz w:val="20"/>
        </w:rPr>
        <w:t xml:space="preserve">Kullmer O, </w:t>
      </w:r>
      <w:proofErr w:type="spellStart"/>
      <w:r w:rsidRPr="00F23204">
        <w:rPr>
          <w:rFonts w:ascii="Arial" w:hAnsi="Arial" w:cs="Arial"/>
          <w:bCs/>
          <w:sz w:val="20"/>
        </w:rPr>
        <w:t>Benazzi</w:t>
      </w:r>
      <w:proofErr w:type="spellEnd"/>
      <w:r w:rsidRPr="00F23204">
        <w:rPr>
          <w:rFonts w:ascii="Arial" w:hAnsi="Arial" w:cs="Arial"/>
          <w:bCs/>
          <w:sz w:val="20"/>
        </w:rPr>
        <w:t xml:space="preserve"> S, Fiorenza L, Schulz D, </w:t>
      </w:r>
      <w:proofErr w:type="spellStart"/>
      <w:r w:rsidRPr="00F23204">
        <w:rPr>
          <w:rFonts w:ascii="Arial" w:hAnsi="Arial" w:cs="Arial"/>
          <w:bCs/>
          <w:sz w:val="20"/>
        </w:rPr>
        <w:t>Bacso</w:t>
      </w:r>
      <w:proofErr w:type="spellEnd"/>
      <w:r w:rsidRPr="00F23204">
        <w:rPr>
          <w:rFonts w:ascii="Arial" w:hAnsi="Arial" w:cs="Arial"/>
          <w:bCs/>
          <w:sz w:val="20"/>
        </w:rPr>
        <w:t xml:space="preserve"> S, </w:t>
      </w:r>
      <w:proofErr w:type="spellStart"/>
      <w:r w:rsidRPr="00F23204">
        <w:rPr>
          <w:rFonts w:ascii="Arial" w:hAnsi="Arial" w:cs="Arial"/>
          <w:bCs/>
          <w:sz w:val="20"/>
        </w:rPr>
        <w:t>Winzen</w:t>
      </w:r>
      <w:proofErr w:type="spellEnd"/>
      <w:r w:rsidRPr="00F23204">
        <w:rPr>
          <w:rFonts w:ascii="Arial" w:hAnsi="Arial" w:cs="Arial"/>
          <w:bCs/>
          <w:sz w:val="20"/>
        </w:rPr>
        <w:t xml:space="preserve"> O. Technical note: Occlusal fingerprint analysis: Quantification of tooth wear pattern. Am J Phys </w:t>
      </w:r>
      <w:proofErr w:type="spellStart"/>
      <w:r w:rsidRPr="00F23204">
        <w:rPr>
          <w:rFonts w:ascii="Arial" w:hAnsi="Arial" w:cs="Arial"/>
          <w:bCs/>
          <w:sz w:val="20"/>
        </w:rPr>
        <w:t>Anthropol</w:t>
      </w:r>
      <w:proofErr w:type="spellEnd"/>
      <w:r w:rsidRPr="00F23204">
        <w:rPr>
          <w:rFonts w:ascii="Arial" w:hAnsi="Arial" w:cs="Arial"/>
          <w:bCs/>
          <w:sz w:val="20"/>
        </w:rPr>
        <w:t>. 2009; 139(4): 600-605.</w:t>
      </w:r>
    </w:p>
    <w:p w14:paraId="2D363A81" w14:textId="77777777" w:rsidR="00F23204" w:rsidRPr="00F23204" w:rsidRDefault="00F23204" w:rsidP="00F23204">
      <w:pPr>
        <w:pStyle w:val="ListParagraph"/>
        <w:numPr>
          <w:ilvl w:val="0"/>
          <w:numId w:val="15"/>
        </w:numPr>
        <w:rPr>
          <w:rFonts w:ascii="Arial" w:hAnsi="Arial" w:cs="Arial"/>
          <w:bCs/>
          <w:sz w:val="20"/>
        </w:rPr>
      </w:pPr>
      <w:r w:rsidRPr="00F23204">
        <w:rPr>
          <w:rFonts w:ascii="Arial" w:hAnsi="Arial" w:cs="Arial"/>
          <w:bCs/>
          <w:sz w:val="20"/>
        </w:rPr>
        <w:t xml:space="preserve">Fiorenza L, </w:t>
      </w:r>
      <w:proofErr w:type="spellStart"/>
      <w:r w:rsidRPr="00F23204">
        <w:rPr>
          <w:rFonts w:ascii="Arial" w:hAnsi="Arial" w:cs="Arial"/>
          <w:bCs/>
          <w:sz w:val="20"/>
        </w:rPr>
        <w:t>Benazzi</w:t>
      </w:r>
      <w:proofErr w:type="spellEnd"/>
      <w:r w:rsidRPr="00F23204">
        <w:rPr>
          <w:rFonts w:ascii="Arial" w:hAnsi="Arial" w:cs="Arial"/>
          <w:bCs/>
          <w:sz w:val="20"/>
        </w:rPr>
        <w:t xml:space="preserve"> S, </w:t>
      </w:r>
      <w:proofErr w:type="spellStart"/>
      <w:r w:rsidRPr="00F23204">
        <w:rPr>
          <w:rFonts w:ascii="Arial" w:hAnsi="Arial" w:cs="Arial"/>
          <w:bCs/>
          <w:sz w:val="20"/>
        </w:rPr>
        <w:t>Tausch</w:t>
      </w:r>
      <w:proofErr w:type="spellEnd"/>
      <w:r w:rsidRPr="00F23204">
        <w:rPr>
          <w:rFonts w:ascii="Arial" w:hAnsi="Arial" w:cs="Arial"/>
          <w:bCs/>
          <w:sz w:val="20"/>
        </w:rPr>
        <w:t xml:space="preserve"> J, Kullmer O, </w:t>
      </w:r>
      <w:proofErr w:type="spellStart"/>
      <w:r w:rsidRPr="00F23204">
        <w:rPr>
          <w:rFonts w:ascii="Arial" w:hAnsi="Arial" w:cs="Arial"/>
          <w:bCs/>
          <w:sz w:val="20"/>
        </w:rPr>
        <w:t>Bromage</w:t>
      </w:r>
      <w:proofErr w:type="spellEnd"/>
      <w:r w:rsidRPr="00F23204">
        <w:rPr>
          <w:rFonts w:ascii="Arial" w:hAnsi="Arial" w:cs="Arial"/>
          <w:bCs/>
          <w:sz w:val="20"/>
        </w:rPr>
        <w:t xml:space="preserve"> T, </w:t>
      </w:r>
      <w:proofErr w:type="spellStart"/>
      <w:r w:rsidRPr="00F23204">
        <w:rPr>
          <w:rFonts w:ascii="Arial" w:hAnsi="Arial" w:cs="Arial"/>
          <w:bCs/>
          <w:sz w:val="20"/>
        </w:rPr>
        <w:t>Schrenk</w:t>
      </w:r>
      <w:proofErr w:type="spellEnd"/>
      <w:r w:rsidRPr="00F23204">
        <w:rPr>
          <w:rFonts w:ascii="Arial" w:hAnsi="Arial" w:cs="Arial"/>
          <w:bCs/>
          <w:sz w:val="20"/>
        </w:rPr>
        <w:t xml:space="preserve"> F et al. Molar Macrowear Reveals Neanderthal Eco-Geographic Dietary Variation (Neanderthal Tooth Wear). </w:t>
      </w:r>
      <w:proofErr w:type="spellStart"/>
      <w:r w:rsidRPr="00F23204">
        <w:rPr>
          <w:rFonts w:ascii="Arial" w:hAnsi="Arial" w:cs="Arial"/>
          <w:bCs/>
          <w:sz w:val="20"/>
        </w:rPr>
        <w:t>PLoS</w:t>
      </w:r>
      <w:proofErr w:type="spellEnd"/>
      <w:r w:rsidRPr="00F23204">
        <w:rPr>
          <w:rFonts w:ascii="Arial" w:hAnsi="Arial" w:cs="Arial"/>
          <w:bCs/>
          <w:sz w:val="20"/>
        </w:rPr>
        <w:t xml:space="preserve"> ONE. 2011; 6(3): E14769.</w:t>
      </w:r>
    </w:p>
    <w:p w14:paraId="120AA263" w14:textId="77777777" w:rsidR="00F23204" w:rsidRPr="00F23204" w:rsidRDefault="00F23204" w:rsidP="00F23204">
      <w:pPr>
        <w:pStyle w:val="ListParagraph"/>
        <w:numPr>
          <w:ilvl w:val="0"/>
          <w:numId w:val="15"/>
        </w:numPr>
        <w:rPr>
          <w:rFonts w:ascii="Arial" w:hAnsi="Arial" w:cs="Arial"/>
          <w:bCs/>
          <w:sz w:val="20"/>
        </w:rPr>
      </w:pPr>
      <w:r w:rsidRPr="00F23204">
        <w:rPr>
          <w:rFonts w:ascii="Arial" w:hAnsi="Arial" w:cs="Arial"/>
          <w:bCs/>
          <w:sz w:val="20"/>
        </w:rPr>
        <w:t xml:space="preserve">Kullmer O, </w:t>
      </w:r>
      <w:proofErr w:type="spellStart"/>
      <w:r w:rsidRPr="00F23204">
        <w:rPr>
          <w:rFonts w:ascii="Arial" w:hAnsi="Arial" w:cs="Arial"/>
          <w:bCs/>
          <w:sz w:val="20"/>
        </w:rPr>
        <w:t>Menz</w:t>
      </w:r>
      <w:proofErr w:type="spellEnd"/>
      <w:r w:rsidRPr="00F23204">
        <w:rPr>
          <w:rFonts w:ascii="Arial" w:hAnsi="Arial" w:cs="Arial"/>
          <w:bCs/>
          <w:sz w:val="20"/>
        </w:rPr>
        <w:t xml:space="preserve"> U, Fiorenza L. Occlusal Fingerprint Analysis (OFA) reveals dental occlusal behavior in primate molars. In: Martin T, Koenigswald </w:t>
      </w:r>
      <w:proofErr w:type="spellStart"/>
      <w:r w:rsidRPr="00F23204">
        <w:rPr>
          <w:rFonts w:ascii="Arial" w:hAnsi="Arial" w:cs="Arial"/>
          <w:bCs/>
          <w:sz w:val="20"/>
        </w:rPr>
        <w:t>W.v</w:t>
      </w:r>
      <w:proofErr w:type="spellEnd"/>
      <w:r w:rsidRPr="00F23204">
        <w:rPr>
          <w:rFonts w:ascii="Arial" w:hAnsi="Arial" w:cs="Arial"/>
          <w:bCs/>
          <w:sz w:val="20"/>
        </w:rPr>
        <w:t xml:space="preserve">, editors. Mammalian Teeth-Form and Function. Munich: </w:t>
      </w:r>
      <w:proofErr w:type="spellStart"/>
      <w:r w:rsidRPr="00F23204">
        <w:rPr>
          <w:rFonts w:ascii="Arial" w:hAnsi="Arial" w:cs="Arial"/>
          <w:bCs/>
          <w:sz w:val="20"/>
        </w:rPr>
        <w:t>Pfeil</w:t>
      </w:r>
      <w:proofErr w:type="spellEnd"/>
      <w:r w:rsidRPr="00F23204">
        <w:rPr>
          <w:rFonts w:ascii="Arial" w:hAnsi="Arial" w:cs="Arial"/>
          <w:bCs/>
          <w:sz w:val="20"/>
        </w:rPr>
        <w:t>, 2020 pp.25-43.</w:t>
      </w:r>
    </w:p>
    <w:p w14:paraId="6258FA5F" w14:textId="77777777" w:rsidR="00F23204" w:rsidRPr="00F23204" w:rsidRDefault="00F23204" w:rsidP="00F23204">
      <w:pPr>
        <w:pStyle w:val="ListParagraph"/>
        <w:numPr>
          <w:ilvl w:val="0"/>
          <w:numId w:val="15"/>
        </w:numPr>
        <w:rPr>
          <w:rFonts w:ascii="Arial" w:hAnsi="Arial" w:cs="Arial"/>
          <w:bCs/>
          <w:sz w:val="20"/>
        </w:rPr>
      </w:pPr>
      <w:proofErr w:type="spellStart"/>
      <w:r w:rsidRPr="00F23204">
        <w:rPr>
          <w:rFonts w:ascii="Arial" w:hAnsi="Arial" w:cs="Arial"/>
          <w:bCs/>
          <w:sz w:val="20"/>
        </w:rPr>
        <w:t>Ulhaas</w:t>
      </w:r>
      <w:proofErr w:type="spellEnd"/>
      <w:r w:rsidRPr="00F23204">
        <w:rPr>
          <w:rFonts w:ascii="Arial" w:hAnsi="Arial" w:cs="Arial"/>
          <w:bCs/>
          <w:sz w:val="20"/>
        </w:rPr>
        <w:t xml:space="preserve"> L, Kullmer O, </w:t>
      </w:r>
      <w:proofErr w:type="spellStart"/>
      <w:r w:rsidRPr="00F23204">
        <w:rPr>
          <w:rFonts w:ascii="Arial" w:hAnsi="Arial" w:cs="Arial"/>
          <w:bCs/>
          <w:sz w:val="20"/>
        </w:rPr>
        <w:t>Schrenk</w:t>
      </w:r>
      <w:proofErr w:type="spellEnd"/>
      <w:r w:rsidRPr="00F23204">
        <w:rPr>
          <w:rFonts w:ascii="Arial" w:hAnsi="Arial" w:cs="Arial"/>
          <w:bCs/>
          <w:sz w:val="20"/>
        </w:rPr>
        <w:t xml:space="preserve"> F, Henke W. A new 3-d approach to determine functional morphology of cercopithecoid molars. Ann Anat. 2004; 186(5): 487-493.</w:t>
      </w:r>
    </w:p>
    <w:p w14:paraId="6A8E0DD2" w14:textId="77777777" w:rsidR="00F23204" w:rsidRPr="00F23204" w:rsidRDefault="00F23204" w:rsidP="00F23204">
      <w:pPr>
        <w:pStyle w:val="ListParagraph"/>
        <w:numPr>
          <w:ilvl w:val="0"/>
          <w:numId w:val="15"/>
        </w:numPr>
        <w:rPr>
          <w:rFonts w:ascii="Arial" w:hAnsi="Arial" w:cs="Arial"/>
          <w:bCs/>
          <w:sz w:val="20"/>
        </w:rPr>
      </w:pPr>
      <w:r w:rsidRPr="00F23204">
        <w:rPr>
          <w:rFonts w:ascii="Arial" w:hAnsi="Arial" w:cs="Arial"/>
          <w:bCs/>
          <w:sz w:val="20"/>
        </w:rPr>
        <w:t xml:space="preserve">Fiorenza L, </w:t>
      </w:r>
      <w:proofErr w:type="spellStart"/>
      <w:r w:rsidRPr="00F23204">
        <w:rPr>
          <w:rFonts w:ascii="Arial" w:hAnsi="Arial" w:cs="Arial"/>
          <w:bCs/>
          <w:sz w:val="20"/>
        </w:rPr>
        <w:t>Benazzi</w:t>
      </w:r>
      <w:proofErr w:type="spellEnd"/>
      <w:r w:rsidRPr="00F23204">
        <w:rPr>
          <w:rFonts w:ascii="Arial" w:hAnsi="Arial" w:cs="Arial"/>
          <w:bCs/>
          <w:sz w:val="20"/>
        </w:rPr>
        <w:t xml:space="preserve"> S, </w:t>
      </w:r>
      <w:proofErr w:type="spellStart"/>
      <w:r w:rsidRPr="00F23204">
        <w:rPr>
          <w:rFonts w:ascii="Arial" w:hAnsi="Arial" w:cs="Arial"/>
          <w:bCs/>
          <w:sz w:val="20"/>
        </w:rPr>
        <w:t>Oxilia</w:t>
      </w:r>
      <w:proofErr w:type="spellEnd"/>
      <w:r w:rsidRPr="00F23204">
        <w:rPr>
          <w:rFonts w:ascii="Arial" w:hAnsi="Arial" w:cs="Arial"/>
          <w:bCs/>
          <w:sz w:val="20"/>
        </w:rPr>
        <w:t xml:space="preserve"> G, Kullmer O. Functional relationship between dental macrowear and diet in Late Pleistocene and recent modern human populations. Int J </w:t>
      </w:r>
      <w:proofErr w:type="spellStart"/>
      <w:r w:rsidRPr="00F23204">
        <w:rPr>
          <w:rFonts w:ascii="Arial" w:hAnsi="Arial" w:cs="Arial"/>
          <w:bCs/>
          <w:sz w:val="20"/>
        </w:rPr>
        <w:t>Osteoarchaeol</w:t>
      </w:r>
      <w:proofErr w:type="spellEnd"/>
      <w:r w:rsidRPr="00F23204">
        <w:rPr>
          <w:rFonts w:ascii="Arial" w:hAnsi="Arial" w:cs="Arial"/>
          <w:bCs/>
          <w:sz w:val="20"/>
        </w:rPr>
        <w:t>. 2018; 28(2): 153-161.</w:t>
      </w:r>
    </w:p>
    <w:p w14:paraId="0CBE4718" w14:textId="77777777" w:rsidR="00F23204" w:rsidRPr="00F23204" w:rsidRDefault="00F23204" w:rsidP="00F23204">
      <w:pPr>
        <w:pStyle w:val="ListParagraph"/>
        <w:numPr>
          <w:ilvl w:val="0"/>
          <w:numId w:val="15"/>
        </w:numPr>
        <w:rPr>
          <w:rFonts w:ascii="Arial" w:hAnsi="Arial" w:cs="Arial"/>
          <w:bCs/>
          <w:sz w:val="20"/>
        </w:rPr>
      </w:pPr>
      <w:r w:rsidRPr="00F23204">
        <w:rPr>
          <w:rFonts w:ascii="Arial" w:hAnsi="Arial" w:cs="Arial"/>
          <w:bCs/>
          <w:sz w:val="20"/>
        </w:rPr>
        <w:t xml:space="preserve">Janis CM. The correlation between diet and dental wear in herbivorous mammals, and its relationship to the determination of diets of extinct species. In: </w:t>
      </w:r>
      <w:proofErr w:type="spellStart"/>
      <w:r w:rsidRPr="00F23204">
        <w:rPr>
          <w:rFonts w:ascii="Arial" w:hAnsi="Arial" w:cs="Arial"/>
          <w:bCs/>
          <w:sz w:val="20"/>
        </w:rPr>
        <w:t>Boucot</w:t>
      </w:r>
      <w:proofErr w:type="spellEnd"/>
      <w:r w:rsidRPr="00F23204">
        <w:rPr>
          <w:rFonts w:ascii="Arial" w:hAnsi="Arial" w:cs="Arial"/>
          <w:bCs/>
          <w:sz w:val="20"/>
        </w:rPr>
        <w:t xml:space="preserve"> AJ, editors. Evolutionary Paleobiology of Behavior and Coevolution. Amsterdam: Elsevier Science; 1990. pp.241-259. </w:t>
      </w:r>
    </w:p>
    <w:p w14:paraId="10C22F57" w14:textId="51D7F556" w:rsidR="007843C9" w:rsidRDefault="00F23204" w:rsidP="009621B5">
      <w:pPr>
        <w:pStyle w:val="ListParagraph"/>
        <w:numPr>
          <w:ilvl w:val="0"/>
          <w:numId w:val="15"/>
        </w:numPr>
        <w:rPr>
          <w:rFonts w:ascii="Arial" w:hAnsi="Arial" w:cs="Arial"/>
          <w:bCs/>
          <w:sz w:val="20"/>
        </w:rPr>
      </w:pPr>
      <w:proofErr w:type="spellStart"/>
      <w:proofErr w:type="gramStart"/>
      <w:r w:rsidRPr="00F23204">
        <w:rPr>
          <w:rFonts w:ascii="Arial" w:hAnsi="Arial" w:cs="Arial"/>
          <w:bCs/>
          <w:sz w:val="20"/>
        </w:rPr>
        <w:t>M‘</w:t>
      </w:r>
      <w:proofErr w:type="gramEnd"/>
      <w:r w:rsidRPr="00F23204">
        <w:rPr>
          <w:rFonts w:ascii="Arial" w:hAnsi="Arial" w:cs="Arial"/>
          <w:bCs/>
          <w:sz w:val="20"/>
        </w:rPr>
        <w:t>Kirera</w:t>
      </w:r>
      <w:proofErr w:type="spellEnd"/>
      <w:r w:rsidRPr="00F23204">
        <w:rPr>
          <w:rFonts w:ascii="Arial" w:hAnsi="Arial" w:cs="Arial"/>
          <w:bCs/>
          <w:sz w:val="20"/>
        </w:rPr>
        <w:t xml:space="preserve"> F, Ungar PS. Occlusal Relief changes with molar wear in Pan troglodytes </w:t>
      </w:r>
      <w:proofErr w:type="spellStart"/>
      <w:r w:rsidRPr="00F23204">
        <w:rPr>
          <w:rFonts w:ascii="Arial" w:hAnsi="Arial" w:cs="Arial"/>
          <w:bCs/>
          <w:sz w:val="20"/>
        </w:rPr>
        <w:t>troglodytes</w:t>
      </w:r>
      <w:proofErr w:type="spellEnd"/>
      <w:r w:rsidRPr="00F23204">
        <w:rPr>
          <w:rFonts w:ascii="Arial" w:hAnsi="Arial" w:cs="Arial"/>
          <w:bCs/>
          <w:sz w:val="20"/>
        </w:rPr>
        <w:t xml:space="preserve"> and Gorilla </w:t>
      </w:r>
      <w:proofErr w:type="spellStart"/>
      <w:r w:rsidRPr="00F23204">
        <w:rPr>
          <w:rFonts w:ascii="Arial" w:hAnsi="Arial" w:cs="Arial"/>
          <w:bCs/>
          <w:sz w:val="20"/>
        </w:rPr>
        <w:t>gorilla</w:t>
      </w:r>
      <w:proofErr w:type="spellEnd"/>
      <w:r w:rsidRPr="00F23204">
        <w:rPr>
          <w:rFonts w:ascii="Arial" w:hAnsi="Arial" w:cs="Arial"/>
          <w:bCs/>
          <w:sz w:val="20"/>
        </w:rPr>
        <w:t xml:space="preserve"> </w:t>
      </w:r>
      <w:proofErr w:type="spellStart"/>
      <w:r w:rsidRPr="00F23204">
        <w:rPr>
          <w:rFonts w:ascii="Arial" w:hAnsi="Arial" w:cs="Arial"/>
          <w:bCs/>
          <w:sz w:val="20"/>
        </w:rPr>
        <w:t>gorilla</w:t>
      </w:r>
      <w:proofErr w:type="spellEnd"/>
      <w:r w:rsidRPr="00F23204">
        <w:rPr>
          <w:rFonts w:ascii="Arial" w:hAnsi="Arial" w:cs="Arial"/>
          <w:bCs/>
          <w:sz w:val="20"/>
        </w:rPr>
        <w:t xml:space="preserve">. Am J Phys </w:t>
      </w:r>
      <w:proofErr w:type="spellStart"/>
      <w:r w:rsidRPr="00F23204">
        <w:rPr>
          <w:rFonts w:ascii="Arial" w:hAnsi="Arial" w:cs="Arial"/>
          <w:bCs/>
          <w:sz w:val="20"/>
        </w:rPr>
        <w:t>Anthropol</w:t>
      </w:r>
      <w:proofErr w:type="spellEnd"/>
      <w:r w:rsidRPr="00F23204">
        <w:rPr>
          <w:rFonts w:ascii="Arial" w:hAnsi="Arial" w:cs="Arial"/>
          <w:bCs/>
          <w:sz w:val="20"/>
        </w:rPr>
        <w:t>. (2003); 60(2): 31-41.</w:t>
      </w:r>
    </w:p>
    <w:p w14:paraId="43E85FA0" w14:textId="77777777" w:rsidR="00022230" w:rsidRPr="00022230" w:rsidRDefault="00022230" w:rsidP="00022230">
      <w:pPr>
        <w:pStyle w:val="ListParagraph"/>
        <w:numPr>
          <w:ilvl w:val="0"/>
          <w:numId w:val="15"/>
        </w:numPr>
        <w:rPr>
          <w:rFonts w:ascii="Arial" w:hAnsi="Arial" w:cs="Arial"/>
          <w:bCs/>
          <w:sz w:val="20"/>
        </w:rPr>
      </w:pPr>
      <w:proofErr w:type="spellStart"/>
      <w:r w:rsidRPr="00022230">
        <w:rPr>
          <w:rFonts w:ascii="Arial" w:hAnsi="Arial" w:cs="Arial"/>
          <w:bCs/>
          <w:sz w:val="20"/>
        </w:rPr>
        <w:t>Egozcue</w:t>
      </w:r>
      <w:proofErr w:type="spellEnd"/>
      <w:r w:rsidRPr="00022230">
        <w:rPr>
          <w:rFonts w:ascii="Arial" w:hAnsi="Arial" w:cs="Arial"/>
          <w:bCs/>
          <w:sz w:val="20"/>
        </w:rPr>
        <w:t xml:space="preserve"> J, </w:t>
      </w:r>
      <w:proofErr w:type="spellStart"/>
      <w:r w:rsidRPr="00022230">
        <w:rPr>
          <w:rFonts w:ascii="Arial" w:hAnsi="Arial" w:cs="Arial"/>
          <w:bCs/>
          <w:sz w:val="20"/>
        </w:rPr>
        <w:t>Pawlowsky-Glahn</w:t>
      </w:r>
      <w:proofErr w:type="spellEnd"/>
      <w:r w:rsidRPr="00022230">
        <w:rPr>
          <w:rFonts w:ascii="Arial" w:hAnsi="Arial" w:cs="Arial"/>
          <w:bCs/>
          <w:sz w:val="20"/>
        </w:rPr>
        <w:t xml:space="preserve"> V, </w:t>
      </w:r>
      <w:proofErr w:type="spellStart"/>
      <w:r w:rsidRPr="00022230">
        <w:rPr>
          <w:rFonts w:ascii="Arial" w:hAnsi="Arial" w:cs="Arial"/>
          <w:bCs/>
          <w:sz w:val="20"/>
        </w:rPr>
        <w:t>Mateu-Figueras</w:t>
      </w:r>
      <w:proofErr w:type="spellEnd"/>
      <w:r w:rsidRPr="00022230">
        <w:rPr>
          <w:rFonts w:ascii="Arial" w:hAnsi="Arial" w:cs="Arial"/>
          <w:bCs/>
          <w:sz w:val="20"/>
        </w:rPr>
        <w:t xml:space="preserve"> G, Barceló-Vidal C. Isometric </w:t>
      </w:r>
      <w:proofErr w:type="spellStart"/>
      <w:r w:rsidRPr="00022230">
        <w:rPr>
          <w:rFonts w:ascii="Arial" w:hAnsi="Arial" w:cs="Arial"/>
          <w:bCs/>
          <w:sz w:val="20"/>
        </w:rPr>
        <w:t>Logratio</w:t>
      </w:r>
      <w:proofErr w:type="spellEnd"/>
      <w:r w:rsidRPr="00022230">
        <w:rPr>
          <w:rFonts w:ascii="Arial" w:hAnsi="Arial" w:cs="Arial"/>
          <w:bCs/>
          <w:sz w:val="20"/>
        </w:rPr>
        <w:t xml:space="preserve"> Transformations for Compositional Data Analysis. Math Geol. 2003; 35(3): 279-300.</w:t>
      </w:r>
    </w:p>
    <w:p w14:paraId="64EBCF9D" w14:textId="77777777" w:rsidR="00022230" w:rsidRPr="00346FFA" w:rsidRDefault="00022230" w:rsidP="00022230">
      <w:pPr>
        <w:pStyle w:val="ListParagraph"/>
        <w:ind w:left="360"/>
        <w:rPr>
          <w:rFonts w:ascii="Arial" w:hAnsi="Arial" w:cs="Arial"/>
          <w:bCs/>
          <w:sz w:val="20"/>
        </w:rPr>
      </w:pPr>
    </w:p>
    <w:sectPr w:rsidR="00022230" w:rsidRPr="00346FFA" w:rsidSect="00F125EE">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D0A3" w14:textId="77777777" w:rsidR="00B71113" w:rsidRDefault="00B71113">
      <w:r>
        <w:separator/>
      </w:r>
    </w:p>
  </w:endnote>
  <w:endnote w:type="continuationSeparator" w:id="0">
    <w:p w14:paraId="02575FF1" w14:textId="77777777" w:rsidR="00B71113" w:rsidRDefault="00B7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907" w14:textId="7EFF20DE" w:rsidR="00F125EE" w:rsidRDefault="00114193">
    <w:pPr>
      <w:pStyle w:val="Footer"/>
      <w:jc w:val="right"/>
    </w:pPr>
    <w:r>
      <w:fldChar w:fldCharType="begin"/>
    </w:r>
    <w:r>
      <w:instrText xml:space="preserve"> PAGE   \* MERGEFORMAT </w:instrText>
    </w:r>
    <w:r>
      <w:fldChar w:fldCharType="separate"/>
    </w:r>
    <w:r w:rsidR="00DC623A">
      <w:rPr>
        <w:noProof/>
      </w:rPr>
      <w:t>1</w:t>
    </w:r>
    <w:r>
      <w:fldChar w:fldCharType="end"/>
    </w:r>
  </w:p>
  <w:p w14:paraId="180EEFF6"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4C69" w14:textId="77777777" w:rsidR="00B71113" w:rsidRDefault="00B71113">
      <w:r>
        <w:separator/>
      </w:r>
    </w:p>
  </w:footnote>
  <w:footnote w:type="continuationSeparator" w:id="0">
    <w:p w14:paraId="10474F8B" w14:textId="77777777" w:rsidR="00B71113" w:rsidRDefault="00B7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0DC9" w14:textId="77777777" w:rsidR="003A2FD8" w:rsidRPr="005001AC" w:rsidRDefault="003A2FD8" w:rsidP="005001AC">
    <w:pPr>
      <w:jc w:val="right"/>
      <w:rPr>
        <w:sz w:val="20"/>
      </w:rPr>
    </w:pPr>
  </w:p>
  <w:p w14:paraId="0091C365"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A67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4B2"/>
    <w:rsid w:val="00015F74"/>
    <w:rsid w:val="00017C53"/>
    <w:rsid w:val="00022230"/>
    <w:rsid w:val="000266A3"/>
    <w:rsid w:val="00030840"/>
    <w:rsid w:val="00045D3C"/>
    <w:rsid w:val="000578F2"/>
    <w:rsid w:val="00065EBD"/>
    <w:rsid w:val="000669DC"/>
    <w:rsid w:val="000713A0"/>
    <w:rsid w:val="00083B44"/>
    <w:rsid w:val="000850DC"/>
    <w:rsid w:val="000A41E4"/>
    <w:rsid w:val="000A6313"/>
    <w:rsid w:val="000C2771"/>
    <w:rsid w:val="000D14CF"/>
    <w:rsid w:val="000F0DCE"/>
    <w:rsid w:val="000F54A9"/>
    <w:rsid w:val="00112C5B"/>
    <w:rsid w:val="00114193"/>
    <w:rsid w:val="00115A38"/>
    <w:rsid w:val="0011687B"/>
    <w:rsid w:val="00124F82"/>
    <w:rsid w:val="00150A89"/>
    <w:rsid w:val="0016337A"/>
    <w:rsid w:val="00164269"/>
    <w:rsid w:val="001713EA"/>
    <w:rsid w:val="00171D4A"/>
    <w:rsid w:val="00175138"/>
    <w:rsid w:val="00177F03"/>
    <w:rsid w:val="00185DFB"/>
    <w:rsid w:val="001A1BDE"/>
    <w:rsid w:val="001C0520"/>
    <w:rsid w:val="001C0975"/>
    <w:rsid w:val="001D120E"/>
    <w:rsid w:val="001D1BED"/>
    <w:rsid w:val="001F0876"/>
    <w:rsid w:val="001F167C"/>
    <w:rsid w:val="001F5E91"/>
    <w:rsid w:val="001F63A3"/>
    <w:rsid w:val="002077B9"/>
    <w:rsid w:val="00217CE1"/>
    <w:rsid w:val="00254038"/>
    <w:rsid w:val="002603D6"/>
    <w:rsid w:val="0026224E"/>
    <w:rsid w:val="00262D72"/>
    <w:rsid w:val="00294FBB"/>
    <w:rsid w:val="002C030F"/>
    <w:rsid w:val="002C667A"/>
    <w:rsid w:val="003072E7"/>
    <w:rsid w:val="00323F30"/>
    <w:rsid w:val="00325D90"/>
    <w:rsid w:val="00331D75"/>
    <w:rsid w:val="00332BFB"/>
    <w:rsid w:val="00334E30"/>
    <w:rsid w:val="00346FFA"/>
    <w:rsid w:val="00355362"/>
    <w:rsid w:val="00363E44"/>
    <w:rsid w:val="00370B93"/>
    <w:rsid w:val="00387114"/>
    <w:rsid w:val="00395E86"/>
    <w:rsid w:val="00397983"/>
    <w:rsid w:val="003A2FD8"/>
    <w:rsid w:val="003B40E6"/>
    <w:rsid w:val="003E4AF9"/>
    <w:rsid w:val="003E6E32"/>
    <w:rsid w:val="003F6E14"/>
    <w:rsid w:val="00405336"/>
    <w:rsid w:val="00443B6A"/>
    <w:rsid w:val="004571D5"/>
    <w:rsid w:val="00461D81"/>
    <w:rsid w:val="0046356B"/>
    <w:rsid w:val="00470ED7"/>
    <w:rsid w:val="00477182"/>
    <w:rsid w:val="004779CB"/>
    <w:rsid w:val="00480020"/>
    <w:rsid w:val="004911A3"/>
    <w:rsid w:val="004A159F"/>
    <w:rsid w:val="004A38E5"/>
    <w:rsid w:val="004B2F21"/>
    <w:rsid w:val="004C0A51"/>
    <w:rsid w:val="004E42D8"/>
    <w:rsid w:val="004E7BA2"/>
    <w:rsid w:val="004F583F"/>
    <w:rsid w:val="004F7EDF"/>
    <w:rsid w:val="005001AC"/>
    <w:rsid w:val="00527D71"/>
    <w:rsid w:val="00541F2B"/>
    <w:rsid w:val="005607DD"/>
    <w:rsid w:val="00592699"/>
    <w:rsid w:val="005A558C"/>
    <w:rsid w:val="005B1B5D"/>
    <w:rsid w:val="005D088E"/>
    <w:rsid w:val="005E0A04"/>
    <w:rsid w:val="005E28F8"/>
    <w:rsid w:val="005E6513"/>
    <w:rsid w:val="006069C6"/>
    <w:rsid w:val="00611A19"/>
    <w:rsid w:val="006140DF"/>
    <w:rsid w:val="00615957"/>
    <w:rsid w:val="00627B20"/>
    <w:rsid w:val="0063326D"/>
    <w:rsid w:val="00641620"/>
    <w:rsid w:val="00643DDC"/>
    <w:rsid w:val="00651114"/>
    <w:rsid w:val="0065772A"/>
    <w:rsid w:val="00670299"/>
    <w:rsid w:val="0067103C"/>
    <w:rsid w:val="00691985"/>
    <w:rsid w:val="006A1B64"/>
    <w:rsid w:val="006D169A"/>
    <w:rsid w:val="006E3E68"/>
    <w:rsid w:val="006E4D98"/>
    <w:rsid w:val="007108F5"/>
    <w:rsid w:val="00712EC2"/>
    <w:rsid w:val="00713E5B"/>
    <w:rsid w:val="007402FC"/>
    <w:rsid w:val="007411A1"/>
    <w:rsid w:val="00763345"/>
    <w:rsid w:val="00780DBD"/>
    <w:rsid w:val="007843C9"/>
    <w:rsid w:val="00797F24"/>
    <w:rsid w:val="007B5946"/>
    <w:rsid w:val="007F5297"/>
    <w:rsid w:val="00807D35"/>
    <w:rsid w:val="00820484"/>
    <w:rsid w:val="00824DF3"/>
    <w:rsid w:val="008331EF"/>
    <w:rsid w:val="00840BB2"/>
    <w:rsid w:val="00841451"/>
    <w:rsid w:val="00845E7A"/>
    <w:rsid w:val="0085257E"/>
    <w:rsid w:val="00862B9D"/>
    <w:rsid w:val="00885C9B"/>
    <w:rsid w:val="008B02E6"/>
    <w:rsid w:val="008C069B"/>
    <w:rsid w:val="008D5D2A"/>
    <w:rsid w:val="008F1058"/>
    <w:rsid w:val="0090768E"/>
    <w:rsid w:val="00914396"/>
    <w:rsid w:val="00914B63"/>
    <w:rsid w:val="009258B8"/>
    <w:rsid w:val="009354F3"/>
    <w:rsid w:val="00943C3C"/>
    <w:rsid w:val="009447DC"/>
    <w:rsid w:val="009502BC"/>
    <w:rsid w:val="009519CF"/>
    <w:rsid w:val="00961BA5"/>
    <w:rsid w:val="009621B5"/>
    <w:rsid w:val="009671A8"/>
    <w:rsid w:val="009743A9"/>
    <w:rsid w:val="0098029C"/>
    <w:rsid w:val="00983B8F"/>
    <w:rsid w:val="00986660"/>
    <w:rsid w:val="009A5287"/>
    <w:rsid w:val="009A670E"/>
    <w:rsid w:val="009B2AC5"/>
    <w:rsid w:val="009B7984"/>
    <w:rsid w:val="009D29F9"/>
    <w:rsid w:val="009E7DDC"/>
    <w:rsid w:val="009F4BED"/>
    <w:rsid w:val="009F7D93"/>
    <w:rsid w:val="00A21AF4"/>
    <w:rsid w:val="00A3403B"/>
    <w:rsid w:val="00A501CE"/>
    <w:rsid w:val="00A51A12"/>
    <w:rsid w:val="00A627D4"/>
    <w:rsid w:val="00A72B81"/>
    <w:rsid w:val="00A74DA2"/>
    <w:rsid w:val="00A9080F"/>
    <w:rsid w:val="00AA1B83"/>
    <w:rsid w:val="00AC15B4"/>
    <w:rsid w:val="00AC7583"/>
    <w:rsid w:val="00AD499C"/>
    <w:rsid w:val="00AD4C19"/>
    <w:rsid w:val="00AE5A70"/>
    <w:rsid w:val="00B003EE"/>
    <w:rsid w:val="00B1142D"/>
    <w:rsid w:val="00B15008"/>
    <w:rsid w:val="00B16F99"/>
    <w:rsid w:val="00B2011F"/>
    <w:rsid w:val="00B36869"/>
    <w:rsid w:val="00B42F9C"/>
    <w:rsid w:val="00B43B31"/>
    <w:rsid w:val="00B47CFA"/>
    <w:rsid w:val="00B57F00"/>
    <w:rsid w:val="00B71113"/>
    <w:rsid w:val="00B77B2A"/>
    <w:rsid w:val="00B82C22"/>
    <w:rsid w:val="00B8723B"/>
    <w:rsid w:val="00B93DBA"/>
    <w:rsid w:val="00B9440A"/>
    <w:rsid w:val="00BB2D2A"/>
    <w:rsid w:val="00BB6F90"/>
    <w:rsid w:val="00BD306C"/>
    <w:rsid w:val="00BD58CF"/>
    <w:rsid w:val="00C046DC"/>
    <w:rsid w:val="00C04CC1"/>
    <w:rsid w:val="00C37457"/>
    <w:rsid w:val="00C424DD"/>
    <w:rsid w:val="00C47714"/>
    <w:rsid w:val="00C50C6D"/>
    <w:rsid w:val="00C600D9"/>
    <w:rsid w:val="00C774EF"/>
    <w:rsid w:val="00C77575"/>
    <w:rsid w:val="00C81787"/>
    <w:rsid w:val="00CC1384"/>
    <w:rsid w:val="00CD3720"/>
    <w:rsid w:val="00CE0111"/>
    <w:rsid w:val="00CF16C9"/>
    <w:rsid w:val="00CF1848"/>
    <w:rsid w:val="00CF5C2F"/>
    <w:rsid w:val="00CF7E82"/>
    <w:rsid w:val="00D019D1"/>
    <w:rsid w:val="00D04BCF"/>
    <w:rsid w:val="00D0620A"/>
    <w:rsid w:val="00D143D9"/>
    <w:rsid w:val="00D162C7"/>
    <w:rsid w:val="00D20009"/>
    <w:rsid w:val="00D2172A"/>
    <w:rsid w:val="00D269AB"/>
    <w:rsid w:val="00D346C2"/>
    <w:rsid w:val="00D47A10"/>
    <w:rsid w:val="00D64A40"/>
    <w:rsid w:val="00D76B00"/>
    <w:rsid w:val="00D95868"/>
    <w:rsid w:val="00DA22DA"/>
    <w:rsid w:val="00DA33B8"/>
    <w:rsid w:val="00DA3B5E"/>
    <w:rsid w:val="00DA59EA"/>
    <w:rsid w:val="00DC623A"/>
    <w:rsid w:val="00DD19CA"/>
    <w:rsid w:val="00DD421A"/>
    <w:rsid w:val="00DD4EB9"/>
    <w:rsid w:val="00DF5172"/>
    <w:rsid w:val="00DF6138"/>
    <w:rsid w:val="00DF624C"/>
    <w:rsid w:val="00DF778E"/>
    <w:rsid w:val="00E22256"/>
    <w:rsid w:val="00E257C8"/>
    <w:rsid w:val="00E261B1"/>
    <w:rsid w:val="00E37047"/>
    <w:rsid w:val="00E438D3"/>
    <w:rsid w:val="00E60D0F"/>
    <w:rsid w:val="00E72E52"/>
    <w:rsid w:val="00E9773B"/>
    <w:rsid w:val="00EA596B"/>
    <w:rsid w:val="00EC13A3"/>
    <w:rsid w:val="00EC7C85"/>
    <w:rsid w:val="00ED0B0F"/>
    <w:rsid w:val="00F049E0"/>
    <w:rsid w:val="00F04CD9"/>
    <w:rsid w:val="00F072B8"/>
    <w:rsid w:val="00F125EE"/>
    <w:rsid w:val="00F12E98"/>
    <w:rsid w:val="00F166C1"/>
    <w:rsid w:val="00F22029"/>
    <w:rsid w:val="00F23204"/>
    <w:rsid w:val="00F252E9"/>
    <w:rsid w:val="00F25DEF"/>
    <w:rsid w:val="00F514EC"/>
    <w:rsid w:val="00F60CD4"/>
    <w:rsid w:val="00F630EA"/>
    <w:rsid w:val="00F63952"/>
    <w:rsid w:val="00F7007E"/>
    <w:rsid w:val="00F70200"/>
    <w:rsid w:val="00F73193"/>
    <w:rsid w:val="00F74F95"/>
    <w:rsid w:val="00F751F8"/>
    <w:rsid w:val="00F80705"/>
    <w:rsid w:val="00F954E5"/>
    <w:rsid w:val="00F957F2"/>
    <w:rsid w:val="00FA1481"/>
    <w:rsid w:val="00FB5F5F"/>
    <w:rsid w:val="00FD2387"/>
    <w:rsid w:val="00FE0A1D"/>
    <w:rsid w:val="00FF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 w:type="character" w:styleId="UnresolvedMention">
    <w:name w:val="Unresolved Mention"/>
    <w:basedOn w:val="DefaultParagraphFont"/>
    <w:uiPriority w:val="99"/>
    <w:semiHidden/>
    <w:unhideWhenUsed/>
    <w:rsid w:val="00F166C1"/>
    <w:rPr>
      <w:color w:val="605E5C"/>
      <w:shd w:val="clear" w:color="auto" w:fill="E1DFDD"/>
    </w:rPr>
  </w:style>
  <w:style w:type="table" w:customStyle="1" w:styleId="TableGrid1">
    <w:name w:val="Table Grid1"/>
    <w:basedOn w:val="TableNormal"/>
    <w:next w:val="TableGrid"/>
    <w:uiPriority w:val="39"/>
    <w:rsid w:val="0063326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33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3326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24D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A33B8"/>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72E5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2E5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72E5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silvester.15@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A570-445A-4792-B7C4-EE81A5C6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11374</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Chris Silvester</cp:lastModifiedBy>
  <cp:revision>2</cp:revision>
  <cp:lastPrinted>2021-03-01T14:28:00Z</cp:lastPrinted>
  <dcterms:created xsi:type="dcterms:W3CDTF">2021-10-13T08:08:00Z</dcterms:created>
  <dcterms:modified xsi:type="dcterms:W3CDTF">2021-10-13T08:08:00Z</dcterms:modified>
</cp:coreProperties>
</file>