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FF4F" w14:textId="71372A1A" w:rsidR="005520BC" w:rsidRDefault="005520BC" w:rsidP="00733828">
      <w:pPr>
        <w:pStyle w:val="Heading1"/>
        <w:spacing w:line="480" w:lineRule="auto"/>
      </w:pPr>
      <w:r>
        <w:t xml:space="preserve">S1 </w:t>
      </w:r>
      <w:r w:rsidR="00E03D7A">
        <w:t>Supporting information</w:t>
      </w:r>
    </w:p>
    <w:p w14:paraId="63F737D0" w14:textId="77777777" w:rsidR="005520BC" w:rsidRPr="001C3AF8" w:rsidRDefault="005520BC" w:rsidP="00733828">
      <w:pPr>
        <w:spacing w:after="0" w:line="480" w:lineRule="auto"/>
        <w:rPr>
          <w:b/>
          <w:sz w:val="32"/>
          <w:szCs w:val="32"/>
        </w:rPr>
      </w:pPr>
      <w:r w:rsidRPr="001C3AF8">
        <w:rPr>
          <w:b/>
          <w:sz w:val="32"/>
          <w:szCs w:val="32"/>
        </w:rPr>
        <w:t>Detailed IUCN Red List Methodology</w:t>
      </w:r>
    </w:p>
    <w:p w14:paraId="1E2516A8" w14:textId="77777777" w:rsidR="005520BC" w:rsidRDefault="005520BC" w:rsidP="00733828">
      <w:pPr>
        <w:spacing w:after="0" w:line="480" w:lineRule="auto"/>
      </w:pPr>
    </w:p>
    <w:p w14:paraId="0FE2FAAF" w14:textId="0A84D62B" w:rsidR="005520BC" w:rsidRDefault="005520BC" w:rsidP="00733828">
      <w:pPr>
        <w:spacing w:after="0" w:line="480" w:lineRule="auto"/>
        <w:ind w:firstLine="720"/>
      </w:pPr>
      <w:r w:rsidRPr="009C2483">
        <w:t xml:space="preserve">To define a species range, we used the extent of occurrence (EOO), determined by the area of a minimum convex polygon drawn around all known, inferred, or projected sites of present occurrence, and/or the area of occupancy (AOO), based on the area of suitable habitat currently occupied by the species. </w:t>
      </w:r>
      <w:r w:rsidR="00227480" w:rsidRPr="00227480">
        <w:t>Taxa qualifying as threatened under Criterion B1 have an extent of occurrence (EOO) of less than 20,000 km</w:t>
      </w:r>
      <w:r w:rsidR="00227480" w:rsidRPr="00227480">
        <w:rPr>
          <w:vertAlign w:val="superscript"/>
        </w:rPr>
        <w:t>2</w:t>
      </w:r>
      <w:r w:rsidR="00227480" w:rsidRPr="00227480">
        <w:t>. Taxa qualifying as threatened under Criterion B2 have an area of occupancy of less than 2,000 km</w:t>
      </w:r>
      <w:r w:rsidR="00227480" w:rsidRPr="00227480">
        <w:rPr>
          <w:vertAlign w:val="superscript"/>
        </w:rPr>
        <w:t>2</w:t>
      </w:r>
      <w:r w:rsidR="00227480" w:rsidRPr="00227480">
        <w:t xml:space="preserve">. </w:t>
      </w:r>
      <w:r w:rsidRPr="009C2483">
        <w:t>According to IUCN guidelines, however, having a restricted range alone is not sufficient to qualify for threatened status</w:t>
      </w:r>
      <w:r w:rsidR="00227480">
        <w:t xml:space="preserve"> under Criterion B</w:t>
      </w:r>
      <w:r w:rsidRPr="009C2483">
        <w:t xml:space="preserve">. The species in question must also qualify for </w:t>
      </w:r>
      <w:r w:rsidR="00FA670F">
        <w:t>two</w:t>
      </w:r>
      <w:r w:rsidR="00FA670F" w:rsidRPr="009C2483">
        <w:t xml:space="preserve"> </w:t>
      </w:r>
      <w:r w:rsidRPr="009C2483">
        <w:t>of t</w:t>
      </w:r>
      <w:r w:rsidR="00FA670F">
        <w:t>hree</w:t>
      </w:r>
      <w:r w:rsidRPr="009C2483">
        <w:t xml:space="preserve"> sub-criteria: a (the taxon is severely fragmented or is found in few locations, which are defined as the area impacted by a specific threat); b (continuing decline has been observed, estimated, inferred, or projected in (i) EOO, (ii) AOO, (iii) area, extent and/or quality of habitat , (iv) number of locations or subpopulations, and/or (v) number of mature individuals; or c (extreme fluctuation in (i) EOO, (ii) AOO, (iii) number of locations for subpopulations, and/or (iv) number of mature individuals) </w:t>
      </w:r>
      <w:r w:rsidRPr="009C2483">
        <w:fldChar w:fldCharType="begin"/>
      </w:r>
      <w:r w:rsidR="00733828">
        <w:instrText xml:space="preserve"> ADDIN ZOTERO_ITEM CSL_CITATION {"citationID":"7SyjNQ0b","properties":{"formattedCitation":"[1]","plainCitation":"[1]","noteIndex":0},"citationItems":[{"id":177,"uris":["http://zotero.org/users/local/oCrn25ZC/items/CEU3H269"],"uri":["http://zotero.org/users/local/oCrn25ZC/items/CEU3H269"],"itemData":{"id":177,"type":"report","title":"Guidelines for using the IUCN Red List Categories and Criteria. Version 14. Prepared by the Standards and Petitions Committee","URL":"http://www.iucnredlist.org/documents/RedListGuidelines.pdf","author":[{"family":"IUCN Standards and Petitions Committee","given":""}],"accessed":{"date-parts":[["2021",4,9]]},"issued":{"date-parts":[["2019"]]}}}],"schema":"https://github.com/citation-style-language/schema/raw/master/csl-citation.json"} </w:instrText>
      </w:r>
      <w:r w:rsidRPr="009C2483">
        <w:fldChar w:fldCharType="separate"/>
      </w:r>
      <w:r w:rsidR="00733828" w:rsidRPr="00733828">
        <w:t>[1]</w:t>
      </w:r>
      <w:r w:rsidRPr="009C2483">
        <w:fldChar w:fldCharType="end"/>
      </w:r>
      <w:r w:rsidRPr="009C2483">
        <w:t xml:space="preserve">. </w:t>
      </w:r>
    </w:p>
    <w:p w14:paraId="6125659D" w14:textId="1AF82EFF" w:rsidR="00227480" w:rsidRPr="00227480" w:rsidRDefault="00227480" w:rsidP="00227480">
      <w:pPr>
        <w:spacing w:after="0" w:line="480" w:lineRule="auto"/>
        <w:ind w:firstLine="720"/>
      </w:pPr>
      <w:r w:rsidRPr="00227480">
        <w:t>Taxa meeting the conditions for sub-criterion a are either severely fragmented (</w:t>
      </w:r>
      <w:r w:rsidRPr="00B233ED">
        <w:t>“</w:t>
      </w:r>
      <w:r w:rsidRPr="001C3AF8">
        <w:rPr>
          <w:iCs/>
        </w:rPr>
        <w:t>most individuals are found in small and relatively isolated populations”</w:t>
      </w:r>
      <w:r w:rsidRPr="00B233ED">
        <w:t>) or occur in less than 10 locations (“</w:t>
      </w:r>
      <w:r w:rsidRPr="001C3AF8">
        <w:rPr>
          <w:iCs/>
        </w:rPr>
        <w:t>a geographically or ecologically distinct area in which a single threatening event can rapidly affect all individuals of the taxon present”</w:t>
      </w:r>
      <w:r w:rsidRPr="00B233ED">
        <w:t>). In taxa meeting the conditions for sub-criterion b, continuing decline (“</w:t>
      </w:r>
      <w:r w:rsidRPr="001C3AF8">
        <w:rPr>
          <w:iCs/>
        </w:rPr>
        <w:t>a recent, current, or projected future decline which is liable to continue unless remedial measures are taken”</w:t>
      </w:r>
      <w:r w:rsidRPr="00B233ED">
        <w:t>) in (i) EOO, (ii) AOO, (iii) area, extent and/or quality of habitat, (iv) number of locations or subpopulations, and/or (v) the number of mature individuals, has been observed, estimated, inferred, or projected. None of the taxa in this study met the conditions for the third and final sub-criteria; sub-</w:t>
      </w:r>
      <w:r w:rsidRPr="00B233ED">
        <w:lastRenderedPageBreak/>
        <w:t>criterion c, which applies to ta</w:t>
      </w:r>
      <w:bookmarkStart w:id="0" w:name="_GoBack"/>
      <w:bookmarkEnd w:id="0"/>
      <w:r w:rsidRPr="00B233ED">
        <w:t>xa that exhibit extreme fluctuations (“</w:t>
      </w:r>
      <w:r w:rsidRPr="001C3AF8">
        <w:rPr>
          <w:iCs/>
        </w:rPr>
        <w:t>population size or distribution area varies widely, rapidly, and frequently, typically with a variation greater than one order of magnitude”</w:t>
      </w:r>
      <w:r w:rsidRPr="00B233ED">
        <w:t>) in</w:t>
      </w:r>
      <w:r w:rsidRPr="00227480">
        <w:t xml:space="preserve"> (i) EOO, (ii) AOO, (iii) number of locations or subpopulations and/or (iv) the number of mature individuals. For additional details on applying the categories and criteria, refer to the </w:t>
      </w:r>
      <w:r w:rsidRPr="00227480">
        <w:rPr>
          <w:i/>
          <w:iCs/>
        </w:rPr>
        <w:t>Guidelines for Using the IUCN Red List Categories and Criteria</w:t>
      </w:r>
      <w:r w:rsidRPr="00227480">
        <w:t xml:space="preserve"> </w:t>
      </w:r>
      <w:r>
        <w:fldChar w:fldCharType="begin"/>
      </w:r>
      <w:r>
        <w:instrText xml:space="preserve"> ADDIN ZOTERO_ITEM CSL_CITATION {"citationID":"LhC5Lyuo","properties":{"formattedCitation":"[1]","plainCitation":"[1]","noteIndex":0},"citationItems":[{"id":177,"uris":["http://zotero.org/users/local/oCrn25ZC/items/CEU3H269"],"uri":["http://zotero.org/users/local/oCrn25ZC/items/CEU3H269"],"itemData":{"id":177,"type":"report","title":"Guidelines for using the IUCN Red List Categories and Criteria. Version 14. Prepared by the Standards and Petitions Committee","URL":"http://www.iucnredlist.org/documents/RedListGuidelines.pdf","author":[{"family":"IUCN Standards and Petitions Committee","given":""}],"accessed":{"date-parts":[["2021",4,9]]},"issued":{"date-parts":[["2019"]]}}}],"schema":"https://github.com/citation-style-language/schema/raw/master/csl-citation.json"} </w:instrText>
      </w:r>
      <w:r>
        <w:fldChar w:fldCharType="separate"/>
      </w:r>
      <w:r w:rsidRPr="00227480">
        <w:t>[1]</w:t>
      </w:r>
      <w:r>
        <w:fldChar w:fldCharType="end"/>
      </w:r>
      <w:r w:rsidRPr="00227480">
        <w:t>.</w:t>
      </w:r>
    </w:p>
    <w:p w14:paraId="51A4C1D5" w14:textId="77777777" w:rsidR="005520BC" w:rsidRDefault="005520BC" w:rsidP="00733828">
      <w:pPr>
        <w:spacing w:after="0" w:line="480" w:lineRule="auto"/>
        <w:ind w:firstLine="720"/>
      </w:pPr>
      <w:r w:rsidRPr="009C2483">
        <w:t xml:space="preserve">As abundance tends to be correlated with the size of the distribution of a species </w:t>
      </w:r>
      <w:r w:rsidRPr="009C2483">
        <w:fldChar w:fldCharType="begin"/>
      </w:r>
      <w:r w:rsidR="00037E7A">
        <w:instrText xml:space="preserve"> ADDIN ZOTERO_ITEM CSL_CITATION {"citationID":"G5GLPkGd","properties":{"formattedCitation":"[2]","plainCitation":"[2]","noteIndex":0},"citationItems":[{"id":153,"uris":["http://zotero.org/users/local/oCrn25ZC/items/JEHTM8FI"],"uri":["http://zotero.org/users/local/oCrn25ZC/items/JEHTM8FI"],"itemData":{"id":153,"type":"article-journal","abstract":"One of the most general patterns in community ecology is the positive relationship between the number of sites or areas in which a species in a taxonomic assemblage occurs regionally and its local abundance. A number of hypotheses have been proposed to explain this interspecific occupancy-abundance relationship, but it has recently been argued that the pattern is most profitably viewed as a consequence of the spatial distribution of the individuals of each species. In this paper we explore the link between spatial distribution and the occupancy-abundance relationship, with particular reference to statistical models that have been suggested to describe the pattern, and discuss its connections with a broad understanding of how organisms are distributed in space. A range of models describe observed occupancy-abundance relationships reasonably well, but are commonly not well differentiated over the range of abundances implicit in such relationships. There is little evidence that species exhibit great commonality in the form of their aggregative behaviour, but this does not matter in terms of the generation of a positive interspecific occupancy-abundance relationship. Eines der allgemeinsten Muster in der Ökologie der Lebensgemeinschaften ist die Beziehung zwischen der Anzahl der Standorte oder Gebiete, an oder in denen Arten einer taxonomischen Gruppe vorkommmen, und ihrer lokalen Abundanz. Es wurde eine Anzahl von Hypothesen vorgeschlagen, um diese interspezifische Anwesenheits-Abundanz-Beziehung zu erklären. In letzter Zeit wurde jedoch angeführt, dass dieses Muster mit dem besten Ergebnis als eine Folge der räumlichen Verteilung der Individuen einer jeden Art zu sehen ist. In diesem Review erkunden wir die Verbindung zwischen der räumlichen Verteilung und der Anwesenheits-Abundanz-Beziehung, wobei besonderer Wert auf die statistischen Modelle gelegt wird. Zudem erörtern wir in welcher Beziehung sie zu einem breiten Verständnis der Verteilung der Organismen im Raum steht. Eine Reihe von Modellen beschreibt die Anwesenheits-Abundanz-Beziehung relativ gut; sie sind aber meistens über den Bereich der Abundanzen, die in diesen Beziehungen vorkommen, nicht ausreichend differenziert. Es gibt nur wenige Beweise dafür, dass die Arten eine große Gemeinsamkeit in der Form ihres aggregierenden Verhaltens aufweisen. Das spielt jedoch keine Rolle in Beziehung auf die Erzeugung einer positiven interspezifischen Anwesenheits-Abundanz-Beziehung.","container-title":"Basic and Applied Ecology","DOI":"10.1078/1439-1791-00083","ISSN":"1439-1791","issue":"1","journalAbbreviation":"Basic and Applied Ecology","language":"en","page":"1-13","source":"ScienceDirect","title":"Occupancy-abundance relationships and spatial distribution: A review","title-short":"Occupancy-abundance relationships and spatial distribution","volume":"3","author":[{"family":"Holt","given":"Alison R."},{"family":"Gaston","given":"Kevin J."},{"family":"He","given":"Fangliang"}],"issued":{"date-parts":[["2002",1,1]]}}}],"schema":"https://github.com/citation-style-language/schema/raw/master/csl-citation.json"} </w:instrText>
      </w:r>
      <w:r w:rsidRPr="009C2483">
        <w:fldChar w:fldCharType="separate"/>
      </w:r>
      <w:r w:rsidR="00733828" w:rsidRPr="00733828">
        <w:t>[2]</w:t>
      </w:r>
      <w:r w:rsidRPr="009C2483">
        <w:fldChar w:fldCharType="end"/>
      </w:r>
      <w:r w:rsidRPr="009C2483">
        <w:t xml:space="preserve">, in some cases population reductions can be suspected from observed reductions in the EOO or AOO of a species or known amounts of habitat loss. However, with North American fireflies, range reductions were difficult to quantify because the available distribution data did not allow for comparison between historical and current range extents. Detailed information on suitable habitats and qualitative data on habitat loss were also scarce. In most cases, locality data was only available for one point in time, often more than thirty years in the past, and few assumptions could be made about the likelihood that occurrence localities remain intact. </w:t>
      </w:r>
    </w:p>
    <w:p w14:paraId="5D8E9792" w14:textId="19BF75C2" w:rsidR="005520BC" w:rsidRPr="009C2483" w:rsidRDefault="005520BC" w:rsidP="00733828">
      <w:pPr>
        <w:spacing w:after="0" w:line="480" w:lineRule="auto"/>
        <w:ind w:firstLine="720"/>
      </w:pPr>
      <w:r w:rsidRPr="009C2483">
        <w:t xml:space="preserve">The lack of current distribution information was also problematic when calculating EOO and AOO. When only historical records were available, there was high uncertainty in EOO and AOO. This was especially true in regions with limited survey effort. We considered </w:t>
      </w:r>
      <w:r w:rsidR="00FA670F">
        <w:t>species</w:t>
      </w:r>
      <w:r w:rsidR="00FA670F" w:rsidRPr="009C2483">
        <w:t xml:space="preserve"> </w:t>
      </w:r>
      <w:r w:rsidRPr="009C2483">
        <w:t xml:space="preserve">presence to be uncertain for any </w:t>
      </w:r>
      <w:r w:rsidR="00FA670F">
        <w:t xml:space="preserve">occurrence </w:t>
      </w:r>
      <w:r w:rsidRPr="009C2483">
        <w:t xml:space="preserve">record more than 20 years old. When historical </w:t>
      </w:r>
      <w:r w:rsidR="000F0689">
        <w:t xml:space="preserve">and recent </w:t>
      </w:r>
      <w:r w:rsidRPr="009C2483">
        <w:t xml:space="preserve">data were available, an upper and lower bound were calculated for the range size parameters. The lower bound encompassed the range where the species was known to be extant and occurrence has been verified in the last 20 years, and the upper bound included all known occurrences, historical and current. </w:t>
      </w:r>
      <w:r>
        <w:t xml:space="preserve">Using this method likely improved the accuracy of our species distribution data compared to that used by Reed et al. </w:t>
      </w:r>
      <w:r>
        <w:fldChar w:fldCharType="begin"/>
      </w:r>
      <w:r w:rsidR="00037E7A">
        <w:instrText xml:space="preserve"> ADDIN ZOTERO_ITEM CSL_CITATION {"citationID":"MeyEZFcH","properties":{"formattedCitation":"[3]","plainCitation":"[3]","noteIndex":0},"citationItems":[{"id":91,"uris":["http://zotero.org/users/local/oCrn25ZC/items/92G3AAKB"],"uri":["http://zotero.org/users/local/oCrn25ZC/items/92G3AAKB"],"itemData":{"id":91,"type":"article-journal","abstract":"Two key problems in trying to link rarity to extinction risk have been conflating threats with risk factors, and over-reliance on a rarity construct that fails to capture many relevant risk factors. In this study, we disentangle threats from risk factors and show how their interaction can be used to predict extinction risk. We also investigate the sensitivity of rarity classifications to various thresholds, including biologically meaningful ones. We use the 168 species of North American firefly beetles (Coleoptera: Lampyridae) as our focal family to examine rarity classifications, and to illustrate the importance of clearly distinguishing between risk factors and threats in evaluating extinction risk. Our results show that, beyond rarity, fireflies exhibit numerous risk factors, including diet specialization, poor dispersal ability, light-based mating signals, symbiotic associations, and behaviors that can result in Allee effects, that make them susceptible to various global threats. This suggests that, for this group and perhaps other taxa, rarity type cannot be used as a surrogate for extinction risk. By identifying threats and risk factors and clearly distinguishing between them, this study should facilitate future assessments of extinction risk for this family, and the approach could be used for other taxa.","container-title":"Biodiversity and Conservation","DOI":"10.1007/s10531-019-01869-7","ISSN":"1572-9710","issue":"1","journalAbbreviation":"Biodivers Conserv","language":"en","page":"57-75","source":"Springer Link","title":"Linking the seven forms of rarity to extinction threats and risk factors: an assessment of North American fireflies","title-short":"Linking the seven forms of rarity to extinction threats and risk factors","volume":"29","author":[{"family":"Reed","given":"J. Michael"},{"family":"Nguyen","given":"Annie"},{"family":"Owens","given":"Avalon C. S."},{"family":"Lewis","given":"Sara M."}],"issued":{"date-parts":[["2020",1,1]]}},"suppress-author":true}],"schema":"https://github.com/citation-style-language/schema/raw/master/csl-citation.json"} </w:instrText>
      </w:r>
      <w:r>
        <w:fldChar w:fldCharType="separate"/>
      </w:r>
      <w:r w:rsidR="00733828" w:rsidRPr="00733828">
        <w:t>[3]</w:t>
      </w:r>
      <w:r>
        <w:fldChar w:fldCharType="end"/>
      </w:r>
      <w:r>
        <w:t>.</w:t>
      </w:r>
    </w:p>
    <w:p w14:paraId="05C89D05" w14:textId="77777777" w:rsidR="005520BC" w:rsidRDefault="005520BC" w:rsidP="00733828">
      <w:pPr>
        <w:spacing w:after="0" w:line="480" w:lineRule="auto"/>
        <w:ind w:firstLine="720"/>
      </w:pPr>
      <w:r w:rsidRPr="009C2483">
        <w:t>Extent of occurrence was calculated for most species. Exceptions included cases where no recent records exist or</w:t>
      </w:r>
      <w:r w:rsidR="00FA670F">
        <w:t xml:space="preserve"> for</w:t>
      </w:r>
      <w:r w:rsidRPr="009C2483">
        <w:t xml:space="preserve"> Data Deficient species with extremely high uncertainty in distribution limits, for example. However, AOO was only calculated when there was a high level of certainty in the number </w:t>
      </w:r>
      <w:r w:rsidRPr="009C2483">
        <w:lastRenderedPageBreak/>
        <w:t>of occurrence localities, where limited suitable habitat remains, or where sampling effort was extensive enough to rule out occurrences elsewhere. Unless we had evidence to the contrary, occurrence localities were assumed to fit into one 2 x 2 km grid cell (the standard spatial scale used by</w:t>
      </w:r>
      <w:r>
        <w:t xml:space="preserve"> the</w:t>
      </w:r>
      <w:r w:rsidRPr="009C2483">
        <w:t xml:space="preserve"> IUCN to estimate AOO), as firefly species generally have limited dispersal abilities and tend to aggregate in suitable habitats which are often limited in scale (L. Faust pers. obs.). Area of occupancy was also expressed as a range to reflect recently surveyed occurrences as well as historical occurrences where presence has not been verified recently. </w:t>
      </w:r>
    </w:p>
    <w:p w14:paraId="3919E82B" w14:textId="77777777" w:rsidR="00FA670F" w:rsidRDefault="005520BC" w:rsidP="00733828">
      <w:pPr>
        <w:spacing w:after="0" w:line="480" w:lineRule="auto"/>
        <w:ind w:firstLine="720"/>
      </w:pPr>
      <w:r w:rsidRPr="009C2483">
        <w:t xml:space="preserve">The range maps used to calculate EOO and AOO were created in ArcMap (v. 10.8). These maps are included in the Red List supporting information for each species assessment. There were several mapping protocols followed depending on the data available for each taxon. For widespread species with numerous recent occurrences, distributions were represented with points, as well as polygons encircling those points. In cases where large numbers of occurrence data were not georeferenced, the distributions were represented only with polygons. For habitat specialists with few occurrences, polygons buffered to the estimated dispersal distance for the taxon were draw around each occurrence. Historical occurrences were coded as presence uncertain (since no observations at that locality had been made in 20+ years), and recent occurrences </w:t>
      </w:r>
      <w:r w:rsidR="00FA670F">
        <w:t xml:space="preserve">(those reported in the last 20 years) </w:t>
      </w:r>
      <w:r w:rsidRPr="009C2483">
        <w:t xml:space="preserve">were coded as extant. In these cases, if additional unknown occurrences within the known range of the species were likely, for example where un-surveyed suitable habitat exists, a polygon coded as possibly extant was drawn around all polygon circles representing extant occurrences. </w:t>
      </w:r>
    </w:p>
    <w:p w14:paraId="31EC7CFC" w14:textId="672B0A42" w:rsidR="005520BC" w:rsidRPr="009C2483" w:rsidRDefault="005520BC" w:rsidP="00733828">
      <w:pPr>
        <w:spacing w:after="0" w:line="480" w:lineRule="auto"/>
        <w:ind w:firstLine="720"/>
      </w:pPr>
      <w:r w:rsidRPr="009C2483">
        <w:t>The dispersal capability of adult fireflies is not well known, though in cases where it has been studied and observed, it is evidently limited (L. Faust pers. obs</w:t>
      </w:r>
      <w:r w:rsidR="009D4C3B">
        <w:t>.</w:t>
      </w:r>
      <w:r w:rsidRPr="009C2483">
        <w:t xml:space="preserve">, S. Lewis pers. obs., C. Heckscher pers. obs., L. Buschman pers. comm. 2020). This is especially true for species with flightless females, which likely do not move far beyond their natal habitat </w:t>
      </w:r>
      <w:r w:rsidRPr="009C2483">
        <w:fldChar w:fldCharType="begin"/>
      </w:r>
      <w:r w:rsidR="00733828">
        <w:instrText xml:space="preserve"> ADDIN ZOTERO_ITEM CSL_CITATION {"citationID":"gIqE4ToP","properties":{"formattedCitation":"[4,5]","plainCitation":"[4,5]","noteIndex":0},"citationItems":[{"id":155,"uris":["http://zotero.org/users/local/oCrn25ZC/items/RFU7H9X5"],"uri":["http://zotero.org/users/local/oCrn25ZC/items/RFU7H9X5"],"itemData":{"id":155,"type":"thesis","event-place":"Gainesville, FL","language":"en","number-of-pages":"117","publisher":"University of Florida","publisher-place":"Gainesville, FL","title":"&lt;i&gt;Photinus collustrans&lt;/i&gt;: Reproductive ecology of flightless female fireflies (Coleoptera: Lampyridae)","URL":"https://ufdc.ufl.edu/AA00004830/00001","author":[{"family":"Wing","given":"Steven Rae"}],"accessed":{"date-parts":[["2021",4,1]]},"issued":{"date-parts":[["1988"]]}}},{"id":159,"uris":["http://zotero.org/users/local/oCrn25ZC/items/2W3EQXDW"],"uri":["http://zotero.org/users/local/oCrn25ZC/items/2W3EQXDW"],"itemData":{"id":159,"type":"article-journal","abstract":"Photinus knulli Green breeds within a 5 sq. m lek arena which is reused by each year's new generation. The annual permanency of the site is due to a concatenation of circumstances, most of which seem to be operationally incidental, as follows. Gravid females cannot fly. Larvae are subterranean and so contribute negligibly to dispersal. The new generation of adults then emerges from areas overlying the arena of the previous year. As males eclose, some emerge simultaneously with, and in proximity to, each other: These males link up in flash exchanges and remain on the ground for the rest of their first evening. Others emerge solitarily and thus see no neighbors: These males take wing and, in triplet-flashing flight, patrol along a well-defined flyway. After ca. 1 hr, patrollers find their way back to the arena, cue in on the flash exchanges of grounded males, and land near them. Similarly, males more than 1 day old retire under rocks within the arena at the end of any one evening, then successively emerge again after the dusk of the next, and behave in the same way. When patrollers overfly the arena, they may drop directly down and mingle, or survey the number of grounded males. Surveyors perform wildly erratic designs by streaking their flashes above the arena, and this elicits 3 or 4 rounds of mass, chorusing, triplet-flashing synchrony from them. Ground-to-ground flash exchanges between males follow a novel format. From out of a total cessation of flash activity of all or most grounded males, any one male will flash a triplet, and this will elicit triplets from other rival males whose line-of-sight to him is unobstructed. Triplet relaying can involve as many as ca. sixty participants, and because of terrain obstacles, the male-to-male entrainment almost always follows a single path course, which races through the arena, taking on capricious designs resembling miniature lightning bolts. Four or 5 successive triplet-train rounds are initiated by a first-flashing male. The delay between triplets which produces the relaying effect in the 1st round is reduced in the 2nd round, and whole train synchrony is achieved in the 3rd round. In the 4th and/or 5th rounds, the train dissipates, and cessation again ensues. Females emit spontaneous, prolonged flares when in the presence of numerous contending males, and in this situation, copulation is permitted after ca. 1 hr of complex competitive interactions. Contrastingly, a lone female will broadcast an advertising phrase, and if a male sees this signal, he will fly up to ca. 40 cm above the plant she is on, and spiral down to her. This flight tactic allows him to locate her rapidly, and he is rewarded with copulation in 3 to 4 min.","container-title":"The Coleopterists Bulletin","ISSN":"0010-065X","issue":"4","journalAbbreviation":"Coleopt Bull","note":"publisher: The Coleopterists Society","page":"318-342","source":"JSTOR","title":"Lek assembly and flash synchrony in the Arizona firefly &lt;i&gt;Photinus knulli&lt;/i&gt; Green (Coleoptera: Lampyridae)","title-short":"Lek Assembly and Flash Synchrony in the Arizona Firefly Photinus knulli Green (Coleoptera","volume":"37","author":[{"family":"Cicero","given":"Joseph M."}],"issued":{"date-parts":[["1983"]]}}}],"schema":"https://github.com/citation-style-language/schema/raw/master/csl-citation.json"} </w:instrText>
      </w:r>
      <w:r w:rsidRPr="009C2483">
        <w:fldChar w:fldCharType="separate"/>
      </w:r>
      <w:r w:rsidR="00733828" w:rsidRPr="00733828">
        <w:t>[4,5]</w:t>
      </w:r>
      <w:r w:rsidRPr="009C2483">
        <w:fldChar w:fldCharType="end"/>
      </w:r>
      <w:r w:rsidRPr="009C2483">
        <w:t xml:space="preserve">. Therefore, conservative estimates of dispersal distance were used to buffer polygons, where necessary. Predatory </w:t>
      </w:r>
      <w:r w:rsidRPr="009C2483">
        <w:rPr>
          <w:i/>
          <w:iCs/>
        </w:rPr>
        <w:t>Photuris</w:t>
      </w:r>
      <w:r w:rsidRPr="009C2483">
        <w:t xml:space="preserve"> species with relatively </w:t>
      </w:r>
      <w:r w:rsidRPr="009C2483">
        <w:lastRenderedPageBreak/>
        <w:t xml:space="preserve">mobile females are strong fliers, so maximum dispersal distance was considered to be 10 km. All other species were assigned a dispersal distance of 1 km. Although males may travel farther than 1 km to find a mate, even winged females are relatively poor fliers, especially when they are gravid, and likely do not travel more than a couple hundred meters (L. Buschman pers. comm. 2020). Therefore, for </w:t>
      </w:r>
      <w:r w:rsidRPr="009C2483">
        <w:rPr>
          <w:i/>
          <w:iCs/>
        </w:rPr>
        <w:t>Photuris</w:t>
      </w:r>
      <w:r w:rsidRPr="009C2483">
        <w:t xml:space="preserve"> species, occurrences were buffered to 10 km and all other species were buffered to 1 km.</w:t>
      </w:r>
    </w:p>
    <w:p w14:paraId="26EAE073" w14:textId="77777777" w:rsidR="00E03D7A" w:rsidRPr="001C3AF8" w:rsidRDefault="00E03D7A" w:rsidP="00E03D7A">
      <w:pPr>
        <w:spacing w:line="480" w:lineRule="auto"/>
        <w:rPr>
          <w:b/>
          <w:sz w:val="32"/>
          <w:szCs w:val="32"/>
        </w:rPr>
      </w:pPr>
      <w:r w:rsidRPr="001C3AF8">
        <w:rPr>
          <w:b/>
          <w:sz w:val="32"/>
          <w:szCs w:val="32"/>
        </w:rPr>
        <w:t>Additional conservation actions</w:t>
      </w:r>
    </w:p>
    <w:p w14:paraId="1BB15DF1" w14:textId="77777777" w:rsidR="00E03D7A" w:rsidRPr="001C3AF8" w:rsidRDefault="00E03D7A" w:rsidP="00E03D7A">
      <w:pPr>
        <w:spacing w:line="480" w:lineRule="auto"/>
        <w:rPr>
          <w:b/>
          <w:sz w:val="28"/>
          <w:szCs w:val="28"/>
        </w:rPr>
      </w:pPr>
      <w:r w:rsidRPr="001C3AF8">
        <w:rPr>
          <w:b/>
          <w:sz w:val="28"/>
          <w:szCs w:val="28"/>
        </w:rPr>
        <w:t>Fill data gaps</w:t>
      </w:r>
    </w:p>
    <w:p w14:paraId="7E6DA8EF" w14:textId="0A87FCAE" w:rsidR="00E03D7A" w:rsidRPr="00E03D7A" w:rsidRDefault="00E03D7A" w:rsidP="001C3AF8">
      <w:pPr>
        <w:spacing w:line="480" w:lineRule="auto"/>
        <w:ind w:firstLine="630"/>
      </w:pPr>
      <w:r w:rsidRPr="00E03D7A">
        <w:t xml:space="preserve">Although the DD category is not a threatened category, we suspect that many species in this group will eventually be assessed as threatened. As such, addressing data gaps for these species will be an important element of a successful firefly conservation strategy. Such species often get overlooked in conservation planning efforts because resources are limited and conservation planners may prioritize species for which more information is available </w:t>
      </w:r>
      <w:r w:rsidRPr="00E03D7A">
        <w:fldChar w:fldCharType="begin"/>
      </w:r>
      <w:r>
        <w:instrText xml:space="preserve"> ADDIN ZOTERO_ITEM CSL_CITATION {"citationID":"ng9FvNeg","properties":{"formattedCitation":"[6]","plainCitation":"[6]","noteIndex":0},"citationItems":[{"id":19,"uris":["http://zotero.org/users/local/oCrn25ZC/items/TB9P79KP"],"uri":["http://zotero.org/users/local/oCrn25ZC/items/TB9P79KP"],"itemData":{"id":19,"type":"article-journal","abstract":"One in 6 species (13,465 species) on the International Union for Conservation of Nature (IUCN) Red List is classified as data deficient due to lack of information on their taxonomy, population status, or impact of threats. Despite the chance that many are at high risk of extinction, data-deficient species are typically excluded from global and local conservation priorities, as well as funding schemes. The number of data-deficient species will greatly increase as the IUCN Red List becomes more inclusive of poorly known and speciose groups. A strategic approach is urgently needed to enhance the conservation value of data-deficient assessments. To develop this, we reviewed 2879 data-deficient assessments in 6 animal groups and identified 8 main justifications for assigning data-deficient status (type series, few records, old records, uncertain provenance, uncertain population status or distribution, uncertain threats, taxonomic uncertainty, and new species). Assigning a consistent set of justification tags (i.e., consistent assignment to assessment justifications) to species classified as data deficient is a simple way to achieve more strategic assessments. Such tags would clarify the causes of data deficiency; facilitate the prediction of extinction risk; facilitate comparisons of data deficiency among taxonomic groups; and help prioritize species for reassessment. With renewed efforts, it could be straightforward to prevent thousands of data-deficient species slipping unnoticed toward extinction.","container-title":"Conservation Biology: The Journal of the Society for Conservation Biology","DOI":"10.1111/cobi.12850","ISSN":"1523-1739","issue":"3","journalAbbreviation":"Conserv Biol","language":"eng","note":"PMID: 27696559","page":"531-539","source":"PubMed","title":"Toward reassessing data-deficient species","volume":"31","author":[{"family":"Bland","given":"Lucie M."},{"family":"Bielby","given":"Jon"},{"family":"Kearney","given":"Stephen"},{"family":"Orme","given":"C. David L."},{"family":"Watson","given":"James E. M."},{"family":"Collen","given":"Ben"}],"issued":{"date-parts":[["2017",6]]}}}],"schema":"https://github.com/citation-style-language/schema/raw/master/csl-citation.json"} </w:instrText>
      </w:r>
      <w:r w:rsidRPr="00E03D7A">
        <w:fldChar w:fldCharType="separate"/>
      </w:r>
      <w:r w:rsidRPr="00E03D7A">
        <w:t>[6]</w:t>
      </w:r>
      <w:r w:rsidRPr="00E03D7A">
        <w:fldChar w:fldCharType="end"/>
      </w:r>
      <w:r w:rsidRPr="00E03D7A">
        <w:t xml:space="preserve">. To address this issue, several authors have made suggestions for prioritizing “potentially threatened” DD species </w:t>
      </w:r>
      <w:r w:rsidRPr="00E03D7A">
        <w:fldChar w:fldCharType="begin"/>
      </w:r>
      <w:r>
        <w:instrText xml:space="preserve"> ADDIN ZOTERO_ITEM CSL_CITATION {"citationID":"mJdTGQTi","properties":{"formattedCitation":"[e.g., 7]","plainCitation":"[e.g., 7]","noteIndex":0},"citationItems":[{"id":162,"uris":["http://zotero.org/users/local/oCrn25ZC/items/VZ2EEMHK"],"uri":["http://zotero.org/users/local/oCrn25ZC/items/VZ2EEMHK"],"itemData":{"id":162,"type":"article-journal","abstract":"Data Deficient species (DD) comprise a significant portion of the total number of species listed within the IUCN Red List. Although they are not classified within one of the threat categories, they may still face high extinction risks. However, due to limited data available to infer their extinction risk reliably, it is unlikely that the assessment of the true status of Data Deficient species would be possible before many species decline to extinction. An appropriate measure to resolve these problems would be to introduce a flag of potentially threatened species within the Data Deficient category [i.e., DD(PT)]. Such a flag would represent a temporary Red List status for listed Data Deficient species that are, based on the available direct evidence and/or indirect indices, likely to be assigned to one of the threat categories, but where current data remains insufficient for a complete classification. The use of such a flag could increase the focus of the scientific community and conservation decision-makers on such species, thus avoiding the risk that necessary conservation measures are implemented too late. As such, establishment of the DD(PT) category as a kind of alarm for priority species could be beneficial.","container-title":"Biodiversity and Conservation","DOI":"10.1007/s10531-016-1164-0","ISSN":"1572-9710","issue":"10","journalAbbreviation":"Biodivers Conserv","language":"en","page":"1995-2000","source":"Springer Link","title":"Potentially threatened: A Data Deficient flag for conservation management","title-short":"Potentially threatened","volume":"25","author":[{"family":"Jarić","given":"Ivan"},{"family":"Courchamp","given":"Franck"},{"family":"Gessner","given":"Jörn"},{"family":"Roberts","given":"David L."}],"issued":{"date-parts":[["2016",9,1]]}},"prefix":"e.g.,"}],"schema":"https://github.com/citation-style-language/schema/raw/master/csl-citation.json"} </w:instrText>
      </w:r>
      <w:r w:rsidRPr="00E03D7A">
        <w:fldChar w:fldCharType="separate"/>
      </w:r>
      <w:r w:rsidRPr="00E03D7A">
        <w:t>[e.g., 7]</w:t>
      </w:r>
      <w:r w:rsidRPr="00E03D7A">
        <w:fldChar w:fldCharType="end"/>
      </w:r>
      <w:r w:rsidRPr="00E03D7A">
        <w:t xml:space="preserve"> or using new methods to assign categories to DD species based on factors such as time elapsed since species description and current species distribution size </w:t>
      </w:r>
      <w:r w:rsidRPr="00E03D7A">
        <w:fldChar w:fldCharType="begin"/>
      </w:r>
      <w:r>
        <w:instrText xml:space="preserve"> ADDIN ZOTERO_ITEM CSL_CITATION {"citationID":"KOfBOeKQ","properties":{"formattedCitation":"[8]","plainCitation":"[8]","noteIndex":0},"citationItems":[{"id":164,"uris":["http://zotero.org/users/local/oCrn25ZC/items/V33C4LJ9"],"uri":["http://zotero.org/users/local/oCrn25ZC/items/V33C4LJ9"],"itemData":{"id":164,"type":"article-journal","container-title":"Biological Conservation","DOI":"10.1016/j.biocon.2013.06.010","ISSN":"00063207","journalAbbreviation":"Biol Conserv","language":"en","page":"98-102","source":"DOI.org (Crossref)","title":"Unraveling the conservation status of Data Deficient species","volume":"166","author":[{"family":"Morais","given":"Alessandro R."},{"family":"Siqueira","given":"Mariana N."},{"family":"Lemes","given":"Priscila"},{"family":"Maciel","given":"Natan M."},{"family":"De Marco","given":"Paulo"},{"family":"Brito","given":"Daniel"}],"issued":{"date-parts":[["2013",10]]}}}],"schema":"https://github.com/citation-style-language/schema/raw/master/csl-citation.json"} </w:instrText>
      </w:r>
      <w:r w:rsidRPr="00E03D7A">
        <w:fldChar w:fldCharType="separate"/>
      </w:r>
      <w:r w:rsidRPr="00E03D7A">
        <w:t>[8]</w:t>
      </w:r>
      <w:r w:rsidRPr="00E03D7A">
        <w:fldChar w:fldCharType="end"/>
      </w:r>
      <w:r w:rsidRPr="00E03D7A">
        <w:t xml:space="preserve">, among others. Based on the scope of our data, we followed Jarić et al. </w:t>
      </w:r>
      <w:r w:rsidRPr="00E03D7A">
        <w:fldChar w:fldCharType="begin"/>
      </w:r>
      <w:r>
        <w:instrText xml:space="preserve"> ADDIN ZOTERO_ITEM CSL_CITATION {"citationID":"lzIdZVRX","properties":{"formattedCitation":"[7]","plainCitation":"[7]","noteIndex":0},"citationItems":[{"id":162,"uris":["http://zotero.org/users/local/oCrn25ZC/items/VZ2EEMHK"],"uri":["http://zotero.org/users/local/oCrn25ZC/items/VZ2EEMHK"],"itemData":{"id":162,"type":"article-journal","abstract":"Data Deficient species (DD) comprise a significant portion of the total number of species listed within the IUCN Red List. Although they are not classified within one of the threat categories, they may still face high extinction risks. However, due to limited data available to infer their extinction risk reliably, it is unlikely that the assessment of the true status of Data Deficient species would be possible before many species decline to extinction. An appropriate measure to resolve these problems would be to introduce a flag of potentially threatened species within the Data Deficient category [i.e., DD(PT)]. Such a flag would represent a temporary Red List status for listed Data Deficient species that are, based on the available direct evidence and/or indirect indices, likely to be assigned to one of the threat categories, but where current data remains insufficient for a complete classification. The use of such a flag could increase the focus of the scientific community and conservation decision-makers on such species, thus avoiding the risk that necessary conservation measures are implemented too late. As such, establishment of the DD(PT) category as a kind of alarm for priority species could be beneficial.","container-title":"Biodiversity and Conservation","DOI":"10.1007/s10531-016-1164-0","ISSN":"1572-9710","issue":"10","journalAbbreviation":"Biodivers Conserv","language":"en","page":"1995-2000","source":"Springer Link","title":"Potentially threatened: A Data Deficient flag for conservation management","title-short":"Potentially threatened","volume":"25","author":[{"family":"Jarić","given":"Ivan"},{"family":"Courchamp","given":"Franck"},{"family":"Gessner","given":"Jörn"},{"family":"Roberts","given":"David L."}],"issued":{"date-parts":[["2016",9,1]]}},"suppress-author":true}],"schema":"https://github.com/citation-style-language/schema/raw/master/csl-citation.json"} </w:instrText>
      </w:r>
      <w:r w:rsidRPr="00E03D7A">
        <w:fldChar w:fldCharType="separate"/>
      </w:r>
      <w:r w:rsidRPr="00E03D7A">
        <w:t>[7]</w:t>
      </w:r>
      <w:r w:rsidRPr="00E03D7A">
        <w:fldChar w:fldCharType="end"/>
      </w:r>
      <w:r w:rsidRPr="00E03D7A">
        <w:t xml:space="preserve"> and assigned a “Potentially Threatened” flag to a subset of DD species to help prioritize conservation planning (</w:t>
      </w:r>
      <w:bookmarkStart w:id="1" w:name="_Hlk69288080"/>
      <w:r w:rsidRPr="00E03D7A">
        <w:t>S5 Table</w:t>
      </w:r>
      <w:bookmarkEnd w:id="1"/>
      <w:r w:rsidRPr="00E03D7A">
        <w:t>). Species assigned to this subcategory were selected using the following parameters:</w:t>
      </w:r>
    </w:p>
    <w:p w14:paraId="4FF6D67A" w14:textId="77777777" w:rsidR="00E03D7A" w:rsidRPr="00E03D7A" w:rsidRDefault="00E03D7A" w:rsidP="00E03D7A">
      <w:pPr>
        <w:numPr>
          <w:ilvl w:val="0"/>
          <w:numId w:val="1"/>
        </w:numPr>
        <w:spacing w:line="480" w:lineRule="auto"/>
      </w:pPr>
      <w:r w:rsidRPr="00E03D7A">
        <w:t>Species that share extinction risk traits with threatened species (e.g., flightless females, habitat specialization, narrow geographic range, nocturnal courtship activity)</w:t>
      </w:r>
    </w:p>
    <w:p w14:paraId="4B8EF7B0" w14:textId="77777777" w:rsidR="00E03D7A" w:rsidRPr="00E03D7A" w:rsidRDefault="00E03D7A" w:rsidP="00E03D7A">
      <w:pPr>
        <w:numPr>
          <w:ilvl w:val="0"/>
          <w:numId w:val="1"/>
        </w:numPr>
        <w:spacing w:line="480" w:lineRule="auto"/>
      </w:pPr>
      <w:r w:rsidRPr="00E03D7A">
        <w:t>Widespread species that have not been reported very much recently or where declines have been reported over small portions of the range</w:t>
      </w:r>
    </w:p>
    <w:p w14:paraId="46C0EDF5" w14:textId="77777777" w:rsidR="00E03D7A" w:rsidRPr="00E03D7A" w:rsidRDefault="00E03D7A" w:rsidP="00E03D7A">
      <w:pPr>
        <w:numPr>
          <w:ilvl w:val="0"/>
          <w:numId w:val="1"/>
        </w:numPr>
        <w:spacing w:line="480" w:lineRule="auto"/>
      </w:pPr>
      <w:r w:rsidRPr="00E03D7A">
        <w:lastRenderedPageBreak/>
        <w:t>Species that have not been reported recently (e.g., the last 20 years), but for which sampling efforts are lacking</w:t>
      </w:r>
    </w:p>
    <w:p w14:paraId="7275B3BB" w14:textId="77777777" w:rsidR="00E03D7A" w:rsidRPr="001C3AF8" w:rsidRDefault="00E03D7A" w:rsidP="00E03D7A">
      <w:pPr>
        <w:spacing w:line="480" w:lineRule="auto"/>
        <w:rPr>
          <w:b/>
          <w:sz w:val="28"/>
          <w:szCs w:val="28"/>
        </w:rPr>
      </w:pPr>
      <w:bookmarkStart w:id="2" w:name="_heading=h.km4f8tisv465" w:colFirst="0" w:colLast="0"/>
      <w:bookmarkEnd w:id="2"/>
      <w:r w:rsidRPr="001C3AF8">
        <w:rPr>
          <w:b/>
          <w:sz w:val="28"/>
          <w:szCs w:val="28"/>
        </w:rPr>
        <w:t>Address taxonomic issues</w:t>
      </w:r>
    </w:p>
    <w:p w14:paraId="287D0412" w14:textId="0F477FBE" w:rsidR="00E03D7A" w:rsidRPr="00E03D7A" w:rsidRDefault="00E03D7A" w:rsidP="001C3AF8">
      <w:pPr>
        <w:spacing w:line="480" w:lineRule="auto"/>
        <w:ind w:firstLine="720"/>
      </w:pPr>
      <w:r w:rsidRPr="00E03D7A">
        <w:t xml:space="preserve">Seven species were categorized as DD due to taxonomic uncertainty, highlighting the need for taxonomic revisions of some of the most problematic groups. For example, some species such as </w:t>
      </w:r>
      <w:r w:rsidRPr="00E03D7A">
        <w:rPr>
          <w:i/>
        </w:rPr>
        <w:t>Pyractomena dispersa</w:t>
      </w:r>
      <w:r w:rsidRPr="00E03D7A">
        <w:t xml:space="preserve"> and </w:t>
      </w:r>
      <w:r w:rsidRPr="00E03D7A">
        <w:rPr>
          <w:i/>
        </w:rPr>
        <w:t>Ellychnia corrusca</w:t>
      </w:r>
      <w:r w:rsidRPr="00E03D7A">
        <w:t xml:space="preserve"> are referred to as species complexes, likely representing multiple undescribed species, while others, like </w:t>
      </w:r>
      <w:r w:rsidRPr="00E03D7A">
        <w:rPr>
          <w:i/>
        </w:rPr>
        <w:t>Photuris pennsylvanica</w:t>
      </w:r>
      <w:r w:rsidRPr="00E03D7A">
        <w:t xml:space="preserve"> (which is a misspelling of </w:t>
      </w:r>
      <w:r w:rsidRPr="00E03D7A">
        <w:rPr>
          <w:i/>
        </w:rPr>
        <w:t>P. pensylvanica</w:t>
      </w:r>
      <w:r w:rsidRPr="00E03D7A">
        <w:t xml:space="preserve">), were previously a catch-all for a number of morphologically similar species that have since been split into multiple species </w:t>
      </w:r>
      <w:r w:rsidRPr="00E03D7A">
        <w:fldChar w:fldCharType="begin"/>
      </w:r>
      <w:r>
        <w:instrText xml:space="preserve"> ADDIN ZOTERO_ITEM CSL_CITATION {"citationID":"5d5278rC","properties":{"formattedCitation":"[9]","plainCitation":"[9]","noteIndex":0},"citationItems":[{"id":79,"uris":["http://zotero.org/users/local/oCrn25ZC/items/MVSEVPVH"],"uri":["http://zotero.org/users/local/oCrn25ZC/items/MVSEVPVH"],"itemData":{"id":79,"type":"book","abstract":"Descriptions, illustrations, notes and considerations - from a long - Hunter's overland exploration and adventure from a different age.","ISBN":"978-1-64136-838-4","language":"en","note":"Google-Books-ID: 8bzktwEACAAJ","number-of-pages":"477","publisher":"Bridgen Press","source":"Google Books","title":"A naturalist's long walk among shadows of North American &lt;i&gt;Photuris&lt;/i&gt;: Patterns, outlines, silhouettes... echoes","title-short":"A Naturalist's Long Walk Among Shadows of North American Photuris","author":[{"family":"Lloyd","given":"James E."}],"issued":{"date-parts":[["2018"]]}}}],"schema":"https://github.com/citation-style-language/schema/raw/master/csl-citation.json"} </w:instrText>
      </w:r>
      <w:r w:rsidRPr="00E03D7A">
        <w:fldChar w:fldCharType="separate"/>
      </w:r>
      <w:r w:rsidRPr="00E03D7A">
        <w:t>[9]</w:t>
      </w:r>
      <w:r w:rsidRPr="00E03D7A">
        <w:fldChar w:fldCharType="end"/>
      </w:r>
      <w:r w:rsidRPr="00E03D7A">
        <w:t xml:space="preserve">. </w:t>
      </w:r>
      <w:r w:rsidRPr="00E03D7A">
        <w:rPr>
          <w:i/>
        </w:rPr>
        <w:t xml:space="preserve">Ellychnia </w:t>
      </w:r>
      <w:r w:rsidRPr="00E03D7A">
        <w:t xml:space="preserve">and </w:t>
      </w:r>
      <w:r w:rsidRPr="00E03D7A">
        <w:rPr>
          <w:i/>
        </w:rPr>
        <w:t xml:space="preserve">Photuris </w:t>
      </w:r>
      <w:r w:rsidRPr="00E03D7A">
        <w:t>are especially difficult genera, the former needing a revisionary overhaul and the latter comprising many nearly identical looking species that can only be differentiated with years of experience and by considering flash patterns, habitat, geography, and, increasingly, DNA analysis in the identification process. Further complicating matters, many historic records for fireflies may be mis-identified given current taxonomic delineations, and redeterminations of these specimens are difficult because these records lack the necessary flash pattern data, which was rarely recorded with collections. It is also highly likely that fireflies are under-reported from certain areas, particularly in western North America, whether due to limited interest where flashing fireflies are less widespread, smaller human populations, or because species are cryptic or rare. Targeted surveys for taxonomically complicated species, coupled with careful examination of associated geography, seasonality, and flash pattern (where applicable) may help with delineations, but the use of DNA barcoding and other genetic tools should also be considered to complement more traditional morphological studies.</w:t>
      </w:r>
    </w:p>
    <w:p w14:paraId="5F11F92F" w14:textId="77777777" w:rsidR="00E03D7A" w:rsidRPr="00E03D7A" w:rsidRDefault="00E03D7A" w:rsidP="00E03D7A">
      <w:pPr>
        <w:spacing w:line="480" w:lineRule="auto"/>
        <w:rPr>
          <w:b/>
        </w:rPr>
      </w:pPr>
      <w:r w:rsidRPr="001C3AF8">
        <w:rPr>
          <w:b/>
          <w:sz w:val="36"/>
          <w:szCs w:val="36"/>
        </w:rPr>
        <w:t>References</w:t>
      </w:r>
    </w:p>
    <w:p w14:paraId="41AFC2AB" w14:textId="77777777" w:rsidR="00057733" w:rsidRPr="00057733" w:rsidRDefault="00E03D7A" w:rsidP="00057733">
      <w:pPr>
        <w:pStyle w:val="Bibliography"/>
      </w:pPr>
      <w:r w:rsidRPr="00E03D7A">
        <w:lastRenderedPageBreak/>
        <w:fldChar w:fldCharType="begin"/>
      </w:r>
      <w:r w:rsidR="00057733">
        <w:instrText xml:space="preserve"> ADDIN ZOTERO_BIBL {"uncited":[],"omitted":[],"custom":[]} CSL_BIBLIOGRAPHY </w:instrText>
      </w:r>
      <w:r w:rsidRPr="00E03D7A">
        <w:fldChar w:fldCharType="separate"/>
      </w:r>
      <w:r w:rsidR="00057733" w:rsidRPr="00057733">
        <w:t xml:space="preserve">1. </w:t>
      </w:r>
      <w:r w:rsidR="00057733" w:rsidRPr="00057733">
        <w:tab/>
        <w:t>IUCN Standards and Petitions Committee. Guidelines for using the IUCN Red List Categories and Criteria. Version 14. Prepared by the Standards and Petitions Committee. 2019. Available: http://www.iucnredlist.org/documents/RedListGuidelines.pdf</w:t>
      </w:r>
    </w:p>
    <w:p w14:paraId="0ECBF71C" w14:textId="77777777" w:rsidR="00057733" w:rsidRPr="00057733" w:rsidRDefault="00057733" w:rsidP="00057733">
      <w:pPr>
        <w:pStyle w:val="Bibliography"/>
      </w:pPr>
      <w:r w:rsidRPr="00057733">
        <w:t xml:space="preserve">2. </w:t>
      </w:r>
      <w:r w:rsidRPr="00057733">
        <w:tab/>
        <w:t>Holt AR, Gaston KJ, He F. Occupancy-abundance relationships and spatial distribution: A review. Basic and Applied Ecology. 2002;3: 1–13. doi:10.1078/1439-1791-00083</w:t>
      </w:r>
    </w:p>
    <w:p w14:paraId="41D3B09C" w14:textId="77777777" w:rsidR="00057733" w:rsidRPr="00057733" w:rsidRDefault="00057733" w:rsidP="00057733">
      <w:pPr>
        <w:pStyle w:val="Bibliography"/>
      </w:pPr>
      <w:r w:rsidRPr="00057733">
        <w:t xml:space="preserve">3. </w:t>
      </w:r>
      <w:r w:rsidRPr="00057733">
        <w:tab/>
        <w:t>Reed JM, Nguyen A, Owens ACS, Lewis SM. Linking the seven forms of rarity to extinction threats and risk factors: an assessment of North American fireflies. Biodivers Conserv. 2020;29: 57–75. doi:10.1007/s10531-019-01869-7</w:t>
      </w:r>
    </w:p>
    <w:p w14:paraId="712B166D" w14:textId="77777777" w:rsidR="00057733" w:rsidRPr="00057733" w:rsidRDefault="00057733" w:rsidP="00057733">
      <w:pPr>
        <w:pStyle w:val="Bibliography"/>
      </w:pPr>
      <w:r w:rsidRPr="00057733">
        <w:t xml:space="preserve">4. </w:t>
      </w:r>
      <w:r w:rsidRPr="00057733">
        <w:tab/>
        <w:t xml:space="preserve">Wing SR. </w:t>
      </w:r>
      <w:r w:rsidRPr="00057733">
        <w:rPr>
          <w:i/>
          <w:iCs/>
        </w:rPr>
        <w:t>Photinus collustrans</w:t>
      </w:r>
      <w:r w:rsidRPr="00057733">
        <w:t>: Reproductive ecology of flightless female fireflies (Coleoptera: Lampyridae). University of Florida. 1988. Available: https://ufdc.ufl.edu/AA00004830/00001</w:t>
      </w:r>
    </w:p>
    <w:p w14:paraId="1D0857EC" w14:textId="77777777" w:rsidR="00057733" w:rsidRPr="00057733" w:rsidRDefault="00057733" w:rsidP="00057733">
      <w:pPr>
        <w:pStyle w:val="Bibliography"/>
      </w:pPr>
      <w:r w:rsidRPr="00057733">
        <w:t xml:space="preserve">5. </w:t>
      </w:r>
      <w:r w:rsidRPr="00057733">
        <w:tab/>
        <w:t xml:space="preserve">Cicero JM. Lek assembly and flash synchrony in the Arizona firefly </w:t>
      </w:r>
      <w:r w:rsidRPr="00057733">
        <w:rPr>
          <w:i/>
          <w:iCs/>
        </w:rPr>
        <w:t>Photinus knulli</w:t>
      </w:r>
      <w:r w:rsidRPr="00057733">
        <w:t xml:space="preserve"> Green (Coleoptera: Lampyridae). Coleopt Bull. 1983;37: 318–342. </w:t>
      </w:r>
    </w:p>
    <w:p w14:paraId="6421CA2E" w14:textId="77777777" w:rsidR="00057733" w:rsidRPr="00057733" w:rsidRDefault="00057733" w:rsidP="00057733">
      <w:pPr>
        <w:pStyle w:val="Bibliography"/>
      </w:pPr>
      <w:r w:rsidRPr="00057733">
        <w:t xml:space="preserve">6. </w:t>
      </w:r>
      <w:r w:rsidRPr="00057733">
        <w:tab/>
        <w:t>Bland LM, Bielby J, Kearney S, Orme CDL, Watson JEM, Collen B. Toward reassessing data-deficient species. Conserv Biol. 2017;31: 531–539. doi:10.1111/cobi.12850</w:t>
      </w:r>
    </w:p>
    <w:p w14:paraId="7F56318E" w14:textId="77777777" w:rsidR="00057733" w:rsidRPr="00057733" w:rsidRDefault="00057733" w:rsidP="00057733">
      <w:pPr>
        <w:pStyle w:val="Bibliography"/>
      </w:pPr>
      <w:r w:rsidRPr="00057733">
        <w:t xml:space="preserve">7. </w:t>
      </w:r>
      <w:r w:rsidRPr="00057733">
        <w:tab/>
        <w:t>Jarić I, Courchamp F, Gessner J, Roberts DL. Potentially threatened: A Data Deficient flag for conservation management. Biodivers Conserv. 2016;25: 1995–2000. doi:10.1007/s10531-016-1164-0</w:t>
      </w:r>
    </w:p>
    <w:p w14:paraId="28B8158A" w14:textId="77777777" w:rsidR="00057733" w:rsidRPr="00057733" w:rsidRDefault="00057733" w:rsidP="00057733">
      <w:pPr>
        <w:pStyle w:val="Bibliography"/>
      </w:pPr>
      <w:r w:rsidRPr="00057733">
        <w:t xml:space="preserve">8. </w:t>
      </w:r>
      <w:r w:rsidRPr="00057733">
        <w:tab/>
        <w:t>Morais AR, Siqueira MN, Lemes P, Maciel NM, De Marco P, Brito D. Unraveling the conservation status of Data Deficient species. Biol Conserv. 2013;166: 98–102. doi:10.1016/j.biocon.2013.06.010</w:t>
      </w:r>
    </w:p>
    <w:p w14:paraId="391F19D6" w14:textId="77777777" w:rsidR="00057733" w:rsidRPr="00057733" w:rsidRDefault="00057733" w:rsidP="00057733">
      <w:pPr>
        <w:pStyle w:val="Bibliography"/>
      </w:pPr>
      <w:r w:rsidRPr="00057733">
        <w:t xml:space="preserve">9. </w:t>
      </w:r>
      <w:r w:rsidRPr="00057733">
        <w:tab/>
        <w:t xml:space="preserve">Lloyd JE. A naturalist’s long walk among shadows of North American </w:t>
      </w:r>
      <w:r w:rsidRPr="00057733">
        <w:rPr>
          <w:i/>
          <w:iCs/>
        </w:rPr>
        <w:t>Photuris</w:t>
      </w:r>
      <w:r w:rsidRPr="00057733">
        <w:t xml:space="preserve">: Patterns, outlines, silhouettes... echoes. Bridgen Press; 2018. </w:t>
      </w:r>
    </w:p>
    <w:p w14:paraId="7167C649" w14:textId="792F0440" w:rsidR="00E84979" w:rsidRDefault="00E03D7A" w:rsidP="00E03D7A">
      <w:pPr>
        <w:spacing w:line="480" w:lineRule="auto"/>
      </w:pPr>
      <w:r w:rsidRPr="00E03D7A">
        <w:fldChar w:fldCharType="end"/>
      </w:r>
    </w:p>
    <w:sectPr w:rsidR="00E84979" w:rsidSect="005520BC">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D4F7" w14:textId="77777777" w:rsidR="004D2827" w:rsidRDefault="004D2827" w:rsidP="002434CE">
      <w:pPr>
        <w:spacing w:after="0" w:line="240" w:lineRule="auto"/>
      </w:pPr>
      <w:r>
        <w:separator/>
      </w:r>
    </w:p>
  </w:endnote>
  <w:endnote w:type="continuationSeparator" w:id="0">
    <w:p w14:paraId="0DB89B56" w14:textId="77777777" w:rsidR="004D2827" w:rsidRDefault="004D2827" w:rsidP="0024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134088"/>
      <w:docPartObj>
        <w:docPartGallery w:val="Page Numbers (Bottom of Page)"/>
        <w:docPartUnique/>
      </w:docPartObj>
    </w:sdtPr>
    <w:sdtEndPr>
      <w:rPr>
        <w:noProof/>
      </w:rPr>
    </w:sdtEndPr>
    <w:sdtContent>
      <w:p w14:paraId="5B221CB9" w14:textId="77777777" w:rsidR="002434CE" w:rsidRDefault="00243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4BC0D" w14:textId="77777777" w:rsidR="002434CE" w:rsidRDefault="0024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0994" w14:textId="77777777" w:rsidR="004D2827" w:rsidRDefault="004D2827" w:rsidP="002434CE">
      <w:pPr>
        <w:spacing w:after="0" w:line="240" w:lineRule="auto"/>
      </w:pPr>
      <w:r>
        <w:separator/>
      </w:r>
    </w:p>
  </w:footnote>
  <w:footnote w:type="continuationSeparator" w:id="0">
    <w:p w14:paraId="4D32B983" w14:textId="77777777" w:rsidR="004D2827" w:rsidRDefault="004D2827" w:rsidP="00243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4488"/>
    <w:multiLevelType w:val="hybridMultilevel"/>
    <w:tmpl w:val="9172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BC"/>
    <w:rsid w:val="00020078"/>
    <w:rsid w:val="00037E7A"/>
    <w:rsid w:val="00057733"/>
    <w:rsid w:val="000F0689"/>
    <w:rsid w:val="00150582"/>
    <w:rsid w:val="0017721B"/>
    <w:rsid w:val="0019660C"/>
    <w:rsid w:val="001C3AF8"/>
    <w:rsid w:val="00227480"/>
    <w:rsid w:val="002434CE"/>
    <w:rsid w:val="00244249"/>
    <w:rsid w:val="002C33FD"/>
    <w:rsid w:val="0031718D"/>
    <w:rsid w:val="003E21D4"/>
    <w:rsid w:val="004A6208"/>
    <w:rsid w:val="004D2827"/>
    <w:rsid w:val="004E1D79"/>
    <w:rsid w:val="005520BC"/>
    <w:rsid w:val="005F6F53"/>
    <w:rsid w:val="00702E2D"/>
    <w:rsid w:val="00733828"/>
    <w:rsid w:val="00945614"/>
    <w:rsid w:val="009B199E"/>
    <w:rsid w:val="009D4C3B"/>
    <w:rsid w:val="00A47FB4"/>
    <w:rsid w:val="00A74408"/>
    <w:rsid w:val="00B233ED"/>
    <w:rsid w:val="00C37C12"/>
    <w:rsid w:val="00D371EB"/>
    <w:rsid w:val="00D400FF"/>
    <w:rsid w:val="00E03D7A"/>
    <w:rsid w:val="00E84979"/>
    <w:rsid w:val="00E91C98"/>
    <w:rsid w:val="00FA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74BD"/>
  <w15:chartTrackingRefBased/>
  <w15:docId w15:val="{145429AD-0931-44D5-8A00-F0A87313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0BC"/>
    <w:rPr>
      <w:rFonts w:ascii="Calibri" w:eastAsia="Calibri" w:hAnsi="Calibri" w:cs="Calibri"/>
    </w:rPr>
  </w:style>
  <w:style w:type="paragraph" w:styleId="Heading1">
    <w:name w:val="heading 1"/>
    <w:basedOn w:val="Normal"/>
    <w:next w:val="Normal"/>
    <w:link w:val="Heading1Char"/>
    <w:uiPriority w:val="9"/>
    <w:qFormat/>
    <w:rsid w:val="005520BC"/>
    <w:pPr>
      <w:keepNext/>
      <w:keepLines/>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0BC"/>
    <w:rPr>
      <w:rFonts w:ascii="Calibri" w:eastAsia="Calibri" w:hAnsi="Calibri" w:cs="Calibri"/>
      <w:b/>
      <w:sz w:val="36"/>
      <w:szCs w:val="36"/>
    </w:rPr>
  </w:style>
  <w:style w:type="character" w:styleId="LineNumber">
    <w:name w:val="line number"/>
    <w:basedOn w:val="DefaultParagraphFont"/>
    <w:uiPriority w:val="99"/>
    <w:semiHidden/>
    <w:unhideWhenUsed/>
    <w:rsid w:val="005520BC"/>
  </w:style>
  <w:style w:type="paragraph" w:styleId="Header">
    <w:name w:val="header"/>
    <w:basedOn w:val="Normal"/>
    <w:link w:val="HeaderChar"/>
    <w:uiPriority w:val="99"/>
    <w:unhideWhenUsed/>
    <w:rsid w:val="0024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CE"/>
    <w:rPr>
      <w:rFonts w:ascii="Calibri" w:eastAsia="Calibri" w:hAnsi="Calibri" w:cs="Calibri"/>
    </w:rPr>
  </w:style>
  <w:style w:type="paragraph" w:styleId="Footer">
    <w:name w:val="footer"/>
    <w:basedOn w:val="Normal"/>
    <w:link w:val="FooterChar"/>
    <w:uiPriority w:val="99"/>
    <w:unhideWhenUsed/>
    <w:rsid w:val="0024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CE"/>
    <w:rPr>
      <w:rFonts w:ascii="Calibri" w:eastAsia="Calibri" w:hAnsi="Calibri" w:cs="Calibri"/>
    </w:rPr>
  </w:style>
  <w:style w:type="paragraph" w:styleId="Bibliography">
    <w:name w:val="Bibliography"/>
    <w:basedOn w:val="Normal"/>
    <w:next w:val="Normal"/>
    <w:uiPriority w:val="37"/>
    <w:unhideWhenUsed/>
    <w:rsid w:val="00E84979"/>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FA670F"/>
    <w:rPr>
      <w:sz w:val="16"/>
      <w:szCs w:val="16"/>
    </w:rPr>
  </w:style>
  <w:style w:type="paragraph" w:styleId="CommentText">
    <w:name w:val="annotation text"/>
    <w:basedOn w:val="Normal"/>
    <w:link w:val="CommentTextChar"/>
    <w:uiPriority w:val="99"/>
    <w:semiHidden/>
    <w:unhideWhenUsed/>
    <w:rsid w:val="00FA670F"/>
    <w:pPr>
      <w:spacing w:line="240" w:lineRule="auto"/>
    </w:pPr>
    <w:rPr>
      <w:sz w:val="20"/>
      <w:szCs w:val="20"/>
    </w:rPr>
  </w:style>
  <w:style w:type="character" w:customStyle="1" w:styleId="CommentTextChar">
    <w:name w:val="Comment Text Char"/>
    <w:basedOn w:val="DefaultParagraphFont"/>
    <w:link w:val="CommentText"/>
    <w:uiPriority w:val="99"/>
    <w:semiHidden/>
    <w:rsid w:val="00FA670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670F"/>
    <w:rPr>
      <w:b/>
      <w:bCs/>
    </w:rPr>
  </w:style>
  <w:style w:type="character" w:customStyle="1" w:styleId="CommentSubjectChar">
    <w:name w:val="Comment Subject Char"/>
    <w:basedOn w:val="CommentTextChar"/>
    <w:link w:val="CommentSubject"/>
    <w:uiPriority w:val="99"/>
    <w:semiHidden/>
    <w:rsid w:val="00FA670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A6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4947</Words>
  <Characters>28203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Fallon</dc:creator>
  <cp:keywords/>
  <dc:description/>
  <cp:lastModifiedBy>Candace Fallon</cp:lastModifiedBy>
  <cp:revision>3</cp:revision>
  <dcterms:created xsi:type="dcterms:W3CDTF">2021-09-03T15:28:00Z</dcterms:created>
  <dcterms:modified xsi:type="dcterms:W3CDTF">2021-09-03T15:29:00Z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id="P3kAF491"/&gt;&lt;style id="http://www.zotero.org/styles/plos-one" hasBibliography="1" bibliographyStyleHasBeenSet="1"/&gt;&lt;prefs&gt;&lt;pref name="fieldType" value="Field"/&gt;&lt;/prefs&gt;&lt;/data&gt;</vt:lpwstr>
  </property>
</Properties>
</file>