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071D" w14:textId="77777777" w:rsidR="00B3066A" w:rsidRPr="002E3124" w:rsidRDefault="00B3066A" w:rsidP="00B3066A">
      <w:pPr>
        <w:jc w:val="both"/>
        <w:rPr>
          <w:rFonts w:ascii="Arial" w:hAnsi="Arial" w:cs="Arial"/>
          <w:b/>
          <w:bCs/>
        </w:rPr>
      </w:pPr>
      <w:r w:rsidRPr="002E3124">
        <w:rPr>
          <w:rFonts w:ascii="Arial" w:hAnsi="Arial" w:cs="Arial"/>
          <w:b/>
          <w:bCs/>
        </w:rPr>
        <w:t xml:space="preserve">Supplementary Figure 3 – CRP (A) and Creatinine (B) levels in COVID-19 patients accordingly to the clinical course and outcomes. </w:t>
      </w:r>
      <w:bookmarkStart w:id="0" w:name="_Hlk69883018"/>
      <w:bookmarkEnd w:id="0"/>
    </w:p>
    <w:p w14:paraId="338170E0" w14:textId="34C1B865" w:rsidR="00B3066A" w:rsidRDefault="00B3066A">
      <w:r>
        <w:rPr>
          <w:noProof/>
        </w:rPr>
        <w:drawing>
          <wp:inline distT="0" distB="0" distL="0" distR="0" wp14:anchorId="06CBBA3C" wp14:editId="2DB83F37">
            <wp:extent cx="5400040" cy="4113530"/>
            <wp:effectExtent l="0" t="0" r="0" b="1270"/>
            <wp:docPr id="4" name="Imagem 4" descr="Gráfico, Gráfico de dispersã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Gráfico, Gráfico de dispersã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6A"/>
    <w:rsid w:val="00B3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C191"/>
  <w15:chartTrackingRefBased/>
  <w15:docId w15:val="{C8802E13-E481-44CD-A9DA-0B171532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66A"/>
    <w:pPr>
      <w:suppressAutoHyphens/>
    </w:pPr>
    <w:rPr>
      <w:rFonts w:ascii="Calibri" w:eastAsia="Calibri" w:hAnsi="Calibri" w:cs="Calibri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Peçanha</dc:creator>
  <cp:keywords/>
  <dc:description/>
  <cp:lastModifiedBy>Paula Peçanha</cp:lastModifiedBy>
  <cp:revision>1</cp:revision>
  <dcterms:created xsi:type="dcterms:W3CDTF">2021-10-15T01:25:00Z</dcterms:created>
  <dcterms:modified xsi:type="dcterms:W3CDTF">2021-10-15T01:25:00Z</dcterms:modified>
</cp:coreProperties>
</file>