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C7269" w14:textId="6C9304EE" w:rsidR="00E715A4" w:rsidRPr="008B7EA9" w:rsidRDefault="00E715A4" w:rsidP="00D3742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23647">
        <w:rPr>
          <w:rFonts w:ascii="Times New Roman" w:hAnsi="Times New Roman" w:cs="Times New Roman"/>
          <w:b/>
          <w:sz w:val="24"/>
          <w:szCs w:val="24"/>
          <w:lang w:val="en-US"/>
        </w:rPr>
        <w:t>Supplementary material for web</w:t>
      </w:r>
      <w:r w:rsidR="00D3742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A23647">
        <w:rPr>
          <w:rFonts w:ascii="Times New Roman" w:hAnsi="Times New Roman" w:cs="Times New Roman"/>
          <w:b/>
          <w:sz w:val="24"/>
          <w:szCs w:val="24"/>
          <w:lang w:val="en-US"/>
        </w:rPr>
        <w:t>only publication (included for clarity of readers)</w:t>
      </w:r>
    </w:p>
    <w:p w14:paraId="7B2A4655" w14:textId="7B4E5C99" w:rsidR="00E715A4" w:rsidRPr="00E44EDE" w:rsidRDefault="00E715A4" w:rsidP="00E715A4">
      <w:pPr>
        <w:spacing w:after="0"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44EDE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E44E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Table. Latent Class Model with membership variables.</w:t>
      </w:r>
    </w:p>
    <w:tbl>
      <w:tblPr>
        <w:tblW w:w="92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9"/>
        <w:gridCol w:w="673"/>
        <w:gridCol w:w="562"/>
        <w:gridCol w:w="637"/>
        <w:gridCol w:w="637"/>
        <w:gridCol w:w="507"/>
        <w:gridCol w:w="179"/>
        <w:gridCol w:w="673"/>
        <w:gridCol w:w="562"/>
        <w:gridCol w:w="637"/>
        <w:gridCol w:w="637"/>
        <w:gridCol w:w="507"/>
      </w:tblGrid>
      <w:tr w:rsidR="00E715A4" w:rsidRPr="00E44EDE" w14:paraId="53E07F5A" w14:textId="77777777" w:rsidTr="00A24C96">
        <w:trPr>
          <w:cantSplit/>
          <w:trHeight w:val="1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30A1" w14:textId="77777777" w:rsidR="00E715A4" w:rsidRPr="00E44EDE" w:rsidRDefault="00E715A4" w:rsidP="00A2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4CCE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Class 1 (68%)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5D25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13E7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Class 2 (32%)</w:t>
            </w:r>
          </w:p>
        </w:tc>
      </w:tr>
      <w:tr w:rsidR="00E715A4" w:rsidRPr="00E44EDE" w14:paraId="09CD6A6B" w14:textId="77777777" w:rsidTr="00A24C96">
        <w:trPr>
          <w:cantSplit/>
          <w:trHeight w:val="1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720A" w14:textId="77777777" w:rsidR="00E715A4" w:rsidRPr="00E44EDE" w:rsidRDefault="00E715A4" w:rsidP="00A24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Level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DB60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Coef.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C15F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SE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4F01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85A6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Sig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F232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272D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Coef.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E055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SE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07CD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2508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Sig</w:t>
            </w:r>
          </w:p>
        </w:tc>
      </w:tr>
      <w:tr w:rsidR="00E715A4" w:rsidRPr="00E44EDE" w14:paraId="278C930D" w14:textId="77777777" w:rsidTr="00A24C96">
        <w:trPr>
          <w:cantSplit/>
          <w:trHeight w:val="113"/>
        </w:trPr>
        <w:tc>
          <w:tcPr>
            <w:tcW w:w="0" w:type="auto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783B6D" w14:textId="77777777" w:rsidR="00E715A4" w:rsidRPr="00E44EDE" w:rsidRDefault="00E715A4" w:rsidP="00A24C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>Type of application</w:t>
            </w:r>
          </w:p>
        </w:tc>
      </w:tr>
      <w:tr w:rsidR="00E715A4" w:rsidRPr="00E44EDE" w14:paraId="1AA52798" w14:textId="77777777" w:rsidTr="00A24C96">
        <w:trPr>
          <w:cantSplit/>
          <w:trHeight w:val="113"/>
        </w:trPr>
        <w:tc>
          <w:tcPr>
            <w:tcW w:w="0" w:type="auto"/>
            <w:shd w:val="clear" w:color="auto" w:fill="auto"/>
            <w:noWrap/>
            <w:hideMark/>
          </w:tcPr>
          <w:p w14:paraId="56F21404" w14:textId="77777777" w:rsidR="00E715A4" w:rsidRPr="00E44EDE" w:rsidRDefault="00E715A4" w:rsidP="00A2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Intravenous 1x/week</w:t>
            </w:r>
          </w:p>
        </w:tc>
        <w:tc>
          <w:tcPr>
            <w:tcW w:w="0" w:type="auto"/>
            <w:shd w:val="clear" w:color="auto" w:fill="auto"/>
            <w:noWrap/>
          </w:tcPr>
          <w:p w14:paraId="1FF6C36F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</w:tcPr>
          <w:p w14:paraId="58B434F7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</w:tcPr>
          <w:p w14:paraId="1460D80D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</w:tcPr>
          <w:p w14:paraId="624D28E9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2769B5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0F1049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0F07798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</w:tcPr>
          <w:p w14:paraId="4428C91A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</w:tcPr>
          <w:p w14:paraId="6BB7BDD7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-0.17</w:t>
            </w:r>
          </w:p>
        </w:tc>
        <w:tc>
          <w:tcPr>
            <w:tcW w:w="0" w:type="auto"/>
            <w:shd w:val="clear" w:color="auto" w:fill="auto"/>
            <w:noWrap/>
          </w:tcPr>
          <w:p w14:paraId="02FAC151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D6FC97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E715A4" w:rsidRPr="00E44EDE" w14:paraId="0704CE71" w14:textId="77777777" w:rsidTr="00A24C96">
        <w:trPr>
          <w:cantSplit/>
          <w:trHeight w:val="113"/>
        </w:trPr>
        <w:tc>
          <w:tcPr>
            <w:tcW w:w="0" w:type="auto"/>
            <w:shd w:val="clear" w:color="auto" w:fill="auto"/>
            <w:noWrap/>
            <w:hideMark/>
          </w:tcPr>
          <w:p w14:paraId="4CECAA90" w14:textId="77777777" w:rsidR="00E715A4" w:rsidRPr="00E44EDE" w:rsidRDefault="00E715A4" w:rsidP="00A2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Intravenous 2x/week</w:t>
            </w:r>
          </w:p>
        </w:tc>
        <w:tc>
          <w:tcPr>
            <w:tcW w:w="0" w:type="auto"/>
            <w:shd w:val="clear" w:color="auto" w:fill="auto"/>
            <w:noWrap/>
          </w:tcPr>
          <w:p w14:paraId="2E5846EE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</w:tcPr>
          <w:p w14:paraId="0BA5F287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</w:tcPr>
          <w:p w14:paraId="7855E541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-0.20</w:t>
            </w:r>
          </w:p>
        </w:tc>
        <w:tc>
          <w:tcPr>
            <w:tcW w:w="0" w:type="auto"/>
            <w:shd w:val="clear" w:color="auto" w:fill="auto"/>
            <w:noWrap/>
          </w:tcPr>
          <w:p w14:paraId="1248E202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130FB7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34EA0AC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A769B03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</w:tcPr>
          <w:p w14:paraId="5325823A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</w:tcPr>
          <w:p w14:paraId="6101D77D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-0.40</w:t>
            </w:r>
          </w:p>
        </w:tc>
        <w:tc>
          <w:tcPr>
            <w:tcW w:w="0" w:type="auto"/>
            <w:shd w:val="clear" w:color="auto" w:fill="auto"/>
            <w:noWrap/>
          </w:tcPr>
          <w:p w14:paraId="1EB4D03F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A5C1B4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E715A4" w:rsidRPr="00E44EDE" w14:paraId="793ACD83" w14:textId="77777777" w:rsidTr="00A24C96">
        <w:trPr>
          <w:cantSplit/>
          <w:trHeight w:val="113"/>
        </w:trPr>
        <w:tc>
          <w:tcPr>
            <w:tcW w:w="0" w:type="auto"/>
            <w:shd w:val="clear" w:color="auto" w:fill="auto"/>
            <w:noWrap/>
            <w:hideMark/>
          </w:tcPr>
          <w:p w14:paraId="5E70736E" w14:textId="77777777" w:rsidR="00E715A4" w:rsidRPr="00E44EDE" w:rsidRDefault="00E715A4" w:rsidP="00A2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Intravenous 3x/week</w:t>
            </w:r>
          </w:p>
        </w:tc>
        <w:tc>
          <w:tcPr>
            <w:tcW w:w="0" w:type="auto"/>
            <w:shd w:val="clear" w:color="auto" w:fill="auto"/>
            <w:noWrap/>
          </w:tcPr>
          <w:p w14:paraId="1B092D83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-0.51</w:t>
            </w:r>
          </w:p>
        </w:tc>
        <w:tc>
          <w:tcPr>
            <w:tcW w:w="0" w:type="auto"/>
            <w:shd w:val="clear" w:color="auto" w:fill="auto"/>
            <w:noWrap/>
          </w:tcPr>
          <w:p w14:paraId="4A23B94E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</w:tcPr>
          <w:p w14:paraId="5788C073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-0.78</w:t>
            </w:r>
          </w:p>
        </w:tc>
        <w:tc>
          <w:tcPr>
            <w:tcW w:w="0" w:type="auto"/>
            <w:shd w:val="clear" w:color="auto" w:fill="auto"/>
            <w:noWrap/>
          </w:tcPr>
          <w:p w14:paraId="344BD0D2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96E859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5C72ED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0B1CAB6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-0.87</w:t>
            </w:r>
          </w:p>
        </w:tc>
        <w:tc>
          <w:tcPr>
            <w:tcW w:w="0" w:type="auto"/>
            <w:shd w:val="clear" w:color="auto" w:fill="auto"/>
            <w:noWrap/>
          </w:tcPr>
          <w:p w14:paraId="7FBA6F12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</w:tcPr>
          <w:p w14:paraId="2E440644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-1.30</w:t>
            </w:r>
          </w:p>
        </w:tc>
        <w:tc>
          <w:tcPr>
            <w:tcW w:w="0" w:type="auto"/>
            <w:shd w:val="clear" w:color="auto" w:fill="auto"/>
            <w:noWrap/>
          </w:tcPr>
          <w:p w14:paraId="02B13AF2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2EFA07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</w:t>
            </w:r>
          </w:p>
        </w:tc>
      </w:tr>
      <w:tr w:rsidR="00E715A4" w:rsidRPr="00E44EDE" w14:paraId="6C385D3A" w14:textId="77777777" w:rsidTr="00A24C96">
        <w:trPr>
          <w:cantSplit/>
          <w:trHeight w:val="113"/>
        </w:trPr>
        <w:tc>
          <w:tcPr>
            <w:tcW w:w="0" w:type="auto"/>
            <w:shd w:val="clear" w:color="auto" w:fill="auto"/>
            <w:noWrap/>
            <w:hideMark/>
          </w:tcPr>
          <w:p w14:paraId="5FEB0BCE" w14:textId="77777777" w:rsidR="00E715A4" w:rsidRPr="00E44EDE" w:rsidRDefault="00E715A4" w:rsidP="00A2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Subcutaneous 1x/week</w:t>
            </w:r>
          </w:p>
        </w:tc>
        <w:tc>
          <w:tcPr>
            <w:tcW w:w="0" w:type="auto"/>
            <w:shd w:val="clear" w:color="auto" w:fill="auto"/>
            <w:noWrap/>
          </w:tcPr>
          <w:p w14:paraId="5730C95B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</w:tcPr>
          <w:p w14:paraId="05A99B01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</w:tcPr>
          <w:p w14:paraId="56AC1AE7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</w:tcPr>
          <w:p w14:paraId="2390E9D5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676906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34BA15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4D3AC99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</w:tcPr>
          <w:p w14:paraId="47910B73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</w:tcPr>
          <w:p w14:paraId="22711884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</w:tcPr>
          <w:p w14:paraId="67C63C58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05E53E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</w:t>
            </w:r>
          </w:p>
        </w:tc>
      </w:tr>
      <w:tr w:rsidR="00E715A4" w:rsidRPr="00E44EDE" w14:paraId="7ECDB0D1" w14:textId="77777777" w:rsidTr="00A24C96">
        <w:trPr>
          <w:cantSplit/>
          <w:trHeight w:val="113"/>
        </w:trPr>
        <w:tc>
          <w:tcPr>
            <w:tcW w:w="0" w:type="auto"/>
            <w:shd w:val="clear" w:color="auto" w:fill="auto"/>
            <w:noWrap/>
            <w:hideMark/>
          </w:tcPr>
          <w:p w14:paraId="495D74E1" w14:textId="77777777" w:rsidR="00E715A4" w:rsidRPr="00E44EDE" w:rsidRDefault="00E715A4" w:rsidP="00A2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Subcutaneous 2x/week</w:t>
            </w:r>
          </w:p>
        </w:tc>
        <w:tc>
          <w:tcPr>
            <w:tcW w:w="0" w:type="auto"/>
            <w:shd w:val="clear" w:color="auto" w:fill="auto"/>
            <w:noWrap/>
          </w:tcPr>
          <w:p w14:paraId="2159AA7D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</w:tcPr>
          <w:p w14:paraId="07EE5395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</w:tcPr>
          <w:p w14:paraId="5D092A42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</w:tcPr>
          <w:p w14:paraId="43A7097B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2395E9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3B10DE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F02ECFD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-0.18</w:t>
            </w:r>
          </w:p>
        </w:tc>
        <w:tc>
          <w:tcPr>
            <w:tcW w:w="0" w:type="auto"/>
            <w:shd w:val="clear" w:color="auto" w:fill="auto"/>
            <w:noWrap/>
          </w:tcPr>
          <w:p w14:paraId="5E4A85AB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</w:tcPr>
          <w:p w14:paraId="6BF6D05A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-0.60</w:t>
            </w:r>
          </w:p>
        </w:tc>
        <w:tc>
          <w:tcPr>
            <w:tcW w:w="0" w:type="auto"/>
            <w:shd w:val="clear" w:color="auto" w:fill="auto"/>
            <w:noWrap/>
          </w:tcPr>
          <w:p w14:paraId="76A407B9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C94E4E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E715A4" w:rsidRPr="00E44EDE" w14:paraId="6D09AD52" w14:textId="77777777" w:rsidTr="00A24C96">
        <w:trPr>
          <w:cantSplit/>
          <w:trHeight w:val="1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0541C1" w14:textId="77777777" w:rsidR="00E715A4" w:rsidRPr="00E44EDE" w:rsidRDefault="00E715A4" w:rsidP="00A2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Subcutaneous 3x/week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48B85E75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640C8412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4F339103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084EFE34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7AC9C3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9B1282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1621E8CF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2DED1009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7A8D0401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0EDF994C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08A0B2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E715A4" w:rsidRPr="00E44EDE" w14:paraId="049C294A" w14:textId="77777777" w:rsidTr="00A24C96">
        <w:trPr>
          <w:cantSplit/>
          <w:trHeight w:val="113"/>
        </w:trPr>
        <w:tc>
          <w:tcPr>
            <w:tcW w:w="0" w:type="auto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4B08C5" w14:textId="77777777" w:rsidR="00E715A4" w:rsidRPr="00E44EDE" w:rsidRDefault="00E715A4" w:rsidP="00A24C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>Development of inhibitors</w:t>
            </w:r>
          </w:p>
        </w:tc>
      </w:tr>
      <w:tr w:rsidR="00E715A4" w:rsidRPr="00E44EDE" w14:paraId="35CF92DB" w14:textId="77777777" w:rsidTr="00A24C96">
        <w:trPr>
          <w:cantSplit/>
          <w:trHeight w:val="113"/>
        </w:trPr>
        <w:tc>
          <w:tcPr>
            <w:tcW w:w="0" w:type="auto"/>
            <w:shd w:val="clear" w:color="auto" w:fill="auto"/>
            <w:noWrap/>
            <w:hideMark/>
          </w:tcPr>
          <w:p w14:paraId="75E8A670" w14:textId="77777777" w:rsidR="00E715A4" w:rsidRPr="00E44EDE" w:rsidRDefault="00E715A4" w:rsidP="00A2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No (0%)</w:t>
            </w:r>
          </w:p>
        </w:tc>
        <w:tc>
          <w:tcPr>
            <w:tcW w:w="0" w:type="auto"/>
            <w:shd w:val="clear" w:color="auto" w:fill="auto"/>
            <w:noWrap/>
          </w:tcPr>
          <w:p w14:paraId="79461D7B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1.12</w:t>
            </w:r>
          </w:p>
        </w:tc>
        <w:tc>
          <w:tcPr>
            <w:tcW w:w="0" w:type="auto"/>
            <w:shd w:val="clear" w:color="auto" w:fill="auto"/>
            <w:noWrap/>
          </w:tcPr>
          <w:p w14:paraId="11E5EF33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</w:tcPr>
          <w:p w14:paraId="3D162037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</w:tcPr>
          <w:p w14:paraId="14DEA9A9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1F7D67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1ABD6B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8E1AC61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3.15</w:t>
            </w:r>
          </w:p>
        </w:tc>
        <w:tc>
          <w:tcPr>
            <w:tcW w:w="0" w:type="auto"/>
            <w:shd w:val="clear" w:color="auto" w:fill="auto"/>
            <w:noWrap/>
          </w:tcPr>
          <w:p w14:paraId="749EDE7A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</w:tcPr>
          <w:p w14:paraId="0DC9D4FA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2.65</w:t>
            </w:r>
          </w:p>
        </w:tc>
        <w:tc>
          <w:tcPr>
            <w:tcW w:w="0" w:type="auto"/>
            <w:shd w:val="clear" w:color="auto" w:fill="auto"/>
            <w:noWrap/>
          </w:tcPr>
          <w:p w14:paraId="12FC289B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AE751C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</w:t>
            </w:r>
          </w:p>
        </w:tc>
      </w:tr>
      <w:tr w:rsidR="00E715A4" w:rsidRPr="00E44EDE" w14:paraId="2025E0E5" w14:textId="77777777" w:rsidTr="00A24C96">
        <w:trPr>
          <w:cantSplit/>
          <w:trHeight w:val="113"/>
        </w:trPr>
        <w:tc>
          <w:tcPr>
            <w:tcW w:w="0" w:type="auto"/>
            <w:shd w:val="clear" w:color="auto" w:fill="auto"/>
            <w:noWrap/>
            <w:hideMark/>
          </w:tcPr>
          <w:p w14:paraId="7741B3BF" w14:textId="77777777" w:rsidR="00E715A4" w:rsidRPr="00E44EDE" w:rsidRDefault="00E715A4" w:rsidP="00A2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Low (2%)</w:t>
            </w:r>
          </w:p>
        </w:tc>
        <w:tc>
          <w:tcPr>
            <w:tcW w:w="0" w:type="auto"/>
            <w:shd w:val="clear" w:color="auto" w:fill="auto"/>
            <w:noWrap/>
          </w:tcPr>
          <w:p w14:paraId="2E999E93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</w:tcPr>
          <w:p w14:paraId="56652E5D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</w:tcPr>
          <w:p w14:paraId="02B09223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</w:tcPr>
          <w:p w14:paraId="4AE2EEDA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F20C7E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6D632D0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26824EA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</w:tcPr>
          <w:p w14:paraId="705CE631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</w:tcPr>
          <w:p w14:paraId="36F7E70E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</w:tcPr>
          <w:p w14:paraId="5F67DB3A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52236D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</w:t>
            </w:r>
          </w:p>
        </w:tc>
      </w:tr>
      <w:tr w:rsidR="00E715A4" w:rsidRPr="00E44EDE" w14:paraId="69041623" w14:textId="77777777" w:rsidTr="00A24C96">
        <w:trPr>
          <w:cantSplit/>
          <w:trHeight w:val="1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3171ED" w14:textId="77777777" w:rsidR="00E715A4" w:rsidRPr="00E44EDE" w:rsidRDefault="00E715A4" w:rsidP="00A2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Medium (4%)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4BEC8EE7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-1.25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4D330CC8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3A7E3ED5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-1.44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183D339E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-1.05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F1FDC0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A0A849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4264C3F9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-3.73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2EBEFDED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70203819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-4.35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1F151078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-3.10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2588F7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</w:t>
            </w:r>
          </w:p>
        </w:tc>
      </w:tr>
      <w:tr w:rsidR="00E715A4" w:rsidRPr="00E44EDE" w14:paraId="075E21B8" w14:textId="77777777" w:rsidTr="00A24C96">
        <w:trPr>
          <w:cantSplit/>
          <w:trHeight w:val="113"/>
        </w:trPr>
        <w:tc>
          <w:tcPr>
            <w:tcW w:w="0" w:type="auto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D23593" w14:textId="77777777" w:rsidR="00E715A4" w:rsidRPr="00E44EDE" w:rsidRDefault="00E715A4" w:rsidP="00A24C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>Bleeding frequency per year</w:t>
            </w:r>
          </w:p>
        </w:tc>
      </w:tr>
      <w:tr w:rsidR="00E715A4" w:rsidRPr="00E44EDE" w14:paraId="7DDA2AB9" w14:textId="77777777" w:rsidTr="00A24C96">
        <w:trPr>
          <w:cantSplit/>
          <w:trHeight w:val="113"/>
        </w:trPr>
        <w:tc>
          <w:tcPr>
            <w:tcW w:w="0" w:type="auto"/>
            <w:shd w:val="clear" w:color="auto" w:fill="auto"/>
            <w:noWrap/>
            <w:hideMark/>
          </w:tcPr>
          <w:p w14:paraId="4140571A" w14:textId="77777777" w:rsidR="00E715A4" w:rsidRPr="00E44EDE" w:rsidRDefault="00E715A4" w:rsidP="00A2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0 Bleedings</w:t>
            </w:r>
          </w:p>
        </w:tc>
        <w:tc>
          <w:tcPr>
            <w:tcW w:w="0" w:type="auto"/>
            <w:shd w:val="clear" w:color="auto" w:fill="auto"/>
            <w:noWrap/>
          </w:tcPr>
          <w:p w14:paraId="5C5A5051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2.79</w:t>
            </w:r>
          </w:p>
        </w:tc>
        <w:tc>
          <w:tcPr>
            <w:tcW w:w="0" w:type="auto"/>
            <w:shd w:val="clear" w:color="auto" w:fill="auto"/>
            <w:noWrap/>
          </w:tcPr>
          <w:p w14:paraId="0FC82565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</w:tcPr>
          <w:p w14:paraId="0C4F51BC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2.49</w:t>
            </w:r>
          </w:p>
        </w:tc>
        <w:tc>
          <w:tcPr>
            <w:tcW w:w="0" w:type="auto"/>
            <w:shd w:val="clear" w:color="auto" w:fill="auto"/>
            <w:noWrap/>
          </w:tcPr>
          <w:p w14:paraId="59FF5C0F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7B7F38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CC6409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C2654D5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</w:tcPr>
          <w:p w14:paraId="259145A0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</w:tcPr>
          <w:p w14:paraId="5128CCB0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</w:tcPr>
          <w:p w14:paraId="2541534E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25A93B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</w:t>
            </w:r>
          </w:p>
        </w:tc>
      </w:tr>
      <w:tr w:rsidR="00E715A4" w:rsidRPr="00E44EDE" w14:paraId="5D199CE6" w14:textId="77777777" w:rsidTr="00A24C96">
        <w:trPr>
          <w:cantSplit/>
          <w:trHeight w:val="113"/>
        </w:trPr>
        <w:tc>
          <w:tcPr>
            <w:tcW w:w="0" w:type="auto"/>
            <w:shd w:val="clear" w:color="auto" w:fill="auto"/>
            <w:noWrap/>
            <w:hideMark/>
          </w:tcPr>
          <w:p w14:paraId="35A609CC" w14:textId="77777777" w:rsidR="00E715A4" w:rsidRPr="00E44EDE" w:rsidRDefault="00E715A4" w:rsidP="00A2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5 Bleedings</w:t>
            </w:r>
          </w:p>
        </w:tc>
        <w:tc>
          <w:tcPr>
            <w:tcW w:w="0" w:type="auto"/>
            <w:shd w:val="clear" w:color="auto" w:fill="auto"/>
            <w:noWrap/>
          </w:tcPr>
          <w:p w14:paraId="3DD2A410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1.52</w:t>
            </w:r>
          </w:p>
        </w:tc>
        <w:tc>
          <w:tcPr>
            <w:tcW w:w="0" w:type="auto"/>
            <w:shd w:val="clear" w:color="auto" w:fill="auto"/>
            <w:noWrap/>
          </w:tcPr>
          <w:p w14:paraId="54ECC231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</w:tcPr>
          <w:p w14:paraId="19E2BD7A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1.29</w:t>
            </w:r>
          </w:p>
        </w:tc>
        <w:tc>
          <w:tcPr>
            <w:tcW w:w="0" w:type="auto"/>
            <w:shd w:val="clear" w:color="auto" w:fill="auto"/>
            <w:noWrap/>
          </w:tcPr>
          <w:p w14:paraId="2A8BA579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57D69E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D14610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579A569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</w:tcPr>
          <w:p w14:paraId="66CB7F90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</w:tcPr>
          <w:p w14:paraId="27E9B006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</w:tcPr>
          <w:p w14:paraId="4B12A18F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CCBA73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</w:t>
            </w:r>
          </w:p>
        </w:tc>
      </w:tr>
      <w:tr w:rsidR="00E715A4" w:rsidRPr="00E44EDE" w14:paraId="1BA0089D" w14:textId="77777777" w:rsidTr="00A24C96">
        <w:trPr>
          <w:cantSplit/>
          <w:trHeight w:val="113"/>
        </w:trPr>
        <w:tc>
          <w:tcPr>
            <w:tcW w:w="0" w:type="auto"/>
            <w:shd w:val="clear" w:color="auto" w:fill="auto"/>
            <w:noWrap/>
            <w:hideMark/>
          </w:tcPr>
          <w:p w14:paraId="3AA51C91" w14:textId="77777777" w:rsidR="00E715A4" w:rsidRPr="00E44EDE" w:rsidRDefault="00E715A4" w:rsidP="00A2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15 Bleedings</w:t>
            </w:r>
          </w:p>
        </w:tc>
        <w:tc>
          <w:tcPr>
            <w:tcW w:w="0" w:type="auto"/>
            <w:shd w:val="clear" w:color="auto" w:fill="auto"/>
            <w:noWrap/>
          </w:tcPr>
          <w:p w14:paraId="6B45A790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-0.92</w:t>
            </w:r>
          </w:p>
        </w:tc>
        <w:tc>
          <w:tcPr>
            <w:tcW w:w="0" w:type="auto"/>
            <w:shd w:val="clear" w:color="auto" w:fill="auto"/>
            <w:noWrap/>
          </w:tcPr>
          <w:p w14:paraId="6A3A24B0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</w:tcPr>
          <w:p w14:paraId="539E6AFF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-1.14</w:t>
            </w:r>
          </w:p>
        </w:tc>
        <w:tc>
          <w:tcPr>
            <w:tcW w:w="0" w:type="auto"/>
            <w:shd w:val="clear" w:color="auto" w:fill="auto"/>
            <w:noWrap/>
          </w:tcPr>
          <w:p w14:paraId="7F7BAA86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49DA7A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4F67A5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347D8F0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-0.29</w:t>
            </w:r>
          </w:p>
        </w:tc>
        <w:tc>
          <w:tcPr>
            <w:tcW w:w="0" w:type="auto"/>
            <w:shd w:val="clear" w:color="auto" w:fill="auto"/>
            <w:noWrap/>
          </w:tcPr>
          <w:p w14:paraId="265A71A4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</w:tcPr>
          <w:p w14:paraId="76C65D31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-0.60</w:t>
            </w:r>
          </w:p>
        </w:tc>
        <w:tc>
          <w:tcPr>
            <w:tcW w:w="0" w:type="auto"/>
            <w:shd w:val="clear" w:color="auto" w:fill="auto"/>
            <w:noWrap/>
          </w:tcPr>
          <w:p w14:paraId="32F21EFB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9B5888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E715A4" w:rsidRPr="00E44EDE" w14:paraId="74DDDB94" w14:textId="77777777" w:rsidTr="00A24C96">
        <w:trPr>
          <w:cantSplit/>
          <w:trHeight w:val="1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773325" w14:textId="77777777" w:rsidR="00E715A4" w:rsidRPr="00E44EDE" w:rsidRDefault="00E715A4" w:rsidP="00A2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25 Bleedings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28F1F08E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-3.38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64A63074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569DCD2C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-3.75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7ED4F490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-3.01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B72183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8D7953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44746415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-1.51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40304814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174A07ED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-1.96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0E1ECEB7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-1.06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ECFE1F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</w:t>
            </w:r>
          </w:p>
        </w:tc>
      </w:tr>
      <w:tr w:rsidR="00E715A4" w:rsidRPr="00E44EDE" w14:paraId="1D6297A4" w14:textId="77777777" w:rsidTr="00A24C96">
        <w:trPr>
          <w:cantSplit/>
          <w:trHeight w:val="113"/>
        </w:trPr>
        <w:tc>
          <w:tcPr>
            <w:tcW w:w="0" w:type="auto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3DA151" w14:textId="77777777" w:rsidR="00E715A4" w:rsidRPr="00E44EDE" w:rsidRDefault="00E715A4" w:rsidP="00A24C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>Risk of thromboembolic events</w:t>
            </w:r>
          </w:p>
        </w:tc>
      </w:tr>
      <w:tr w:rsidR="00E715A4" w:rsidRPr="00E44EDE" w14:paraId="2285BBBC" w14:textId="77777777" w:rsidTr="00A24C96">
        <w:trPr>
          <w:cantSplit/>
          <w:trHeight w:val="113"/>
        </w:trPr>
        <w:tc>
          <w:tcPr>
            <w:tcW w:w="0" w:type="auto"/>
            <w:shd w:val="clear" w:color="auto" w:fill="auto"/>
            <w:noWrap/>
            <w:hideMark/>
          </w:tcPr>
          <w:p w14:paraId="6A6021C0" w14:textId="77777777" w:rsidR="00E715A4" w:rsidRPr="00E44EDE" w:rsidRDefault="00E715A4" w:rsidP="00A2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No risk (0%)</w:t>
            </w:r>
          </w:p>
        </w:tc>
        <w:tc>
          <w:tcPr>
            <w:tcW w:w="0" w:type="auto"/>
            <w:shd w:val="clear" w:color="auto" w:fill="auto"/>
            <w:noWrap/>
          </w:tcPr>
          <w:p w14:paraId="04FBC547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</w:tcPr>
          <w:p w14:paraId="49CBF84E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</w:tcPr>
          <w:p w14:paraId="31019510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</w:tcPr>
          <w:p w14:paraId="24C060A7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48B858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D4BAFF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71696DD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</w:tcPr>
          <w:p w14:paraId="18A67F0B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</w:tcPr>
          <w:p w14:paraId="46648BE8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</w:tcPr>
          <w:p w14:paraId="1A5824FE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8FD25B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</w:t>
            </w:r>
          </w:p>
        </w:tc>
      </w:tr>
      <w:tr w:rsidR="00E715A4" w:rsidRPr="00E44EDE" w14:paraId="3D8200AF" w14:textId="77777777" w:rsidTr="00A24C96">
        <w:trPr>
          <w:cantSplit/>
          <w:trHeight w:val="113"/>
        </w:trPr>
        <w:tc>
          <w:tcPr>
            <w:tcW w:w="0" w:type="auto"/>
            <w:shd w:val="clear" w:color="auto" w:fill="auto"/>
            <w:noWrap/>
            <w:hideMark/>
          </w:tcPr>
          <w:p w14:paraId="7F7FEA7E" w14:textId="77777777" w:rsidR="00E715A4" w:rsidRPr="00E44EDE" w:rsidRDefault="00E715A4" w:rsidP="00A2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Low risk (1%)</w:t>
            </w:r>
          </w:p>
        </w:tc>
        <w:tc>
          <w:tcPr>
            <w:tcW w:w="0" w:type="auto"/>
            <w:shd w:val="clear" w:color="auto" w:fill="auto"/>
            <w:noWrap/>
          </w:tcPr>
          <w:p w14:paraId="6953E3C0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</w:tcPr>
          <w:p w14:paraId="52551FE1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</w:tcPr>
          <w:p w14:paraId="26B4E07E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</w:tcPr>
          <w:p w14:paraId="04150EE1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E87DB1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02AD2BC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5E32B32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</w:tcPr>
          <w:p w14:paraId="06FD0026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</w:tcPr>
          <w:p w14:paraId="32FB6342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</w:tcPr>
          <w:p w14:paraId="711BB051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480F5B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E715A4" w:rsidRPr="00E44EDE" w14:paraId="43074539" w14:textId="77777777" w:rsidTr="00A24C96">
        <w:trPr>
          <w:cantSplit/>
          <w:trHeight w:val="1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60FF42" w14:textId="77777777" w:rsidR="00E715A4" w:rsidRPr="00E44EDE" w:rsidRDefault="00E715A4" w:rsidP="00A2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Medium risk (2%)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072D5DF9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727AC882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6B6B2620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08A2800E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175840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A16DCF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42FE80E1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-1.03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38A31A0C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642AFDD2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-1.32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60585BB8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C39A67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</w:t>
            </w:r>
          </w:p>
        </w:tc>
      </w:tr>
      <w:tr w:rsidR="00E715A4" w:rsidRPr="00E44EDE" w14:paraId="5D9A234F" w14:textId="77777777" w:rsidTr="00A24C96">
        <w:trPr>
          <w:cantSplit/>
          <w:trHeight w:val="11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14:paraId="08F77374" w14:textId="77777777" w:rsidR="00E715A4" w:rsidRPr="00E44EDE" w:rsidRDefault="00E715A4" w:rsidP="00A24C96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Membership variables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14:paraId="1814D128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14:paraId="71A89EDB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14:paraId="6CE321A8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14:paraId="608F0BA9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14:paraId="6ABF464E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F91E77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1285EF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A8FF57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585417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9EEBFE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D05002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E715A4" w:rsidRPr="00E44EDE" w14:paraId="09596C7D" w14:textId="77777777" w:rsidTr="00A24C96">
        <w:trPr>
          <w:cantSplit/>
          <w:trHeight w:val="113"/>
        </w:trPr>
        <w:tc>
          <w:tcPr>
            <w:tcW w:w="0" w:type="auto"/>
            <w:shd w:val="clear" w:color="auto" w:fill="auto"/>
            <w:noWrap/>
          </w:tcPr>
          <w:p w14:paraId="7D496B95" w14:textId="77777777" w:rsidR="00E715A4" w:rsidRPr="00E44EDE" w:rsidRDefault="00E715A4" w:rsidP="00A24C9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cov1 (0–2 bleedings last year)</w:t>
            </w:r>
          </w:p>
        </w:tc>
        <w:tc>
          <w:tcPr>
            <w:tcW w:w="0" w:type="auto"/>
            <w:shd w:val="clear" w:color="auto" w:fill="auto"/>
            <w:noWrap/>
          </w:tcPr>
          <w:p w14:paraId="04B123D3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2.04</w:t>
            </w:r>
          </w:p>
        </w:tc>
        <w:tc>
          <w:tcPr>
            <w:tcW w:w="0" w:type="auto"/>
            <w:shd w:val="clear" w:color="auto" w:fill="auto"/>
            <w:noWrap/>
          </w:tcPr>
          <w:p w14:paraId="1AB81053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</w:tcPr>
          <w:p w14:paraId="2256FC3F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</w:tcPr>
          <w:p w14:paraId="7E17CA49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3.74</w:t>
            </w:r>
          </w:p>
        </w:tc>
        <w:tc>
          <w:tcPr>
            <w:tcW w:w="0" w:type="auto"/>
            <w:shd w:val="clear" w:color="auto" w:fill="auto"/>
            <w:noWrap/>
          </w:tcPr>
          <w:p w14:paraId="71B844B5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30CD10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37BBA5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26AB2C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815EC5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1D96B7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2BC60A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E715A4" w:rsidRPr="00E44EDE" w14:paraId="051A137F" w14:textId="77777777" w:rsidTr="00A24C96">
        <w:trPr>
          <w:cantSplit/>
          <w:trHeight w:val="113"/>
        </w:trPr>
        <w:tc>
          <w:tcPr>
            <w:tcW w:w="0" w:type="auto"/>
            <w:shd w:val="clear" w:color="auto" w:fill="auto"/>
            <w:noWrap/>
          </w:tcPr>
          <w:p w14:paraId="46A3BED1" w14:textId="77777777" w:rsidR="00E715A4" w:rsidRPr="00E44EDE" w:rsidRDefault="00E715A4" w:rsidP="00A24C9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cov2 (max no. of bleedings &gt;20)</w:t>
            </w:r>
          </w:p>
        </w:tc>
        <w:tc>
          <w:tcPr>
            <w:tcW w:w="0" w:type="auto"/>
            <w:shd w:val="clear" w:color="auto" w:fill="auto"/>
            <w:noWrap/>
          </w:tcPr>
          <w:p w14:paraId="12DC35BD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-2.56</w:t>
            </w:r>
          </w:p>
        </w:tc>
        <w:tc>
          <w:tcPr>
            <w:tcW w:w="0" w:type="auto"/>
            <w:shd w:val="clear" w:color="auto" w:fill="auto"/>
            <w:noWrap/>
          </w:tcPr>
          <w:p w14:paraId="25065706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</w:tcPr>
          <w:p w14:paraId="7F453FF7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-4.34</w:t>
            </w:r>
          </w:p>
        </w:tc>
        <w:tc>
          <w:tcPr>
            <w:tcW w:w="0" w:type="auto"/>
            <w:shd w:val="clear" w:color="auto" w:fill="auto"/>
            <w:noWrap/>
          </w:tcPr>
          <w:p w14:paraId="1EB3EF2D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-0.79</w:t>
            </w:r>
          </w:p>
        </w:tc>
        <w:tc>
          <w:tcPr>
            <w:tcW w:w="0" w:type="auto"/>
            <w:shd w:val="clear" w:color="auto" w:fill="auto"/>
            <w:noWrap/>
          </w:tcPr>
          <w:p w14:paraId="77EB6258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28B15F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295676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E6DB9D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83DB58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82997B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46EDB5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E715A4" w:rsidRPr="00E44EDE" w14:paraId="54484682" w14:textId="77777777" w:rsidTr="00A24C96">
        <w:trPr>
          <w:cantSplit/>
          <w:trHeight w:val="1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546AA156" w14:textId="77777777" w:rsidR="00E715A4" w:rsidRPr="00E44EDE" w:rsidRDefault="00E715A4" w:rsidP="00A24C9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cov3 (very good health state)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19BC54E8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-2.91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69121B00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76A2BD37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-4.80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5C41EE99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-1.01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686B5B17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9276B1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E04F61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51DF14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E7EDDD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9D21E8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2AAD53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E715A4" w:rsidRPr="00E44EDE" w14:paraId="3EE31BE1" w14:textId="77777777" w:rsidTr="00A24C96">
        <w:trPr>
          <w:cantSplit/>
          <w:trHeight w:val="1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3C5BEA4" w14:textId="77777777" w:rsidR="00E715A4" w:rsidRPr="00E44EDE" w:rsidRDefault="00E715A4" w:rsidP="00A2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_cons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2F9C7B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192DAC0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DEB6D6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192DB3" w14:textId="77777777" w:rsidR="00E715A4" w:rsidRPr="00E44EDE" w:rsidRDefault="00E715A4" w:rsidP="00A24C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0FAEC78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732A" w14:textId="77777777" w:rsidR="00E715A4" w:rsidRPr="00E44EDE" w:rsidRDefault="00E715A4" w:rsidP="00A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D53F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9FB3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7500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506D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2DC0" w14:textId="77777777" w:rsidR="00E715A4" w:rsidRPr="00E44EDE" w:rsidRDefault="00E715A4" w:rsidP="00A24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E715A4" w:rsidRPr="00E44EDE" w14:paraId="16CCC8AE" w14:textId="77777777" w:rsidTr="00A24C96">
        <w:trPr>
          <w:cantSplit/>
          <w:trHeight w:val="113"/>
        </w:trPr>
        <w:tc>
          <w:tcPr>
            <w:tcW w:w="0" w:type="auto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B16DC4" w14:textId="4765C7BF" w:rsidR="00E715A4" w:rsidRPr="00E44EDE" w:rsidRDefault="00E715A4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de-DE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=</w:t>
            </w: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confidence interval, </w:t>
            </w:r>
            <w:r w:rsidRPr="00E44E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de-DE"/>
              </w:rPr>
              <w:t>Coef</w:t>
            </w: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=</w:t>
            </w: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coefficient,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LCM = </w:t>
            </w:r>
            <w:r w:rsidR="0012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atent </w:t>
            </w:r>
            <w:r w:rsidR="0012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lass model, </w:t>
            </w:r>
            <w:r w:rsidRPr="00E44E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de-DE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=</w:t>
            </w: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standard error, </w:t>
            </w:r>
            <w:r w:rsidRPr="00E44E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de-DE"/>
              </w:rPr>
              <w:t>Sig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=</w:t>
            </w: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significance. *** </w:t>
            </w:r>
            <w:r w:rsidRPr="00B87A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de-DE"/>
              </w:rPr>
              <w:t>P</w:t>
            </w:r>
            <w:r w:rsidRPr="00E44E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.01,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br/>
            </w: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** </w:t>
            </w:r>
            <w:r w:rsidRPr="00B87A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de-DE"/>
              </w:rPr>
              <w:t>P</w:t>
            </w:r>
            <w:r w:rsidRPr="00E44E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.05, * </w:t>
            </w:r>
            <w:r w:rsidRPr="00B87A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de-DE"/>
              </w:rPr>
              <w:t>P</w:t>
            </w:r>
            <w:r w:rsidRPr="00E44E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.1. ll(model): -709.411; AIC: 1474.821; BIC: 1651.773; degrees of freedom: 28</w:t>
            </w:r>
          </w:p>
        </w:tc>
      </w:tr>
    </w:tbl>
    <w:p w14:paraId="493B71D5" w14:textId="77777777" w:rsidR="00E715A4" w:rsidRPr="00E44EDE" w:rsidRDefault="00E715A4" w:rsidP="00E715A4">
      <w:pPr>
        <w:spacing w:after="0"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88AE22E" w14:textId="4D9A4F1D" w:rsidR="00E715A4" w:rsidRDefault="00E715A4" w:rsidP="00E715A4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44EDE">
        <w:rPr>
          <w:rFonts w:ascii="Times New Roman" w:hAnsi="Times New Roman" w:cs="Times New Roman"/>
          <w:sz w:val="20"/>
          <w:szCs w:val="20"/>
          <w:lang w:val="en-US"/>
        </w:rPr>
        <w:t>In the LCM analysis additional covariates were included as class-membership effects for the two classes in the model. Variables that showed a significant or an almost-significant level in the cross tables (see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S2 Table</w:t>
      </w:r>
      <w:r w:rsidRPr="00E44EDE">
        <w:rPr>
          <w:rFonts w:ascii="Times New Roman" w:hAnsi="Times New Roman" w:cs="Times New Roman"/>
          <w:sz w:val="20"/>
          <w:szCs w:val="20"/>
          <w:lang w:val="en-US"/>
        </w:rPr>
        <w:t xml:space="preserve">) were tested as covariates in the </w:t>
      </w:r>
      <w:r w:rsidR="00123C3C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E44EDE">
        <w:rPr>
          <w:rFonts w:ascii="Times New Roman" w:hAnsi="Times New Roman" w:cs="Times New Roman"/>
          <w:sz w:val="20"/>
          <w:szCs w:val="20"/>
          <w:lang w:val="en-US"/>
        </w:rPr>
        <w:t xml:space="preserve">atent </w:t>
      </w:r>
      <w:r w:rsidR="00123C3C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E44EDE">
        <w:rPr>
          <w:rFonts w:ascii="Times New Roman" w:hAnsi="Times New Roman" w:cs="Times New Roman"/>
          <w:sz w:val="20"/>
          <w:szCs w:val="20"/>
          <w:lang w:val="en-US"/>
        </w:rPr>
        <w:t xml:space="preserve">lass model. These variables were binary and assumed to be constant across alternatives for the same respondent. Only three covariates which showed a significance of at least </w:t>
      </w:r>
      <w:r w:rsidRPr="00B87A45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E44EDE">
        <w:rPr>
          <w:rFonts w:ascii="Times New Roman" w:hAnsi="Times New Roman" w:cs="Times New Roman"/>
          <w:sz w:val="20"/>
          <w:szCs w:val="20"/>
          <w:lang w:val="en-US"/>
        </w:rPr>
        <w:t xml:space="preserve"> &lt; 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E44EDE">
        <w:rPr>
          <w:rFonts w:ascii="Times New Roman" w:hAnsi="Times New Roman" w:cs="Times New Roman"/>
          <w:sz w:val="20"/>
          <w:szCs w:val="20"/>
          <w:lang w:val="en-US"/>
        </w:rPr>
        <w:t xml:space="preserve">.05 were included in the final model. The first covariate (cov1) was derived from the question “How many bleedings have you had in the last year?” and coded 1 if respondents had 0 to 2 bleedings last year and 0 otherwise. Second covariate (cov2) was derived from the question “What was the maximum number of bleedings?” The variable was coded 1 if respondents stated that they suffered from a maximum number of bleedings of more than 20 and 0 otherwise in the dataset. The third covariate (cov3) based on the question “How would you describe your current state of health in general?” It was coded 1 if respondents answered with very good and coded with 0 otherwise. Reference class is class 2. Respondents in class 1 differed significantly in terms of bleeding frequencies, maximum number of bleedings, and current state of health. Class 1 respondents had a lower number of bleedings in the last year (coef. = 2.04; </w:t>
      </w:r>
      <w:r w:rsidRPr="00B87A45">
        <w:rPr>
          <w:rFonts w:ascii="Times New Roman" w:hAnsi="Times New Roman" w:cs="Times New Roman"/>
          <w:iCs/>
          <w:sz w:val="20"/>
          <w:szCs w:val="20"/>
          <w:lang w:val="en-US"/>
        </w:rPr>
        <w:t>P</w:t>
      </w:r>
      <w:r w:rsidRPr="00E44ED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E44EDE">
        <w:rPr>
          <w:rFonts w:ascii="Times New Roman" w:hAnsi="Times New Roman" w:cs="Times New Roman"/>
          <w:sz w:val="20"/>
          <w:szCs w:val="20"/>
          <w:lang w:val="en-US"/>
        </w:rPr>
        <w:t xml:space="preserve">&lt; 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E44EDE">
        <w:rPr>
          <w:rFonts w:ascii="Times New Roman" w:hAnsi="Times New Roman" w:cs="Times New Roman"/>
          <w:sz w:val="20"/>
          <w:szCs w:val="20"/>
          <w:lang w:val="en-US"/>
        </w:rPr>
        <w:t xml:space="preserve">.05). Respondents of class 2 were more likely to have a maximum number of bleedings of more than 20 (coef. = -2.56; </w:t>
      </w:r>
      <w:r w:rsidRPr="00B87A45">
        <w:rPr>
          <w:rFonts w:ascii="Times New Roman" w:hAnsi="Times New Roman" w:cs="Times New Roman"/>
          <w:iCs/>
          <w:sz w:val="20"/>
          <w:szCs w:val="20"/>
          <w:lang w:val="en-US"/>
        </w:rPr>
        <w:t>P</w:t>
      </w:r>
      <w:r w:rsidRPr="00E44ED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E44EDE">
        <w:rPr>
          <w:rFonts w:ascii="Times New Roman" w:hAnsi="Times New Roman" w:cs="Times New Roman"/>
          <w:sz w:val="20"/>
          <w:szCs w:val="20"/>
          <w:lang w:val="en-US"/>
        </w:rPr>
        <w:t xml:space="preserve">&lt; 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E44EDE">
        <w:rPr>
          <w:rFonts w:ascii="Times New Roman" w:hAnsi="Times New Roman" w:cs="Times New Roman"/>
          <w:sz w:val="20"/>
          <w:szCs w:val="20"/>
          <w:lang w:val="en-US"/>
        </w:rPr>
        <w:t xml:space="preserve">.01). Regarding current state of health, class 1 had a significant lower proportion of respondents with a very good health state (self-report by respondents) (coef. = -2.91; </w:t>
      </w:r>
      <w:r w:rsidRPr="00B87A45">
        <w:rPr>
          <w:rFonts w:ascii="Times New Roman" w:hAnsi="Times New Roman" w:cs="Times New Roman"/>
          <w:iCs/>
          <w:sz w:val="20"/>
          <w:szCs w:val="20"/>
          <w:lang w:val="en-US"/>
        </w:rPr>
        <w:t>P</w:t>
      </w:r>
      <w:r w:rsidRPr="00E44ED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E44EDE">
        <w:rPr>
          <w:rFonts w:ascii="Times New Roman" w:hAnsi="Times New Roman" w:cs="Times New Roman"/>
          <w:sz w:val="20"/>
          <w:szCs w:val="20"/>
          <w:lang w:val="en-US"/>
        </w:rPr>
        <w:t xml:space="preserve">&lt; 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E44EDE">
        <w:rPr>
          <w:rFonts w:ascii="Times New Roman" w:hAnsi="Times New Roman" w:cs="Times New Roman"/>
          <w:sz w:val="20"/>
          <w:szCs w:val="20"/>
          <w:lang w:val="en-US"/>
        </w:rPr>
        <w:t>.01) than class 2 respondents.</w:t>
      </w:r>
    </w:p>
    <w:p w14:paraId="5313C478" w14:textId="77777777" w:rsidR="00E715A4" w:rsidRDefault="00E715A4" w:rsidP="00E715A4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8650D8E" w14:textId="77777777" w:rsidR="00E715A4" w:rsidRPr="00E44EDE" w:rsidRDefault="00E715A4" w:rsidP="00E715A4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621E914E" w14:textId="77777777" w:rsidR="00A24C96" w:rsidRDefault="00A24C96" w:rsidP="00E715A4">
      <w:pPr>
        <w:spacing w:after="0" w:line="480" w:lineRule="auto"/>
      </w:pPr>
    </w:p>
    <w:sectPr w:rsidR="00A24C96" w:rsidSect="00A24C96">
      <w:footerReference w:type="default" r:id="rId6"/>
      <w:pgSz w:w="12240" w:h="15840" w:code="1"/>
      <w:pgMar w:top="1440" w:right="1440" w:bottom="1440" w:left="144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74200" w14:textId="77777777" w:rsidR="00E60881" w:rsidRDefault="00E60881">
      <w:pPr>
        <w:spacing w:after="0" w:line="240" w:lineRule="auto"/>
      </w:pPr>
      <w:r>
        <w:separator/>
      </w:r>
    </w:p>
  </w:endnote>
  <w:endnote w:type="continuationSeparator" w:id="0">
    <w:p w14:paraId="6AC89E3A" w14:textId="77777777" w:rsidR="00E60881" w:rsidRDefault="00E6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63907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2DCB5BB" w14:textId="77777777" w:rsidR="00C642B9" w:rsidRPr="00CC4CDB" w:rsidRDefault="00C642B9" w:rsidP="00A24C9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C4CD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C4CD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C4CD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C4CD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C4CD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8348F65" w14:textId="77777777" w:rsidR="00C642B9" w:rsidRDefault="00C64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C1203" w14:textId="77777777" w:rsidR="00E60881" w:rsidRDefault="00E60881">
      <w:pPr>
        <w:spacing w:after="0" w:line="240" w:lineRule="auto"/>
      </w:pPr>
      <w:r>
        <w:separator/>
      </w:r>
    </w:p>
  </w:footnote>
  <w:footnote w:type="continuationSeparator" w:id="0">
    <w:p w14:paraId="16275539" w14:textId="77777777" w:rsidR="00E60881" w:rsidRDefault="00E60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A4"/>
    <w:rsid w:val="00123C3C"/>
    <w:rsid w:val="002A7F1A"/>
    <w:rsid w:val="002B67CF"/>
    <w:rsid w:val="00495803"/>
    <w:rsid w:val="00601AC1"/>
    <w:rsid w:val="00713A39"/>
    <w:rsid w:val="00727B90"/>
    <w:rsid w:val="007C1862"/>
    <w:rsid w:val="00823C91"/>
    <w:rsid w:val="009D7B1E"/>
    <w:rsid w:val="00A24C96"/>
    <w:rsid w:val="00A25498"/>
    <w:rsid w:val="00A974FF"/>
    <w:rsid w:val="00AA2914"/>
    <w:rsid w:val="00B202E8"/>
    <w:rsid w:val="00C642B9"/>
    <w:rsid w:val="00D37422"/>
    <w:rsid w:val="00DB668C"/>
    <w:rsid w:val="00DF059E"/>
    <w:rsid w:val="00E165C3"/>
    <w:rsid w:val="00E60881"/>
    <w:rsid w:val="00E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DCEC"/>
  <w15:chartTrackingRefBased/>
  <w15:docId w15:val="{AA6983C5-F117-4C7B-BAA0-20EFD3CB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5A4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5A4"/>
    <w:rPr>
      <w:lang w:val="de-DE"/>
    </w:rPr>
  </w:style>
  <w:style w:type="table" w:customStyle="1" w:styleId="TableGrid2">
    <w:name w:val="Table Grid2"/>
    <w:basedOn w:val="TableNormal"/>
    <w:next w:val="TableGrid"/>
    <w:uiPriority w:val="39"/>
    <w:rsid w:val="00E715A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715A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E715A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E715A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E715A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E715A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90"/>
    <w:rPr>
      <w:rFonts w:ascii="Segoe UI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01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AC1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AC1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Priya Sagoo (HI)</cp:lastModifiedBy>
  <cp:revision>5</cp:revision>
  <dcterms:created xsi:type="dcterms:W3CDTF">2021-05-14T12:46:00Z</dcterms:created>
  <dcterms:modified xsi:type="dcterms:W3CDTF">2021-08-13T13:18:00Z</dcterms:modified>
</cp:coreProperties>
</file>