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58AD" w14:textId="77777777" w:rsidR="0056417E" w:rsidRPr="00032252" w:rsidRDefault="00CB02AE" w:rsidP="0056417E">
      <w:pPr>
        <w:spacing w:after="0" w:line="240" w:lineRule="auto"/>
        <w:rPr>
          <w:rFonts w:ascii="Times New Roman" w:hAnsi="Times New Roman"/>
          <w:b/>
          <w:sz w:val="24"/>
          <w:szCs w:val="24"/>
        </w:rPr>
      </w:pPr>
      <w:r w:rsidRPr="00032252">
        <w:rPr>
          <w:rFonts w:ascii="Times New Roman" w:hAnsi="Times New Roman"/>
          <w:b/>
          <w:sz w:val="24"/>
          <w:szCs w:val="24"/>
        </w:rPr>
        <w:t xml:space="preserve">S1 </w:t>
      </w:r>
      <w:r w:rsidR="0056417E" w:rsidRPr="00032252">
        <w:rPr>
          <w:rFonts w:ascii="Times New Roman" w:hAnsi="Times New Roman"/>
          <w:b/>
          <w:sz w:val="24"/>
          <w:szCs w:val="24"/>
        </w:rPr>
        <w:t>Appendix</w:t>
      </w:r>
    </w:p>
    <w:p w14:paraId="76B8B6F7" w14:textId="77777777" w:rsidR="0056417E" w:rsidRPr="009760DD" w:rsidRDefault="0056417E" w:rsidP="0056417E">
      <w:pPr>
        <w:spacing w:after="0" w:line="240" w:lineRule="auto"/>
        <w:rPr>
          <w:rFonts w:ascii="Times New Roman" w:hAnsi="Times New Roman"/>
          <w:b/>
        </w:rPr>
      </w:pPr>
    </w:p>
    <w:p w14:paraId="275024EF" w14:textId="77777777" w:rsidR="0056417E" w:rsidRPr="009760DD" w:rsidRDefault="002265C8" w:rsidP="0056417E">
      <w:pPr>
        <w:spacing w:after="120" w:line="240" w:lineRule="auto"/>
        <w:rPr>
          <w:rFonts w:ascii="Times New Roman" w:hAnsi="Times New Roman"/>
          <w:b/>
          <w:sz w:val="20"/>
          <w:szCs w:val="20"/>
        </w:rPr>
      </w:pPr>
      <w:r>
        <w:rPr>
          <w:rFonts w:ascii="Times New Roman" w:hAnsi="Times New Roman"/>
          <w:b/>
          <w:sz w:val="20"/>
          <w:szCs w:val="20"/>
        </w:rPr>
        <w:t>S1</w:t>
      </w:r>
      <w:r w:rsidRPr="009760DD">
        <w:rPr>
          <w:rFonts w:ascii="Times New Roman" w:hAnsi="Times New Roman"/>
          <w:b/>
          <w:sz w:val="20"/>
          <w:szCs w:val="20"/>
        </w:rPr>
        <w:t xml:space="preserve"> </w:t>
      </w:r>
      <w:r w:rsidR="0056417E" w:rsidRPr="009760DD">
        <w:rPr>
          <w:rFonts w:ascii="Times New Roman" w:hAnsi="Times New Roman"/>
          <w:b/>
          <w:sz w:val="20"/>
          <w:szCs w:val="20"/>
        </w:rPr>
        <w:t>Table</w:t>
      </w:r>
      <w:r>
        <w:rPr>
          <w:rFonts w:ascii="Times New Roman" w:hAnsi="Times New Roman"/>
          <w:b/>
          <w:sz w:val="20"/>
          <w:szCs w:val="20"/>
        </w:rPr>
        <w:t>.</w:t>
      </w:r>
      <w:r w:rsidR="0056417E" w:rsidRPr="009760DD">
        <w:rPr>
          <w:rFonts w:ascii="Times New Roman" w:hAnsi="Times New Roman"/>
          <w:b/>
          <w:sz w:val="20"/>
          <w:szCs w:val="20"/>
        </w:rPr>
        <w:t xml:space="preserve"> Dependent and explanatory variables</w:t>
      </w:r>
    </w:p>
    <w:tbl>
      <w:tblPr>
        <w:tblW w:w="11183" w:type="dxa"/>
        <w:tblInd w:w="-900" w:type="dxa"/>
        <w:tblLook w:val="04A0" w:firstRow="1" w:lastRow="0" w:firstColumn="1" w:lastColumn="0" w:noHBand="0" w:noVBand="1"/>
      </w:tblPr>
      <w:tblGrid>
        <w:gridCol w:w="3080"/>
        <w:gridCol w:w="4300"/>
        <w:gridCol w:w="3803"/>
      </w:tblGrid>
      <w:tr w:rsidR="0056417E" w:rsidRPr="009760DD" w14:paraId="203522C9" w14:textId="77777777" w:rsidTr="0056417E">
        <w:tc>
          <w:tcPr>
            <w:tcW w:w="3080" w:type="dxa"/>
            <w:tcBorders>
              <w:top w:val="single" w:sz="4" w:space="0" w:color="auto"/>
              <w:bottom w:val="single" w:sz="4" w:space="0" w:color="auto"/>
            </w:tcBorders>
            <w:vAlign w:val="center"/>
          </w:tcPr>
          <w:p w14:paraId="48A59A66"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b/>
                <w:bCs/>
                <w:sz w:val="20"/>
                <w:szCs w:val="20"/>
              </w:rPr>
              <w:t>Variable</w:t>
            </w:r>
          </w:p>
        </w:tc>
        <w:tc>
          <w:tcPr>
            <w:tcW w:w="4300" w:type="dxa"/>
            <w:tcBorders>
              <w:top w:val="single" w:sz="4" w:space="0" w:color="auto"/>
              <w:bottom w:val="single" w:sz="4" w:space="0" w:color="auto"/>
            </w:tcBorders>
            <w:vAlign w:val="center"/>
          </w:tcPr>
          <w:p w14:paraId="14211007" w14:textId="77777777" w:rsidR="0056417E" w:rsidRPr="009760DD" w:rsidRDefault="0056417E" w:rsidP="007F6FFB">
            <w:pPr>
              <w:spacing w:after="0" w:line="240" w:lineRule="auto"/>
              <w:jc w:val="center"/>
              <w:rPr>
                <w:rFonts w:ascii="Times New Roman" w:hAnsi="Times New Roman"/>
                <w:b/>
                <w:i/>
                <w:sz w:val="20"/>
                <w:szCs w:val="20"/>
                <w:u w:val="single"/>
              </w:rPr>
            </w:pPr>
            <w:r w:rsidRPr="009760DD">
              <w:rPr>
                <w:rFonts w:ascii="Times New Roman" w:eastAsia="Times New Roman" w:hAnsi="Times New Roman"/>
                <w:b/>
                <w:bCs/>
                <w:sz w:val="20"/>
                <w:szCs w:val="20"/>
              </w:rPr>
              <w:t>Explanation</w:t>
            </w:r>
          </w:p>
        </w:tc>
        <w:tc>
          <w:tcPr>
            <w:tcW w:w="3803" w:type="dxa"/>
            <w:tcBorders>
              <w:top w:val="single" w:sz="4" w:space="0" w:color="auto"/>
              <w:bottom w:val="single" w:sz="4" w:space="0" w:color="auto"/>
            </w:tcBorders>
            <w:vAlign w:val="center"/>
          </w:tcPr>
          <w:p w14:paraId="53708F45" w14:textId="77777777" w:rsidR="0056417E" w:rsidRPr="009760DD" w:rsidRDefault="0056417E" w:rsidP="007F6FFB">
            <w:pPr>
              <w:spacing w:after="0" w:line="240" w:lineRule="auto"/>
              <w:jc w:val="center"/>
              <w:rPr>
                <w:rFonts w:ascii="Times New Roman" w:hAnsi="Times New Roman"/>
                <w:b/>
                <w:i/>
                <w:sz w:val="20"/>
                <w:szCs w:val="20"/>
                <w:u w:val="single"/>
              </w:rPr>
            </w:pPr>
            <w:r w:rsidRPr="009760DD">
              <w:rPr>
                <w:rFonts w:ascii="Times New Roman" w:eastAsia="Times New Roman" w:hAnsi="Times New Roman"/>
                <w:b/>
                <w:bCs/>
                <w:sz w:val="20"/>
                <w:szCs w:val="20"/>
              </w:rPr>
              <w:t>Data Source</w:t>
            </w:r>
          </w:p>
        </w:tc>
      </w:tr>
      <w:tr w:rsidR="0056417E" w:rsidRPr="009760DD" w14:paraId="1ABC5892" w14:textId="77777777" w:rsidTr="0056417E">
        <w:tc>
          <w:tcPr>
            <w:tcW w:w="3080" w:type="dxa"/>
            <w:tcBorders>
              <w:top w:val="single" w:sz="4" w:space="0" w:color="auto"/>
              <w:bottom w:val="single" w:sz="4" w:space="0" w:color="auto"/>
            </w:tcBorders>
          </w:tcPr>
          <w:p w14:paraId="31842EE5" w14:textId="77777777" w:rsidR="0056417E" w:rsidRPr="009760DD" w:rsidRDefault="0056417E" w:rsidP="007F6FFB">
            <w:pPr>
              <w:spacing w:after="0" w:line="240" w:lineRule="auto"/>
              <w:rPr>
                <w:rFonts w:ascii="Times New Roman" w:hAnsi="Times New Roman"/>
                <w:b/>
                <w:sz w:val="20"/>
                <w:szCs w:val="20"/>
                <w:u w:val="single"/>
              </w:rPr>
            </w:pPr>
            <w:r w:rsidRPr="009760DD">
              <w:rPr>
                <w:rFonts w:ascii="Times New Roman" w:eastAsia="Times New Roman" w:hAnsi="Times New Roman"/>
                <w:b/>
                <w:bCs/>
                <w:sz w:val="20"/>
                <w:szCs w:val="20"/>
              </w:rPr>
              <w:t>Dependent Variables</w:t>
            </w:r>
          </w:p>
        </w:tc>
        <w:tc>
          <w:tcPr>
            <w:tcW w:w="4300" w:type="dxa"/>
            <w:tcBorders>
              <w:top w:val="single" w:sz="4" w:space="0" w:color="auto"/>
              <w:bottom w:val="single" w:sz="4" w:space="0" w:color="auto"/>
            </w:tcBorders>
          </w:tcPr>
          <w:p w14:paraId="3707D1AC" w14:textId="77777777" w:rsidR="0056417E" w:rsidRPr="009760DD" w:rsidRDefault="0056417E" w:rsidP="007F6FFB">
            <w:pPr>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vAlign w:val="center"/>
          </w:tcPr>
          <w:p w14:paraId="42037C17"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2BF8A25D" w14:textId="77777777" w:rsidTr="0056417E">
        <w:tc>
          <w:tcPr>
            <w:tcW w:w="3080" w:type="dxa"/>
            <w:tcBorders>
              <w:top w:val="single" w:sz="4" w:space="0" w:color="auto"/>
              <w:bottom w:val="single" w:sz="4" w:space="0" w:color="auto"/>
            </w:tcBorders>
          </w:tcPr>
          <w:p w14:paraId="469EA730" w14:textId="77777777" w:rsidR="0056417E" w:rsidRPr="009760DD" w:rsidRDefault="0056417E" w:rsidP="007F6FFB">
            <w:pPr>
              <w:spacing w:after="0" w:line="240" w:lineRule="auto"/>
              <w:rPr>
                <w:rFonts w:ascii="Times New Roman" w:eastAsia="Times New Roman" w:hAnsi="Times New Roman"/>
                <w:b/>
                <w:bCs/>
                <w:sz w:val="20"/>
                <w:szCs w:val="20"/>
              </w:rPr>
            </w:pPr>
            <w:r w:rsidRPr="009760DD">
              <w:rPr>
                <w:rFonts w:ascii="Times New Roman" w:hAnsi="Times New Roman"/>
                <w:b/>
                <w:bCs/>
                <w:i/>
                <w:iCs/>
                <w:sz w:val="20"/>
                <w:szCs w:val="20"/>
              </w:rPr>
              <w:t>Capital ratios</w:t>
            </w:r>
          </w:p>
        </w:tc>
        <w:tc>
          <w:tcPr>
            <w:tcW w:w="4300" w:type="dxa"/>
            <w:tcBorders>
              <w:top w:val="single" w:sz="4" w:space="0" w:color="auto"/>
              <w:bottom w:val="single" w:sz="4" w:space="0" w:color="auto"/>
            </w:tcBorders>
          </w:tcPr>
          <w:p w14:paraId="4F80C796" w14:textId="77777777" w:rsidR="0056417E" w:rsidRPr="009760DD" w:rsidRDefault="0056417E" w:rsidP="007F6FFB">
            <w:pPr>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vAlign w:val="center"/>
          </w:tcPr>
          <w:p w14:paraId="1A759598"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5A20A899" w14:textId="77777777" w:rsidTr="0056417E">
        <w:tc>
          <w:tcPr>
            <w:tcW w:w="3080" w:type="dxa"/>
            <w:tcBorders>
              <w:top w:val="single" w:sz="4" w:space="0" w:color="auto"/>
              <w:bottom w:val="single" w:sz="4" w:space="0" w:color="auto"/>
            </w:tcBorders>
          </w:tcPr>
          <w:p w14:paraId="7C79A1D3" w14:textId="77777777" w:rsidR="0056417E" w:rsidRPr="009760DD" w:rsidRDefault="0056417E" w:rsidP="007F6FFB">
            <w:pPr>
              <w:spacing w:after="0" w:line="240" w:lineRule="auto"/>
              <w:rPr>
                <w:rFonts w:ascii="Times New Roman" w:eastAsia="Times New Roman" w:hAnsi="Times New Roman"/>
                <w:sz w:val="20"/>
                <w:szCs w:val="20"/>
                <w:highlight w:val="yellow"/>
              </w:rPr>
            </w:pPr>
            <w:r w:rsidRPr="009760DD">
              <w:rPr>
                <w:rFonts w:ascii="Times New Roman" w:hAnsi="Times New Roman"/>
                <w:iCs/>
                <w:sz w:val="20"/>
                <w:szCs w:val="20"/>
              </w:rPr>
              <w:t>Eligible Capital/Total Assets (EC/TA)</w:t>
            </w:r>
          </w:p>
        </w:tc>
        <w:tc>
          <w:tcPr>
            <w:tcW w:w="4300" w:type="dxa"/>
            <w:tcBorders>
              <w:top w:val="single" w:sz="4" w:space="0" w:color="auto"/>
              <w:bottom w:val="single" w:sz="4" w:space="0" w:color="auto"/>
            </w:tcBorders>
          </w:tcPr>
          <w:p w14:paraId="614205E6" w14:textId="77777777" w:rsidR="0056417E" w:rsidRPr="009760DD" w:rsidRDefault="0056417E" w:rsidP="007F6FFB">
            <w:pPr>
              <w:spacing w:after="0" w:line="240" w:lineRule="auto"/>
              <w:jc w:val="both"/>
              <w:rPr>
                <w:rFonts w:ascii="Times New Roman" w:eastAsia="Times New Roman" w:hAnsi="Times New Roman"/>
                <w:sz w:val="20"/>
                <w:szCs w:val="20"/>
                <w:highlight w:val="yellow"/>
              </w:rPr>
            </w:pPr>
            <w:r w:rsidRPr="009760DD">
              <w:rPr>
                <w:rFonts w:ascii="Times New Roman" w:hAnsi="Times New Roman"/>
                <w:iCs/>
                <w:sz w:val="20"/>
                <w:szCs w:val="20"/>
              </w:rPr>
              <w:t>Ratio of total eligible capital to total assets</w:t>
            </w:r>
          </w:p>
        </w:tc>
        <w:tc>
          <w:tcPr>
            <w:tcW w:w="3803" w:type="dxa"/>
            <w:tcBorders>
              <w:top w:val="single" w:sz="4" w:space="0" w:color="auto"/>
              <w:bottom w:val="single" w:sz="4" w:space="0" w:color="auto"/>
            </w:tcBorders>
          </w:tcPr>
          <w:p w14:paraId="3CE93846" w14:textId="77777777" w:rsidR="0056417E" w:rsidRPr="009760DD" w:rsidRDefault="008D6978" w:rsidP="008D6978">
            <w:pPr>
              <w:spacing w:after="0" w:line="240" w:lineRule="auto"/>
              <w:rPr>
                <w:rFonts w:ascii="Times New Roman" w:eastAsia="Times New Roman" w:hAnsi="Times New Roman"/>
                <w:sz w:val="20"/>
                <w:szCs w:val="20"/>
                <w:highlight w:val="yellow"/>
              </w:rPr>
            </w:pPr>
            <w:r w:rsidRPr="009760DD">
              <w:rPr>
                <w:rFonts w:ascii="Times New Roman" w:eastAsia="Times New Roman" w:hAnsi="Times New Roman"/>
                <w:sz w:val="20"/>
                <w:szCs w:val="20"/>
              </w:rPr>
              <w:t>Authors’ calculations based on Orbis Bank Focus</w:t>
            </w:r>
          </w:p>
        </w:tc>
      </w:tr>
      <w:tr w:rsidR="0056417E" w:rsidRPr="009760DD" w14:paraId="48ADB837" w14:textId="77777777" w:rsidTr="0056417E">
        <w:tc>
          <w:tcPr>
            <w:tcW w:w="3080" w:type="dxa"/>
            <w:tcBorders>
              <w:top w:val="single" w:sz="4" w:space="0" w:color="auto"/>
              <w:bottom w:val="single" w:sz="4" w:space="0" w:color="auto"/>
            </w:tcBorders>
          </w:tcPr>
          <w:p w14:paraId="31F0E740" w14:textId="77777777" w:rsidR="0056417E" w:rsidRPr="009760DD" w:rsidRDefault="0056417E" w:rsidP="007F6FFB">
            <w:pPr>
              <w:spacing w:after="0" w:line="240" w:lineRule="auto"/>
              <w:rPr>
                <w:rFonts w:ascii="Times New Roman" w:hAnsi="Times New Roman"/>
                <w:iCs/>
                <w:sz w:val="20"/>
                <w:szCs w:val="20"/>
              </w:rPr>
            </w:pPr>
            <w:r w:rsidRPr="009760DD">
              <w:rPr>
                <w:rFonts w:ascii="Times New Roman" w:hAnsi="Times New Roman"/>
                <w:iCs/>
                <w:sz w:val="20"/>
                <w:szCs w:val="20"/>
              </w:rPr>
              <w:t xml:space="preserve">Total Equity/Total Assets </w:t>
            </w:r>
          </w:p>
          <w:p w14:paraId="01E44AC9" w14:textId="77777777" w:rsidR="0056417E" w:rsidRPr="009760DD" w:rsidRDefault="0056417E" w:rsidP="007F6FFB">
            <w:pPr>
              <w:spacing w:after="0" w:line="240" w:lineRule="auto"/>
              <w:rPr>
                <w:rFonts w:ascii="Times New Roman" w:hAnsi="Times New Roman"/>
                <w:iCs/>
                <w:sz w:val="20"/>
                <w:szCs w:val="20"/>
              </w:rPr>
            </w:pPr>
            <w:r w:rsidRPr="009760DD">
              <w:rPr>
                <w:rFonts w:ascii="Times New Roman" w:hAnsi="Times New Roman"/>
                <w:iCs/>
                <w:sz w:val="20"/>
                <w:szCs w:val="20"/>
              </w:rPr>
              <w:t>(TE/TA)</w:t>
            </w:r>
          </w:p>
        </w:tc>
        <w:tc>
          <w:tcPr>
            <w:tcW w:w="4300" w:type="dxa"/>
            <w:tcBorders>
              <w:top w:val="single" w:sz="4" w:space="0" w:color="auto"/>
              <w:bottom w:val="single" w:sz="4" w:space="0" w:color="auto"/>
            </w:tcBorders>
          </w:tcPr>
          <w:p w14:paraId="2E15ADE7" w14:textId="77777777" w:rsidR="0056417E" w:rsidRPr="009760DD" w:rsidRDefault="0056417E" w:rsidP="007F6FFB">
            <w:pPr>
              <w:spacing w:after="0" w:line="240" w:lineRule="auto"/>
              <w:jc w:val="both"/>
              <w:rPr>
                <w:rFonts w:ascii="Times New Roman" w:hAnsi="Times New Roman"/>
                <w:sz w:val="20"/>
                <w:szCs w:val="20"/>
                <w:highlight w:val="yellow"/>
              </w:rPr>
            </w:pPr>
            <w:r w:rsidRPr="009760DD">
              <w:rPr>
                <w:rFonts w:ascii="Times New Roman" w:hAnsi="Times New Roman"/>
                <w:iCs/>
                <w:sz w:val="20"/>
                <w:szCs w:val="20"/>
              </w:rPr>
              <w:t>Ratio of total equity to total assets</w:t>
            </w:r>
          </w:p>
        </w:tc>
        <w:tc>
          <w:tcPr>
            <w:tcW w:w="3803" w:type="dxa"/>
            <w:tcBorders>
              <w:top w:val="single" w:sz="4" w:space="0" w:color="auto"/>
              <w:bottom w:val="single" w:sz="4" w:space="0" w:color="auto"/>
            </w:tcBorders>
          </w:tcPr>
          <w:p w14:paraId="10BD4932" w14:textId="77777777" w:rsidR="0056417E" w:rsidRPr="009760DD" w:rsidRDefault="008D6978" w:rsidP="007F6FFB">
            <w:pPr>
              <w:spacing w:after="0" w:line="240" w:lineRule="auto"/>
              <w:rPr>
                <w:rFonts w:ascii="Times New Roman" w:eastAsia="Times New Roman" w:hAnsi="Times New Roman"/>
                <w:sz w:val="20"/>
                <w:szCs w:val="20"/>
                <w:highlight w:val="yellow"/>
              </w:rPr>
            </w:pPr>
            <w:r w:rsidRPr="009760DD">
              <w:rPr>
                <w:rFonts w:ascii="Times New Roman" w:eastAsia="Times New Roman" w:hAnsi="Times New Roman"/>
                <w:sz w:val="20"/>
                <w:szCs w:val="20"/>
              </w:rPr>
              <w:t>Authors’ calculations based on Orbis Bank Focus</w:t>
            </w:r>
          </w:p>
        </w:tc>
      </w:tr>
      <w:tr w:rsidR="0056417E" w:rsidRPr="009760DD" w14:paraId="6C541156" w14:textId="77777777" w:rsidTr="0056417E">
        <w:tc>
          <w:tcPr>
            <w:tcW w:w="3080" w:type="dxa"/>
            <w:tcBorders>
              <w:top w:val="single" w:sz="4" w:space="0" w:color="auto"/>
              <w:bottom w:val="single" w:sz="4" w:space="0" w:color="auto"/>
            </w:tcBorders>
          </w:tcPr>
          <w:p w14:paraId="4B80E089" w14:textId="77777777" w:rsidR="0056417E" w:rsidRPr="009760DD" w:rsidRDefault="0056417E" w:rsidP="007F6FFB">
            <w:pPr>
              <w:spacing w:after="0" w:line="240" w:lineRule="auto"/>
              <w:rPr>
                <w:rFonts w:ascii="Times New Roman" w:eastAsia="Times New Roman" w:hAnsi="Times New Roman"/>
                <w:b/>
                <w:i/>
                <w:sz w:val="20"/>
                <w:szCs w:val="20"/>
              </w:rPr>
            </w:pPr>
            <w:r w:rsidRPr="009760DD">
              <w:rPr>
                <w:rFonts w:ascii="Times New Roman" w:eastAsia="Times New Roman" w:hAnsi="Times New Roman"/>
                <w:b/>
                <w:bCs/>
                <w:sz w:val="20"/>
                <w:szCs w:val="20"/>
              </w:rPr>
              <w:t>Independent Variables</w:t>
            </w:r>
          </w:p>
        </w:tc>
        <w:tc>
          <w:tcPr>
            <w:tcW w:w="4300" w:type="dxa"/>
            <w:tcBorders>
              <w:top w:val="single" w:sz="4" w:space="0" w:color="auto"/>
              <w:bottom w:val="single" w:sz="4" w:space="0" w:color="auto"/>
            </w:tcBorders>
          </w:tcPr>
          <w:p w14:paraId="2A32B758"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vAlign w:val="center"/>
          </w:tcPr>
          <w:p w14:paraId="76B0810F"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7E512514" w14:textId="77777777" w:rsidTr="0056417E">
        <w:tc>
          <w:tcPr>
            <w:tcW w:w="3080" w:type="dxa"/>
            <w:tcBorders>
              <w:top w:val="single" w:sz="4" w:space="0" w:color="auto"/>
              <w:bottom w:val="single" w:sz="4" w:space="0" w:color="auto"/>
            </w:tcBorders>
          </w:tcPr>
          <w:p w14:paraId="7029F7DE" w14:textId="77777777" w:rsidR="0056417E" w:rsidRPr="009760DD" w:rsidRDefault="0056417E" w:rsidP="007F6FFB">
            <w:pPr>
              <w:spacing w:after="0" w:line="240" w:lineRule="auto"/>
              <w:rPr>
                <w:rFonts w:ascii="Times New Roman" w:eastAsia="Times New Roman" w:hAnsi="Times New Roman"/>
                <w:b/>
                <w:bCs/>
                <w:i/>
                <w:sz w:val="20"/>
                <w:szCs w:val="20"/>
              </w:rPr>
            </w:pPr>
            <w:r w:rsidRPr="009760DD">
              <w:rPr>
                <w:rFonts w:ascii="Times New Roman" w:eastAsia="Times New Roman" w:hAnsi="Times New Roman"/>
                <w:b/>
                <w:bCs/>
                <w:i/>
                <w:sz w:val="20"/>
                <w:szCs w:val="20"/>
              </w:rPr>
              <w:t>Credit risk measures</w:t>
            </w:r>
          </w:p>
        </w:tc>
        <w:tc>
          <w:tcPr>
            <w:tcW w:w="4300" w:type="dxa"/>
            <w:tcBorders>
              <w:top w:val="single" w:sz="4" w:space="0" w:color="auto"/>
              <w:bottom w:val="single" w:sz="4" w:space="0" w:color="auto"/>
            </w:tcBorders>
          </w:tcPr>
          <w:p w14:paraId="1516E195"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vAlign w:val="center"/>
          </w:tcPr>
          <w:p w14:paraId="29D8D431"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092292EF" w14:textId="77777777" w:rsidTr="0056417E">
        <w:tc>
          <w:tcPr>
            <w:tcW w:w="3080" w:type="dxa"/>
            <w:tcBorders>
              <w:top w:val="single" w:sz="4" w:space="0" w:color="auto"/>
              <w:bottom w:val="single" w:sz="4" w:space="0" w:color="auto"/>
            </w:tcBorders>
          </w:tcPr>
          <w:p w14:paraId="0A0862D6" w14:textId="77777777" w:rsidR="0056417E" w:rsidRPr="009760DD" w:rsidRDefault="0056417E" w:rsidP="007F6FFB">
            <w:pPr>
              <w:spacing w:after="0" w:line="240" w:lineRule="auto"/>
              <w:rPr>
                <w:rFonts w:ascii="Times New Roman" w:hAnsi="Times New Roman"/>
                <w:bCs/>
                <w:iCs/>
                <w:sz w:val="20"/>
                <w:szCs w:val="20"/>
              </w:rPr>
            </w:pPr>
            <w:r w:rsidRPr="009760DD">
              <w:rPr>
                <w:rFonts w:ascii="Times New Roman" w:hAnsi="Times New Roman"/>
                <w:iCs/>
                <w:sz w:val="20"/>
                <w:szCs w:val="20"/>
              </w:rPr>
              <w:t>Loan loss reserves/ Gross loans  (LLR/GL)</w:t>
            </w:r>
          </w:p>
        </w:tc>
        <w:tc>
          <w:tcPr>
            <w:tcW w:w="4300" w:type="dxa"/>
            <w:tcBorders>
              <w:top w:val="single" w:sz="4" w:space="0" w:color="auto"/>
              <w:bottom w:val="single" w:sz="4" w:space="0" w:color="auto"/>
            </w:tcBorders>
          </w:tcPr>
          <w:p w14:paraId="7EC454E0"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Bank reserves for loan loss divided by gross loans times 100</w:t>
            </w:r>
          </w:p>
        </w:tc>
        <w:tc>
          <w:tcPr>
            <w:tcW w:w="3803" w:type="dxa"/>
            <w:tcBorders>
              <w:top w:val="single" w:sz="4" w:space="0" w:color="auto"/>
              <w:bottom w:val="single" w:sz="4" w:space="0" w:color="auto"/>
            </w:tcBorders>
          </w:tcPr>
          <w:p w14:paraId="4CF90ADD"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Authors’ calculations based on Orbis Bank Focus</w:t>
            </w:r>
          </w:p>
        </w:tc>
      </w:tr>
      <w:tr w:rsidR="0056417E" w:rsidRPr="009760DD" w14:paraId="59463F66" w14:textId="77777777" w:rsidTr="0056417E">
        <w:tc>
          <w:tcPr>
            <w:tcW w:w="3080" w:type="dxa"/>
            <w:tcBorders>
              <w:top w:val="single" w:sz="4" w:space="0" w:color="auto"/>
              <w:bottom w:val="single" w:sz="4" w:space="0" w:color="auto"/>
            </w:tcBorders>
          </w:tcPr>
          <w:p w14:paraId="0E6B9BB7" w14:textId="77777777" w:rsidR="0056417E" w:rsidRPr="009760DD" w:rsidRDefault="0056417E" w:rsidP="007F6FFB">
            <w:pPr>
              <w:spacing w:after="0" w:line="240" w:lineRule="auto"/>
              <w:rPr>
                <w:rFonts w:ascii="Times New Roman" w:hAnsi="Times New Roman"/>
                <w:b/>
                <w:bCs/>
                <w:iCs/>
                <w:sz w:val="20"/>
                <w:szCs w:val="20"/>
              </w:rPr>
            </w:pPr>
            <w:r w:rsidRPr="009760DD">
              <w:rPr>
                <w:rFonts w:ascii="Times New Roman" w:hAnsi="Times New Roman"/>
                <w:iCs/>
                <w:sz w:val="20"/>
                <w:szCs w:val="20"/>
              </w:rPr>
              <w:t>Non-performing loans/ Gross loans  (NPL/GL)</w:t>
            </w:r>
          </w:p>
        </w:tc>
        <w:tc>
          <w:tcPr>
            <w:tcW w:w="4300" w:type="dxa"/>
            <w:tcBorders>
              <w:top w:val="single" w:sz="4" w:space="0" w:color="auto"/>
              <w:bottom w:val="single" w:sz="4" w:space="0" w:color="auto"/>
            </w:tcBorders>
          </w:tcPr>
          <w:p w14:paraId="51417A7F"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Bank non-performing loans divided by gross loans times 100</w:t>
            </w:r>
          </w:p>
        </w:tc>
        <w:tc>
          <w:tcPr>
            <w:tcW w:w="3803" w:type="dxa"/>
            <w:tcBorders>
              <w:top w:val="single" w:sz="4" w:space="0" w:color="auto"/>
              <w:bottom w:val="single" w:sz="4" w:space="0" w:color="auto"/>
            </w:tcBorders>
          </w:tcPr>
          <w:p w14:paraId="58052AC2"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Authors’ calculations based on Orbis Bank Focus</w:t>
            </w:r>
          </w:p>
        </w:tc>
      </w:tr>
      <w:tr w:rsidR="0056417E" w:rsidRPr="009760DD" w14:paraId="312565D4" w14:textId="77777777" w:rsidTr="0056417E">
        <w:tc>
          <w:tcPr>
            <w:tcW w:w="3080" w:type="dxa"/>
            <w:tcBorders>
              <w:top w:val="single" w:sz="4" w:space="0" w:color="auto"/>
              <w:bottom w:val="single" w:sz="4" w:space="0" w:color="auto"/>
            </w:tcBorders>
          </w:tcPr>
          <w:p w14:paraId="76FB0D9C" w14:textId="77777777" w:rsidR="0056417E" w:rsidRPr="009760DD" w:rsidRDefault="0056417E" w:rsidP="007F6FFB">
            <w:pPr>
              <w:spacing w:after="0" w:line="240" w:lineRule="auto"/>
              <w:rPr>
                <w:rFonts w:ascii="Times New Roman" w:hAnsi="Times New Roman"/>
                <w:b/>
                <w:bCs/>
                <w:i/>
                <w:iCs/>
                <w:sz w:val="20"/>
                <w:szCs w:val="20"/>
              </w:rPr>
            </w:pPr>
            <w:r w:rsidRPr="009760DD">
              <w:rPr>
                <w:rFonts w:ascii="Times New Roman" w:hAnsi="Times New Roman"/>
                <w:b/>
                <w:bCs/>
                <w:i/>
                <w:iCs/>
                <w:sz w:val="20"/>
                <w:szCs w:val="20"/>
              </w:rPr>
              <w:t>Market Competitiveness</w:t>
            </w:r>
          </w:p>
        </w:tc>
        <w:tc>
          <w:tcPr>
            <w:tcW w:w="4300" w:type="dxa"/>
            <w:tcBorders>
              <w:top w:val="single" w:sz="4" w:space="0" w:color="auto"/>
              <w:bottom w:val="single" w:sz="4" w:space="0" w:color="auto"/>
            </w:tcBorders>
          </w:tcPr>
          <w:p w14:paraId="1846068C"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vAlign w:val="center"/>
          </w:tcPr>
          <w:p w14:paraId="5175D97D"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2E8E412E" w14:textId="77777777" w:rsidTr="0056417E">
        <w:tc>
          <w:tcPr>
            <w:tcW w:w="3080" w:type="dxa"/>
            <w:tcBorders>
              <w:top w:val="single" w:sz="4" w:space="0" w:color="auto"/>
            </w:tcBorders>
          </w:tcPr>
          <w:p w14:paraId="02C0528E" w14:textId="77777777" w:rsidR="0056417E" w:rsidRPr="009760DD" w:rsidRDefault="0056417E" w:rsidP="007F6FFB">
            <w:pPr>
              <w:spacing w:after="0" w:line="240" w:lineRule="auto"/>
              <w:rPr>
                <w:rFonts w:ascii="Times New Roman" w:hAnsi="Times New Roman"/>
                <w:sz w:val="20"/>
                <w:szCs w:val="20"/>
                <w:highlight w:val="yellow"/>
              </w:rPr>
            </w:pPr>
            <w:r w:rsidRPr="009760DD">
              <w:rPr>
                <w:rFonts w:ascii="Times New Roman" w:hAnsi="Times New Roman"/>
                <w:sz w:val="20"/>
                <w:szCs w:val="20"/>
              </w:rPr>
              <w:t>HH-Index</w:t>
            </w:r>
          </w:p>
        </w:tc>
        <w:tc>
          <w:tcPr>
            <w:tcW w:w="4300" w:type="dxa"/>
            <w:tcBorders>
              <w:top w:val="single" w:sz="4" w:space="0" w:color="auto"/>
            </w:tcBorders>
          </w:tcPr>
          <w:p w14:paraId="272BD194" w14:textId="77777777" w:rsidR="0056417E" w:rsidRPr="009760DD" w:rsidRDefault="0056417E" w:rsidP="007F6FFB">
            <w:pPr>
              <w:spacing w:after="0" w:line="240" w:lineRule="auto"/>
              <w:rPr>
                <w:rFonts w:ascii="Times New Roman" w:hAnsi="Times New Roman"/>
                <w:sz w:val="20"/>
                <w:szCs w:val="20"/>
              </w:rPr>
            </w:pPr>
            <w:r w:rsidRPr="009760DD">
              <w:rPr>
                <w:rFonts w:ascii="Times New Roman" w:hAnsi="Times New Roman"/>
                <w:sz w:val="20"/>
                <w:szCs w:val="20"/>
              </w:rPr>
              <w:t>Herfindahl-Hirschman index (HHI) is a measure of market concentration calculated as the sum of squared banks’ market shares.</w:t>
            </w:r>
          </w:p>
        </w:tc>
        <w:tc>
          <w:tcPr>
            <w:tcW w:w="3803" w:type="dxa"/>
            <w:tcBorders>
              <w:top w:val="single" w:sz="4" w:space="0" w:color="auto"/>
            </w:tcBorders>
          </w:tcPr>
          <w:p w14:paraId="5713D2E3"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Authors’ calculations based on Orbis Bank Focus</w:t>
            </w:r>
          </w:p>
        </w:tc>
      </w:tr>
      <w:tr w:rsidR="0056417E" w:rsidRPr="009760DD" w14:paraId="6DF1E6E2" w14:textId="77777777" w:rsidTr="0056417E">
        <w:tc>
          <w:tcPr>
            <w:tcW w:w="3080" w:type="dxa"/>
          </w:tcPr>
          <w:p w14:paraId="22675F13" w14:textId="77777777" w:rsidR="0056417E" w:rsidRPr="009760DD" w:rsidRDefault="0056417E" w:rsidP="007F6FFB">
            <w:pPr>
              <w:spacing w:after="0" w:line="240" w:lineRule="auto"/>
              <w:rPr>
                <w:rFonts w:ascii="Times New Roman" w:hAnsi="Times New Roman"/>
                <w:sz w:val="20"/>
                <w:szCs w:val="20"/>
                <w:highlight w:val="yellow"/>
              </w:rPr>
            </w:pPr>
            <w:r w:rsidRPr="009760DD">
              <w:rPr>
                <w:rFonts w:ascii="Times New Roman" w:hAnsi="Times New Roman"/>
                <w:sz w:val="20"/>
                <w:szCs w:val="20"/>
              </w:rPr>
              <w:t>H-Statistic</w:t>
            </w:r>
          </w:p>
        </w:tc>
        <w:tc>
          <w:tcPr>
            <w:tcW w:w="4300" w:type="dxa"/>
          </w:tcPr>
          <w:p w14:paraId="72B71BD0" w14:textId="77777777" w:rsidR="0056417E" w:rsidRPr="009760DD" w:rsidRDefault="0056417E" w:rsidP="007F6FFB">
            <w:pPr>
              <w:spacing w:after="0" w:line="240" w:lineRule="auto"/>
              <w:rPr>
                <w:rFonts w:ascii="Times New Roman" w:hAnsi="Times New Roman"/>
                <w:sz w:val="20"/>
                <w:szCs w:val="20"/>
              </w:rPr>
            </w:pPr>
            <w:r w:rsidRPr="009760DD">
              <w:rPr>
                <w:rFonts w:ascii="Times New Roman" w:hAnsi="Times New Roman"/>
                <w:sz w:val="20"/>
                <w:szCs w:val="20"/>
              </w:rPr>
              <w:t>The H-Statistic is estimated using cross-sectional regressions with total revenue for each country during the period 2006-2018</w:t>
            </w:r>
          </w:p>
        </w:tc>
        <w:tc>
          <w:tcPr>
            <w:tcW w:w="3803" w:type="dxa"/>
          </w:tcPr>
          <w:p w14:paraId="75B2F870"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Authors’ calculations based on Orbis Bank Focus</w:t>
            </w:r>
          </w:p>
        </w:tc>
      </w:tr>
      <w:tr w:rsidR="0056417E" w:rsidRPr="009760DD" w14:paraId="26A18C66" w14:textId="77777777" w:rsidTr="0056417E">
        <w:tc>
          <w:tcPr>
            <w:tcW w:w="3080" w:type="dxa"/>
            <w:tcBorders>
              <w:bottom w:val="single" w:sz="4" w:space="0" w:color="auto"/>
            </w:tcBorders>
          </w:tcPr>
          <w:p w14:paraId="7433523A" w14:textId="77777777" w:rsidR="0056417E" w:rsidRPr="009760DD" w:rsidRDefault="0056417E" w:rsidP="007F6FFB">
            <w:pPr>
              <w:spacing w:after="0" w:line="240" w:lineRule="auto"/>
              <w:rPr>
                <w:rFonts w:ascii="Times New Roman" w:hAnsi="Times New Roman"/>
                <w:sz w:val="20"/>
                <w:szCs w:val="20"/>
              </w:rPr>
            </w:pPr>
            <w:r w:rsidRPr="009760DD">
              <w:rPr>
                <w:rFonts w:ascii="Times New Roman" w:hAnsi="Times New Roman"/>
                <w:sz w:val="20"/>
                <w:szCs w:val="20"/>
              </w:rPr>
              <w:t>Lerner index</w:t>
            </w:r>
          </w:p>
        </w:tc>
        <w:tc>
          <w:tcPr>
            <w:tcW w:w="4300" w:type="dxa"/>
            <w:tcBorders>
              <w:bottom w:val="single" w:sz="4" w:space="0" w:color="auto"/>
            </w:tcBorders>
          </w:tcPr>
          <w:p w14:paraId="6FE66B16"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hAnsi="Times New Roman"/>
                <w:sz w:val="20"/>
                <w:szCs w:val="20"/>
              </w:rPr>
              <w:t>The index is measured by the difference between the output price of a firm and the marginal cost divided by the output price. The value of the index varies between 0 and 1, such a higher Lerner value (i.e. close to 1) indicate monopoly situation.</w:t>
            </w:r>
          </w:p>
        </w:tc>
        <w:tc>
          <w:tcPr>
            <w:tcW w:w="3803" w:type="dxa"/>
            <w:tcBorders>
              <w:bottom w:val="single" w:sz="4" w:space="0" w:color="auto"/>
            </w:tcBorders>
          </w:tcPr>
          <w:p w14:paraId="75A71A1C"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Authors’ calculations based on Orbis Bank Focus</w:t>
            </w:r>
          </w:p>
        </w:tc>
      </w:tr>
      <w:tr w:rsidR="0056417E" w:rsidRPr="009760DD" w14:paraId="29AD3B33" w14:textId="77777777" w:rsidTr="0056417E">
        <w:tc>
          <w:tcPr>
            <w:tcW w:w="3080" w:type="dxa"/>
            <w:tcBorders>
              <w:top w:val="single" w:sz="4" w:space="0" w:color="auto"/>
              <w:bottom w:val="single" w:sz="4" w:space="0" w:color="auto"/>
            </w:tcBorders>
          </w:tcPr>
          <w:p w14:paraId="1E93F202"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b/>
                <w:i/>
                <w:sz w:val="20"/>
                <w:szCs w:val="20"/>
              </w:rPr>
              <w:t>Regulation and institutions</w:t>
            </w:r>
          </w:p>
        </w:tc>
        <w:tc>
          <w:tcPr>
            <w:tcW w:w="4300" w:type="dxa"/>
            <w:tcBorders>
              <w:top w:val="single" w:sz="4" w:space="0" w:color="auto"/>
              <w:bottom w:val="single" w:sz="4" w:space="0" w:color="auto"/>
            </w:tcBorders>
          </w:tcPr>
          <w:p w14:paraId="2CB7FF1C"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vAlign w:val="center"/>
          </w:tcPr>
          <w:p w14:paraId="29C29A7B"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38BA5229" w14:textId="77777777" w:rsidTr="0056417E">
        <w:tc>
          <w:tcPr>
            <w:tcW w:w="3080" w:type="dxa"/>
            <w:tcBorders>
              <w:top w:val="single" w:sz="4" w:space="0" w:color="auto"/>
            </w:tcBorders>
          </w:tcPr>
          <w:p w14:paraId="75C4D72F"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Activity Restrictions</w:t>
            </w:r>
          </w:p>
        </w:tc>
        <w:tc>
          <w:tcPr>
            <w:tcW w:w="4300" w:type="dxa"/>
            <w:tcBorders>
              <w:top w:val="single" w:sz="4" w:space="0" w:color="auto"/>
            </w:tcBorders>
          </w:tcPr>
          <w:p w14:paraId="1B80271A"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The indicator is constructed as an index and takes on values between (1) and (4), whereby the activities are classified as unrestricted (1), permitted (2), restricted (3), or prohibited (4), with possible index variation between four and sixteen. Higher values indicate greater restrictions on bank activities and non-financial ownership and control</w:t>
            </w:r>
          </w:p>
        </w:tc>
        <w:tc>
          <w:tcPr>
            <w:tcW w:w="3803" w:type="dxa"/>
            <w:tcBorders>
              <w:top w:val="single" w:sz="4" w:space="0" w:color="auto"/>
            </w:tcBorders>
          </w:tcPr>
          <w:p w14:paraId="1E68E232" w14:textId="77777777" w:rsidR="0056417E" w:rsidRPr="008D563C" w:rsidRDefault="008D563C" w:rsidP="007F6FFB">
            <w:pPr>
              <w:spacing w:after="0" w:line="240" w:lineRule="auto"/>
              <w:rPr>
                <w:rFonts w:ascii="Times New Roman" w:eastAsia="Times New Roman" w:hAnsi="Times New Roman"/>
                <w:color w:val="FF0000"/>
                <w:sz w:val="20"/>
                <w:szCs w:val="20"/>
              </w:rPr>
            </w:pPr>
            <w:r w:rsidRPr="008D563C">
              <w:rPr>
                <w:rFonts w:ascii="Times New Roman" w:eastAsia="Times New Roman" w:hAnsi="Times New Roman"/>
                <w:sz w:val="20"/>
                <w:szCs w:val="20"/>
              </w:rPr>
              <w:t xml:space="preserve">The </w:t>
            </w:r>
            <w:r w:rsidR="0056417E" w:rsidRPr="008D563C">
              <w:rPr>
                <w:rFonts w:ascii="Times New Roman" w:eastAsia="Times New Roman" w:hAnsi="Times New Roman"/>
                <w:sz w:val="20"/>
                <w:szCs w:val="20"/>
              </w:rPr>
              <w:t>World Bank's bank regulation survey (Survey IV, 2012)</w:t>
            </w:r>
          </w:p>
        </w:tc>
      </w:tr>
      <w:tr w:rsidR="0056417E" w:rsidRPr="009760DD" w14:paraId="599928B1" w14:textId="77777777" w:rsidTr="0056417E">
        <w:tc>
          <w:tcPr>
            <w:tcW w:w="3080" w:type="dxa"/>
            <w:tcBorders>
              <w:bottom w:val="single" w:sz="4" w:space="0" w:color="auto"/>
            </w:tcBorders>
          </w:tcPr>
          <w:p w14:paraId="5EEEB8FF"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sz w:val="20"/>
                <w:szCs w:val="20"/>
              </w:rPr>
              <w:t>Institution</w:t>
            </w:r>
          </w:p>
        </w:tc>
        <w:tc>
          <w:tcPr>
            <w:tcW w:w="4300" w:type="dxa"/>
            <w:tcBorders>
              <w:bottom w:val="single" w:sz="4" w:space="0" w:color="auto"/>
            </w:tcBorders>
          </w:tcPr>
          <w:p w14:paraId="073C0122"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The index of institution is the average of six indicators: 1) voice and accountability, (2) political stability and absence of violence, (3) government effectiveness, (4) regulatory quality, (5) rule of law, and (6) control of corruption.</w:t>
            </w:r>
          </w:p>
        </w:tc>
        <w:tc>
          <w:tcPr>
            <w:tcW w:w="3803" w:type="dxa"/>
            <w:tcBorders>
              <w:bottom w:val="single" w:sz="4" w:space="0" w:color="auto"/>
            </w:tcBorders>
          </w:tcPr>
          <w:p w14:paraId="24041772" w14:textId="7EF35360" w:rsidR="004F3B22" w:rsidRPr="008D6978" w:rsidRDefault="004F3B22" w:rsidP="004F3B22">
            <w:pPr>
              <w:spacing w:after="0" w:line="240" w:lineRule="auto"/>
              <w:rPr>
                <w:rFonts w:ascii="Times New Roman" w:eastAsia="Times New Roman" w:hAnsi="Times New Roman"/>
                <w:sz w:val="20"/>
                <w:szCs w:val="20"/>
              </w:rPr>
            </w:pPr>
            <w:r w:rsidRPr="008D6978">
              <w:rPr>
                <w:rFonts w:ascii="Times New Roman" w:eastAsia="Times New Roman" w:hAnsi="Times New Roman"/>
                <w:sz w:val="20"/>
                <w:szCs w:val="20"/>
              </w:rPr>
              <w:t>[</w:t>
            </w:r>
            <w:r w:rsidR="00F04C29">
              <w:rPr>
                <w:rFonts w:ascii="Times New Roman" w:eastAsia="Times New Roman" w:hAnsi="Times New Roman"/>
                <w:sz w:val="20"/>
                <w:szCs w:val="20"/>
              </w:rPr>
              <w:t>64</w:t>
            </w:r>
            <w:r w:rsidRPr="008D6978">
              <w:rPr>
                <w:rFonts w:ascii="Times New Roman" w:eastAsia="Times New Roman" w:hAnsi="Times New Roman"/>
                <w:sz w:val="20"/>
                <w:szCs w:val="20"/>
              </w:rPr>
              <w:t>]</w:t>
            </w:r>
            <w:r w:rsidR="008D6978" w:rsidRPr="008D6978">
              <w:rPr>
                <w:rFonts w:ascii="Times New Roman" w:eastAsia="Times New Roman" w:hAnsi="Times New Roman"/>
                <w:sz w:val="20"/>
                <w:szCs w:val="20"/>
              </w:rPr>
              <w:t xml:space="preserve"> T</w:t>
            </w:r>
            <w:r w:rsidR="0056417E" w:rsidRPr="008D6978">
              <w:rPr>
                <w:rFonts w:ascii="Times New Roman" w:eastAsia="Times New Roman" w:hAnsi="Times New Roman"/>
                <w:sz w:val="20"/>
                <w:szCs w:val="20"/>
              </w:rPr>
              <w:t xml:space="preserve">he World Bank, WGI 2004-2018; </w:t>
            </w:r>
          </w:p>
          <w:p w14:paraId="4C043CB1" w14:textId="770C95D4" w:rsidR="0056417E" w:rsidRPr="008D563C" w:rsidRDefault="004F3B22" w:rsidP="004F3B22">
            <w:pPr>
              <w:spacing w:after="0" w:line="240" w:lineRule="auto"/>
              <w:rPr>
                <w:rFonts w:ascii="Times New Roman" w:hAnsi="Times New Roman"/>
                <w:b/>
                <w:i/>
                <w:color w:val="FF0000"/>
                <w:sz w:val="20"/>
                <w:szCs w:val="20"/>
                <w:u w:val="single"/>
              </w:rPr>
            </w:pPr>
            <w:r w:rsidRPr="008D6978">
              <w:rPr>
                <w:rFonts w:ascii="Times New Roman" w:eastAsia="Times New Roman" w:hAnsi="Times New Roman"/>
                <w:sz w:val="20"/>
                <w:szCs w:val="20"/>
              </w:rPr>
              <w:t>[</w:t>
            </w:r>
            <w:r w:rsidR="00915084">
              <w:rPr>
                <w:rFonts w:ascii="Times New Roman" w:eastAsia="Times New Roman" w:hAnsi="Times New Roman"/>
                <w:sz w:val="20"/>
                <w:szCs w:val="20"/>
              </w:rPr>
              <w:t>92</w:t>
            </w:r>
            <w:r w:rsidRPr="008D6978">
              <w:rPr>
                <w:rFonts w:ascii="Times New Roman" w:eastAsia="Times New Roman" w:hAnsi="Times New Roman"/>
                <w:sz w:val="20"/>
                <w:szCs w:val="20"/>
              </w:rPr>
              <w:t xml:space="preserve">] </w:t>
            </w:r>
            <w:r w:rsidR="0056417E" w:rsidRPr="008D6978">
              <w:rPr>
                <w:rFonts w:ascii="Times New Roman" w:eastAsia="Times New Roman" w:hAnsi="Times New Roman"/>
                <w:sz w:val="20"/>
                <w:szCs w:val="20"/>
              </w:rPr>
              <w:t>Kaufmann et al. (2008)</w:t>
            </w:r>
          </w:p>
        </w:tc>
      </w:tr>
      <w:tr w:rsidR="0056417E" w:rsidRPr="009760DD" w14:paraId="2CBD211E" w14:textId="77777777" w:rsidTr="0056417E">
        <w:tc>
          <w:tcPr>
            <w:tcW w:w="3080" w:type="dxa"/>
            <w:tcBorders>
              <w:top w:val="single" w:sz="4" w:space="0" w:color="auto"/>
              <w:bottom w:val="single" w:sz="4" w:space="0" w:color="auto"/>
            </w:tcBorders>
          </w:tcPr>
          <w:p w14:paraId="63BAF8B2" w14:textId="77777777" w:rsidR="0056417E" w:rsidRPr="009760DD" w:rsidRDefault="0056417E" w:rsidP="007F6FFB">
            <w:pPr>
              <w:spacing w:after="0" w:line="240" w:lineRule="auto"/>
              <w:rPr>
                <w:rFonts w:ascii="Times New Roman" w:eastAsia="Times New Roman" w:hAnsi="Times New Roman"/>
                <w:i/>
                <w:sz w:val="20"/>
                <w:szCs w:val="20"/>
              </w:rPr>
            </w:pPr>
            <w:r w:rsidRPr="009760DD">
              <w:rPr>
                <w:rFonts w:ascii="Times New Roman" w:eastAsia="Times New Roman" w:hAnsi="Times New Roman"/>
                <w:b/>
                <w:i/>
                <w:sz w:val="20"/>
                <w:szCs w:val="20"/>
              </w:rPr>
              <w:t>O</w:t>
            </w:r>
            <w:r w:rsidRPr="009760DD">
              <w:rPr>
                <w:rFonts w:ascii="Times New Roman" w:eastAsia="Times New Roman" w:hAnsi="Times New Roman"/>
                <w:b/>
                <w:i/>
                <w:iCs/>
                <w:sz w:val="20"/>
                <w:szCs w:val="20"/>
              </w:rPr>
              <w:t>wnership Indicators</w:t>
            </w:r>
          </w:p>
        </w:tc>
        <w:tc>
          <w:tcPr>
            <w:tcW w:w="4300" w:type="dxa"/>
            <w:tcBorders>
              <w:top w:val="single" w:sz="4" w:space="0" w:color="auto"/>
              <w:bottom w:val="single" w:sz="4" w:space="0" w:color="auto"/>
            </w:tcBorders>
          </w:tcPr>
          <w:p w14:paraId="16E3C22C" w14:textId="77777777" w:rsidR="0056417E" w:rsidRPr="009760DD" w:rsidRDefault="0056417E" w:rsidP="007F6FFB">
            <w:pPr>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tcPr>
          <w:p w14:paraId="3A9CCEFA"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58737C3C" w14:textId="77777777" w:rsidTr="0056417E">
        <w:tc>
          <w:tcPr>
            <w:tcW w:w="3080" w:type="dxa"/>
            <w:tcBorders>
              <w:top w:val="single" w:sz="4" w:space="0" w:color="auto"/>
            </w:tcBorders>
          </w:tcPr>
          <w:p w14:paraId="6EAC3CA2"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hAnsi="Times New Roman"/>
                <w:iCs/>
                <w:sz w:val="20"/>
                <w:szCs w:val="20"/>
              </w:rPr>
              <w:t>Ownership concentration</w:t>
            </w:r>
          </w:p>
        </w:tc>
        <w:tc>
          <w:tcPr>
            <w:tcW w:w="4300" w:type="dxa"/>
            <w:tcBorders>
              <w:top w:val="single" w:sz="4" w:space="0" w:color="auto"/>
            </w:tcBorders>
          </w:tcPr>
          <w:p w14:paraId="609F10A8"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The level of ultimate ownership held by the largest shareholder</w:t>
            </w:r>
          </w:p>
        </w:tc>
        <w:tc>
          <w:tcPr>
            <w:tcW w:w="3803" w:type="dxa"/>
            <w:tcBorders>
              <w:top w:val="single" w:sz="4" w:space="0" w:color="auto"/>
            </w:tcBorders>
          </w:tcPr>
          <w:p w14:paraId="514ED5F8" w14:textId="77777777" w:rsidR="0056417E" w:rsidRPr="009760DD" w:rsidRDefault="0056417E" w:rsidP="007F6FFB">
            <w:pPr>
              <w:spacing w:after="0" w:line="240" w:lineRule="auto"/>
              <w:rPr>
                <w:sz w:val="20"/>
                <w:szCs w:val="20"/>
              </w:rPr>
            </w:pPr>
            <w:r w:rsidRPr="009760DD">
              <w:rPr>
                <w:rFonts w:ascii="Times New Roman" w:eastAsia="Times New Roman" w:hAnsi="Times New Roman"/>
                <w:sz w:val="20"/>
                <w:szCs w:val="20"/>
              </w:rPr>
              <w:t>Orbis Bank Focus and annual reports (2006-2018)</w:t>
            </w:r>
          </w:p>
        </w:tc>
      </w:tr>
      <w:tr w:rsidR="0056417E" w:rsidRPr="009760DD" w14:paraId="4EEB82A7" w14:textId="77777777" w:rsidTr="0056417E">
        <w:tc>
          <w:tcPr>
            <w:tcW w:w="3080" w:type="dxa"/>
          </w:tcPr>
          <w:p w14:paraId="6171EE46"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hAnsi="Times New Roman"/>
                <w:sz w:val="20"/>
                <w:szCs w:val="20"/>
              </w:rPr>
              <w:t>Government ownership</w:t>
            </w:r>
          </w:p>
        </w:tc>
        <w:tc>
          <w:tcPr>
            <w:tcW w:w="4300" w:type="dxa"/>
          </w:tcPr>
          <w:p w14:paraId="6ACEE385"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Proportion of equity held by the government</w:t>
            </w:r>
          </w:p>
        </w:tc>
        <w:tc>
          <w:tcPr>
            <w:tcW w:w="3803" w:type="dxa"/>
          </w:tcPr>
          <w:p w14:paraId="1DFB5B55" w14:textId="77777777" w:rsidR="0056417E" w:rsidRPr="009760DD" w:rsidRDefault="0056417E" w:rsidP="007F6FFB">
            <w:pPr>
              <w:spacing w:after="0" w:line="240" w:lineRule="auto"/>
              <w:rPr>
                <w:sz w:val="20"/>
                <w:szCs w:val="20"/>
              </w:rPr>
            </w:pPr>
            <w:r w:rsidRPr="009760DD">
              <w:rPr>
                <w:rFonts w:ascii="Times New Roman" w:eastAsia="Times New Roman" w:hAnsi="Times New Roman"/>
                <w:sz w:val="20"/>
                <w:szCs w:val="20"/>
              </w:rPr>
              <w:t>Orbis Bank Focus and annual reports (2006-2018)</w:t>
            </w:r>
          </w:p>
        </w:tc>
      </w:tr>
      <w:tr w:rsidR="0056417E" w:rsidRPr="009760DD" w14:paraId="1359E93B" w14:textId="77777777" w:rsidTr="0056417E">
        <w:tc>
          <w:tcPr>
            <w:tcW w:w="3080" w:type="dxa"/>
            <w:tcBorders>
              <w:bottom w:val="single" w:sz="4" w:space="0" w:color="auto"/>
            </w:tcBorders>
          </w:tcPr>
          <w:p w14:paraId="3C00120A"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hAnsi="Times New Roman"/>
                <w:sz w:val="20"/>
                <w:szCs w:val="20"/>
              </w:rPr>
              <w:t>Foreign ownership</w:t>
            </w:r>
          </w:p>
        </w:tc>
        <w:tc>
          <w:tcPr>
            <w:tcW w:w="4300" w:type="dxa"/>
            <w:tcBorders>
              <w:bottom w:val="single" w:sz="4" w:space="0" w:color="auto"/>
            </w:tcBorders>
          </w:tcPr>
          <w:p w14:paraId="69C0ED83"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Proportion of equity held by foreign investors</w:t>
            </w:r>
          </w:p>
        </w:tc>
        <w:tc>
          <w:tcPr>
            <w:tcW w:w="3803" w:type="dxa"/>
            <w:tcBorders>
              <w:bottom w:val="single" w:sz="4" w:space="0" w:color="auto"/>
            </w:tcBorders>
          </w:tcPr>
          <w:p w14:paraId="2964994D" w14:textId="77777777" w:rsidR="0056417E" w:rsidRPr="009760DD" w:rsidRDefault="0056417E" w:rsidP="007F6FFB">
            <w:pPr>
              <w:spacing w:after="0" w:line="240" w:lineRule="auto"/>
              <w:rPr>
                <w:sz w:val="20"/>
                <w:szCs w:val="20"/>
              </w:rPr>
            </w:pPr>
            <w:r w:rsidRPr="009760DD">
              <w:rPr>
                <w:rFonts w:ascii="Times New Roman" w:eastAsia="Times New Roman" w:hAnsi="Times New Roman"/>
                <w:sz w:val="20"/>
                <w:szCs w:val="20"/>
              </w:rPr>
              <w:t>Orbis Bank Focus and annual reports (2006-2018)</w:t>
            </w:r>
          </w:p>
        </w:tc>
      </w:tr>
      <w:tr w:rsidR="0056417E" w:rsidRPr="009760DD" w14:paraId="3F3803A1" w14:textId="77777777" w:rsidTr="0056417E">
        <w:tc>
          <w:tcPr>
            <w:tcW w:w="3080" w:type="dxa"/>
            <w:tcBorders>
              <w:top w:val="single" w:sz="4" w:space="0" w:color="auto"/>
              <w:bottom w:val="single" w:sz="4" w:space="0" w:color="auto"/>
            </w:tcBorders>
          </w:tcPr>
          <w:p w14:paraId="7B553021" w14:textId="77777777" w:rsidR="0056417E" w:rsidRPr="009760DD" w:rsidRDefault="0056417E" w:rsidP="007F6FFB">
            <w:pPr>
              <w:spacing w:after="0" w:line="240" w:lineRule="auto"/>
              <w:rPr>
                <w:rFonts w:ascii="Times New Roman" w:hAnsi="Times New Roman"/>
                <w:i/>
                <w:sz w:val="20"/>
                <w:szCs w:val="20"/>
                <w:u w:val="single"/>
              </w:rPr>
            </w:pPr>
            <w:r w:rsidRPr="009760DD">
              <w:rPr>
                <w:rFonts w:ascii="Times New Roman" w:eastAsia="Times New Roman" w:hAnsi="Times New Roman"/>
                <w:b/>
                <w:i/>
                <w:iCs/>
                <w:sz w:val="20"/>
                <w:szCs w:val="20"/>
              </w:rPr>
              <w:t>Bank-level Characteristics</w:t>
            </w:r>
          </w:p>
        </w:tc>
        <w:tc>
          <w:tcPr>
            <w:tcW w:w="4300" w:type="dxa"/>
            <w:tcBorders>
              <w:top w:val="single" w:sz="4" w:space="0" w:color="auto"/>
              <w:bottom w:val="single" w:sz="4" w:space="0" w:color="auto"/>
            </w:tcBorders>
          </w:tcPr>
          <w:p w14:paraId="0E246EEF" w14:textId="77777777" w:rsidR="0056417E" w:rsidRPr="009760DD" w:rsidRDefault="0056417E" w:rsidP="007F6FFB">
            <w:pPr>
              <w:spacing w:after="0" w:line="240" w:lineRule="auto"/>
              <w:jc w:val="both"/>
              <w:rPr>
                <w:rFonts w:ascii="Times New Roman" w:hAnsi="Times New Roman"/>
                <w:i/>
                <w:sz w:val="20"/>
                <w:szCs w:val="20"/>
                <w:u w:val="single"/>
              </w:rPr>
            </w:pPr>
          </w:p>
        </w:tc>
        <w:tc>
          <w:tcPr>
            <w:tcW w:w="3803" w:type="dxa"/>
            <w:tcBorders>
              <w:top w:val="single" w:sz="4" w:space="0" w:color="auto"/>
              <w:bottom w:val="single" w:sz="4" w:space="0" w:color="auto"/>
            </w:tcBorders>
          </w:tcPr>
          <w:p w14:paraId="26C06D90" w14:textId="77777777" w:rsidR="0056417E" w:rsidRPr="009760DD" w:rsidRDefault="0056417E" w:rsidP="007F6FFB">
            <w:pPr>
              <w:spacing w:after="0" w:line="240" w:lineRule="auto"/>
              <w:rPr>
                <w:rFonts w:ascii="Times New Roman" w:hAnsi="Times New Roman"/>
                <w:b/>
                <w:i/>
                <w:sz w:val="20"/>
                <w:szCs w:val="20"/>
                <w:u w:val="single"/>
              </w:rPr>
            </w:pPr>
          </w:p>
        </w:tc>
      </w:tr>
      <w:tr w:rsidR="0056417E" w:rsidRPr="009760DD" w14:paraId="30CB4C32" w14:textId="77777777" w:rsidTr="0056417E">
        <w:tc>
          <w:tcPr>
            <w:tcW w:w="3080" w:type="dxa"/>
            <w:tcBorders>
              <w:top w:val="single" w:sz="4" w:space="0" w:color="auto"/>
            </w:tcBorders>
          </w:tcPr>
          <w:p w14:paraId="62F01AEB" w14:textId="77777777" w:rsidR="0056417E" w:rsidRPr="009760DD" w:rsidRDefault="0056417E" w:rsidP="007F6FFB">
            <w:pPr>
              <w:spacing w:after="0" w:line="240" w:lineRule="auto"/>
              <w:rPr>
                <w:rFonts w:ascii="Times New Roman" w:hAnsi="Times New Roman"/>
                <w:sz w:val="20"/>
                <w:szCs w:val="20"/>
              </w:rPr>
            </w:pPr>
            <w:r w:rsidRPr="009760DD">
              <w:rPr>
                <w:rFonts w:ascii="Times New Roman" w:hAnsi="Times New Roman"/>
                <w:sz w:val="20"/>
                <w:szCs w:val="20"/>
              </w:rPr>
              <w:t>Return on Asset (ROA)</w:t>
            </w:r>
          </w:p>
        </w:tc>
        <w:tc>
          <w:tcPr>
            <w:tcW w:w="4300" w:type="dxa"/>
            <w:tcBorders>
              <w:top w:val="single" w:sz="4" w:space="0" w:color="auto"/>
            </w:tcBorders>
          </w:tcPr>
          <w:p w14:paraId="304584A3"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hAnsi="Times New Roman"/>
                <w:sz w:val="20"/>
                <w:szCs w:val="20"/>
              </w:rPr>
              <w:t>Ratio of pre-tax income to total assets</w:t>
            </w:r>
          </w:p>
        </w:tc>
        <w:tc>
          <w:tcPr>
            <w:tcW w:w="3803" w:type="dxa"/>
            <w:tcBorders>
              <w:top w:val="single" w:sz="4" w:space="0" w:color="auto"/>
            </w:tcBorders>
          </w:tcPr>
          <w:p w14:paraId="75FE1DD4"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Orbis Bank Focus and authors’ calculation</w:t>
            </w:r>
          </w:p>
        </w:tc>
      </w:tr>
      <w:tr w:rsidR="0056417E" w:rsidRPr="009760DD" w14:paraId="32D11275" w14:textId="77777777" w:rsidTr="0056417E">
        <w:tc>
          <w:tcPr>
            <w:tcW w:w="3080" w:type="dxa"/>
          </w:tcPr>
          <w:p w14:paraId="0236EF83" w14:textId="77777777" w:rsidR="0056417E" w:rsidRPr="009760DD" w:rsidRDefault="0056417E" w:rsidP="007F6FFB">
            <w:pPr>
              <w:spacing w:after="0" w:line="240" w:lineRule="auto"/>
              <w:rPr>
                <w:rFonts w:ascii="Times New Roman" w:hAnsi="Times New Roman"/>
                <w:bCs/>
                <w:iCs/>
                <w:sz w:val="20"/>
                <w:szCs w:val="20"/>
              </w:rPr>
            </w:pPr>
            <w:r w:rsidRPr="009760DD">
              <w:rPr>
                <w:rFonts w:ascii="Times New Roman" w:hAnsi="Times New Roman"/>
                <w:sz w:val="20"/>
                <w:szCs w:val="20"/>
              </w:rPr>
              <w:t>Cost-to-income ratio (CIR)</w:t>
            </w:r>
          </w:p>
        </w:tc>
        <w:tc>
          <w:tcPr>
            <w:tcW w:w="4300" w:type="dxa"/>
          </w:tcPr>
          <w:p w14:paraId="108F23CC"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The share of bank operating costs to bank operating income before provisions times 100</w:t>
            </w:r>
          </w:p>
        </w:tc>
        <w:tc>
          <w:tcPr>
            <w:tcW w:w="3803" w:type="dxa"/>
          </w:tcPr>
          <w:p w14:paraId="5E5D0D38"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Orbis Bank Focus and authors’ calculation</w:t>
            </w:r>
          </w:p>
        </w:tc>
      </w:tr>
      <w:tr w:rsidR="0056417E" w:rsidRPr="009760DD" w14:paraId="02743F63" w14:textId="77777777" w:rsidTr="0056417E">
        <w:tc>
          <w:tcPr>
            <w:tcW w:w="3080" w:type="dxa"/>
          </w:tcPr>
          <w:p w14:paraId="19BDE8AD" w14:textId="77777777" w:rsidR="0056417E" w:rsidRPr="009760DD" w:rsidRDefault="0056417E" w:rsidP="007F6FFB">
            <w:pPr>
              <w:spacing w:after="0" w:line="240" w:lineRule="auto"/>
              <w:rPr>
                <w:rFonts w:ascii="Times New Roman" w:hAnsi="Times New Roman"/>
                <w:i/>
                <w:sz w:val="20"/>
                <w:szCs w:val="20"/>
                <w:u w:val="single"/>
              </w:rPr>
            </w:pPr>
            <w:r w:rsidRPr="009760DD">
              <w:rPr>
                <w:rFonts w:ascii="Times New Roman" w:hAnsi="Times New Roman"/>
                <w:sz w:val="20"/>
                <w:szCs w:val="20"/>
              </w:rPr>
              <w:lastRenderedPageBreak/>
              <w:t>Deposit/ Total Assets</w:t>
            </w:r>
          </w:p>
        </w:tc>
        <w:tc>
          <w:tcPr>
            <w:tcW w:w="4300" w:type="dxa"/>
          </w:tcPr>
          <w:p w14:paraId="2593E3FB" w14:textId="77777777" w:rsidR="0056417E" w:rsidRPr="009760DD" w:rsidRDefault="0056417E" w:rsidP="007F6FFB">
            <w:pPr>
              <w:spacing w:after="0" w:line="240" w:lineRule="auto"/>
              <w:jc w:val="both"/>
              <w:rPr>
                <w:rFonts w:ascii="Times New Roman" w:hAnsi="Times New Roman"/>
                <w:i/>
                <w:sz w:val="20"/>
                <w:szCs w:val="20"/>
                <w:u w:val="single"/>
              </w:rPr>
            </w:pPr>
            <w:r w:rsidRPr="009760DD">
              <w:rPr>
                <w:rFonts w:ascii="Times New Roman" w:eastAsia="Times New Roman" w:hAnsi="Times New Roman"/>
                <w:sz w:val="20"/>
                <w:szCs w:val="20"/>
              </w:rPr>
              <w:t>Bank characteristic calculated as deposits divided by total assets</w:t>
            </w:r>
          </w:p>
        </w:tc>
        <w:tc>
          <w:tcPr>
            <w:tcW w:w="3803" w:type="dxa"/>
          </w:tcPr>
          <w:p w14:paraId="359DD153"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sz w:val="20"/>
                <w:szCs w:val="20"/>
              </w:rPr>
              <w:t>Orbis Bank Focus and authors’ calculation</w:t>
            </w:r>
          </w:p>
        </w:tc>
      </w:tr>
      <w:tr w:rsidR="0056417E" w:rsidRPr="009760DD" w14:paraId="7BE617B0" w14:textId="77777777" w:rsidTr="0056417E">
        <w:trPr>
          <w:trHeight w:val="261"/>
        </w:trPr>
        <w:tc>
          <w:tcPr>
            <w:tcW w:w="3080" w:type="dxa"/>
          </w:tcPr>
          <w:p w14:paraId="40B07176" w14:textId="77777777" w:rsidR="0056417E" w:rsidRPr="009760DD" w:rsidRDefault="0056417E" w:rsidP="007F6FFB">
            <w:pPr>
              <w:spacing w:after="0" w:line="240" w:lineRule="auto"/>
              <w:rPr>
                <w:rFonts w:ascii="Times New Roman" w:hAnsi="Times New Roman"/>
                <w:i/>
                <w:sz w:val="20"/>
                <w:szCs w:val="20"/>
                <w:u w:val="single"/>
              </w:rPr>
            </w:pPr>
            <w:r w:rsidRPr="009760DD">
              <w:rPr>
                <w:rFonts w:ascii="Times New Roman" w:hAnsi="Times New Roman"/>
                <w:sz w:val="20"/>
                <w:szCs w:val="20"/>
              </w:rPr>
              <w:t>Loan/Total Assets</w:t>
            </w:r>
          </w:p>
        </w:tc>
        <w:tc>
          <w:tcPr>
            <w:tcW w:w="4300" w:type="dxa"/>
          </w:tcPr>
          <w:p w14:paraId="4BFD940F" w14:textId="77777777" w:rsidR="0056417E" w:rsidRPr="009760DD" w:rsidRDefault="0056417E" w:rsidP="007F6FFB">
            <w:pPr>
              <w:spacing w:after="0" w:line="240" w:lineRule="auto"/>
              <w:jc w:val="both"/>
              <w:rPr>
                <w:rFonts w:ascii="Times New Roman" w:hAnsi="Times New Roman"/>
                <w:i/>
                <w:sz w:val="20"/>
                <w:szCs w:val="20"/>
                <w:u w:val="single"/>
              </w:rPr>
            </w:pPr>
            <w:r w:rsidRPr="009760DD">
              <w:rPr>
                <w:rFonts w:ascii="Times New Roman" w:eastAsia="Times New Roman" w:hAnsi="Times New Roman"/>
                <w:sz w:val="20"/>
                <w:szCs w:val="20"/>
              </w:rPr>
              <w:t>Bank characteristic calculated as loans over total assets</w:t>
            </w:r>
          </w:p>
        </w:tc>
        <w:tc>
          <w:tcPr>
            <w:tcW w:w="3803" w:type="dxa"/>
          </w:tcPr>
          <w:p w14:paraId="5A25EC46"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sz w:val="20"/>
                <w:szCs w:val="20"/>
              </w:rPr>
              <w:t>Orbis Bank Focus and authors’ calculation</w:t>
            </w:r>
          </w:p>
        </w:tc>
      </w:tr>
      <w:tr w:rsidR="0056417E" w:rsidRPr="009760DD" w14:paraId="5162D9B1" w14:textId="77777777" w:rsidTr="0056417E">
        <w:tc>
          <w:tcPr>
            <w:tcW w:w="3080" w:type="dxa"/>
          </w:tcPr>
          <w:p w14:paraId="4527A81C"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hAnsi="Times New Roman"/>
                <w:sz w:val="20"/>
                <w:szCs w:val="20"/>
              </w:rPr>
              <w:t>Loan/Total Deposits</w:t>
            </w:r>
          </w:p>
        </w:tc>
        <w:tc>
          <w:tcPr>
            <w:tcW w:w="4300" w:type="dxa"/>
          </w:tcPr>
          <w:p w14:paraId="1D6906AD"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Bank characteristic calculated as loans over total deposits</w:t>
            </w:r>
          </w:p>
        </w:tc>
        <w:tc>
          <w:tcPr>
            <w:tcW w:w="3803" w:type="dxa"/>
          </w:tcPr>
          <w:p w14:paraId="6131DFC8"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2079D10C" w14:textId="77777777" w:rsidTr="0056417E">
        <w:tc>
          <w:tcPr>
            <w:tcW w:w="3080" w:type="dxa"/>
          </w:tcPr>
          <w:p w14:paraId="58463391"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Revenue Diversification</w:t>
            </w:r>
          </w:p>
        </w:tc>
        <w:tc>
          <w:tcPr>
            <w:tcW w:w="4300" w:type="dxa"/>
          </w:tcPr>
          <w:p w14:paraId="18351A78"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Ratio of non-interest revenue to total assets</w:t>
            </w:r>
          </w:p>
        </w:tc>
        <w:tc>
          <w:tcPr>
            <w:tcW w:w="3803" w:type="dxa"/>
          </w:tcPr>
          <w:p w14:paraId="48452A6F"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sz w:val="20"/>
                <w:szCs w:val="20"/>
              </w:rPr>
              <w:t>Orbis Bank Focus and authors’ calculation</w:t>
            </w:r>
          </w:p>
        </w:tc>
      </w:tr>
      <w:tr w:rsidR="0056417E" w:rsidRPr="009760DD" w14:paraId="6FD255EB" w14:textId="77777777" w:rsidTr="0056417E">
        <w:tc>
          <w:tcPr>
            <w:tcW w:w="3080" w:type="dxa"/>
          </w:tcPr>
          <w:p w14:paraId="7C558256" w14:textId="77777777" w:rsidR="0056417E" w:rsidRPr="009760DD" w:rsidRDefault="0056417E" w:rsidP="007F6FFB">
            <w:pPr>
              <w:spacing w:after="0" w:line="240" w:lineRule="auto"/>
              <w:rPr>
                <w:rFonts w:ascii="Times New Roman" w:hAnsi="Times New Roman"/>
                <w:i/>
                <w:sz w:val="20"/>
                <w:szCs w:val="20"/>
                <w:u w:val="single"/>
              </w:rPr>
            </w:pPr>
            <w:r w:rsidRPr="009760DD">
              <w:rPr>
                <w:rFonts w:ascii="Times New Roman" w:hAnsi="Times New Roman"/>
                <w:sz w:val="20"/>
                <w:szCs w:val="20"/>
              </w:rPr>
              <w:t>Leverage</w:t>
            </w:r>
          </w:p>
        </w:tc>
        <w:tc>
          <w:tcPr>
            <w:tcW w:w="4300" w:type="dxa"/>
          </w:tcPr>
          <w:p w14:paraId="77761A4B" w14:textId="77777777" w:rsidR="0056417E" w:rsidRPr="009760DD" w:rsidRDefault="0056417E" w:rsidP="007F6FFB">
            <w:pPr>
              <w:spacing w:after="0" w:line="240" w:lineRule="auto"/>
              <w:jc w:val="both"/>
              <w:rPr>
                <w:rFonts w:ascii="Times New Roman" w:eastAsia="Times New Roman" w:hAnsi="Times New Roman"/>
                <w:sz w:val="20"/>
                <w:szCs w:val="20"/>
              </w:rPr>
            </w:pPr>
            <w:r w:rsidRPr="009760DD">
              <w:rPr>
                <w:rFonts w:ascii="Times New Roman" w:eastAsia="Times New Roman" w:hAnsi="Times New Roman"/>
                <w:sz w:val="20"/>
                <w:szCs w:val="20"/>
              </w:rPr>
              <w:t>Ratio of e</w:t>
            </w:r>
            <w:r w:rsidRPr="009760DD">
              <w:rPr>
                <w:rFonts w:ascii="Times New Roman" w:hAnsi="Times New Roman"/>
                <w:sz w:val="20"/>
                <w:szCs w:val="20"/>
              </w:rPr>
              <w:t>quity capital to total liability</w:t>
            </w:r>
          </w:p>
        </w:tc>
        <w:tc>
          <w:tcPr>
            <w:tcW w:w="3803" w:type="dxa"/>
          </w:tcPr>
          <w:p w14:paraId="08DBB599"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sz w:val="20"/>
                <w:szCs w:val="20"/>
              </w:rPr>
              <w:t>Orbis Bank Focus and authors’ calculation</w:t>
            </w:r>
          </w:p>
        </w:tc>
      </w:tr>
      <w:tr w:rsidR="0056417E" w:rsidRPr="009760DD" w14:paraId="1024FC0A" w14:textId="77777777" w:rsidTr="0056417E">
        <w:tc>
          <w:tcPr>
            <w:tcW w:w="3080" w:type="dxa"/>
            <w:tcBorders>
              <w:bottom w:val="single" w:sz="4" w:space="0" w:color="auto"/>
            </w:tcBorders>
          </w:tcPr>
          <w:p w14:paraId="73370012" w14:textId="77777777" w:rsidR="0056417E" w:rsidRPr="009760DD" w:rsidRDefault="0056417E" w:rsidP="007F6FFB">
            <w:pPr>
              <w:spacing w:after="0" w:line="240" w:lineRule="auto"/>
              <w:rPr>
                <w:rFonts w:ascii="Times New Roman" w:hAnsi="Times New Roman"/>
                <w:i/>
                <w:sz w:val="20"/>
                <w:szCs w:val="20"/>
                <w:u w:val="single"/>
              </w:rPr>
            </w:pPr>
            <w:r w:rsidRPr="009760DD">
              <w:rPr>
                <w:rFonts w:ascii="Times New Roman" w:eastAsia="Times New Roman" w:hAnsi="Times New Roman"/>
                <w:sz w:val="20"/>
                <w:szCs w:val="20"/>
              </w:rPr>
              <w:t>Size</w:t>
            </w:r>
          </w:p>
        </w:tc>
        <w:tc>
          <w:tcPr>
            <w:tcW w:w="4300" w:type="dxa"/>
            <w:tcBorders>
              <w:bottom w:val="single" w:sz="4" w:space="0" w:color="auto"/>
            </w:tcBorders>
          </w:tcPr>
          <w:p w14:paraId="200A9B5E" w14:textId="77777777" w:rsidR="0056417E" w:rsidRPr="009760DD" w:rsidRDefault="0056417E" w:rsidP="007F6FFB">
            <w:pPr>
              <w:spacing w:after="0" w:line="240" w:lineRule="auto"/>
              <w:jc w:val="both"/>
              <w:rPr>
                <w:rFonts w:ascii="Times New Roman" w:hAnsi="Times New Roman"/>
                <w:b/>
                <w:i/>
                <w:sz w:val="20"/>
                <w:szCs w:val="20"/>
                <w:u w:val="single"/>
              </w:rPr>
            </w:pPr>
            <w:r w:rsidRPr="009760DD">
              <w:rPr>
                <w:rFonts w:ascii="Times New Roman" w:eastAsia="Times New Roman" w:hAnsi="Times New Roman"/>
                <w:sz w:val="20"/>
                <w:szCs w:val="20"/>
              </w:rPr>
              <w:t>Log of a bank's total assets</w:t>
            </w:r>
          </w:p>
        </w:tc>
        <w:tc>
          <w:tcPr>
            <w:tcW w:w="3803" w:type="dxa"/>
            <w:tcBorders>
              <w:bottom w:val="single" w:sz="4" w:space="0" w:color="auto"/>
            </w:tcBorders>
          </w:tcPr>
          <w:p w14:paraId="51F71D1E"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sz w:val="20"/>
                <w:szCs w:val="20"/>
              </w:rPr>
              <w:t>Orbis Bank Focus and authors’ calculation</w:t>
            </w:r>
          </w:p>
        </w:tc>
      </w:tr>
      <w:tr w:rsidR="0056417E" w:rsidRPr="009760DD" w14:paraId="09EAEF85" w14:textId="77777777" w:rsidTr="0056417E">
        <w:tc>
          <w:tcPr>
            <w:tcW w:w="3080" w:type="dxa"/>
            <w:tcBorders>
              <w:top w:val="single" w:sz="4" w:space="0" w:color="auto"/>
              <w:bottom w:val="single" w:sz="4" w:space="0" w:color="auto"/>
            </w:tcBorders>
          </w:tcPr>
          <w:p w14:paraId="75E5D3F0"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b/>
                <w:i/>
                <w:iCs/>
                <w:sz w:val="20"/>
                <w:szCs w:val="20"/>
              </w:rPr>
              <w:t>Macroeconomic Variables</w:t>
            </w:r>
          </w:p>
        </w:tc>
        <w:tc>
          <w:tcPr>
            <w:tcW w:w="4300" w:type="dxa"/>
            <w:tcBorders>
              <w:top w:val="single" w:sz="4" w:space="0" w:color="auto"/>
              <w:bottom w:val="single" w:sz="4" w:space="0" w:color="auto"/>
            </w:tcBorders>
          </w:tcPr>
          <w:p w14:paraId="0D0082E5"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p>
        </w:tc>
        <w:tc>
          <w:tcPr>
            <w:tcW w:w="3803" w:type="dxa"/>
            <w:tcBorders>
              <w:top w:val="single" w:sz="4" w:space="0" w:color="auto"/>
              <w:bottom w:val="single" w:sz="4" w:space="0" w:color="auto"/>
            </w:tcBorders>
            <w:vAlign w:val="center"/>
          </w:tcPr>
          <w:p w14:paraId="67AA4376" w14:textId="77777777" w:rsidR="0056417E" w:rsidRPr="009760DD" w:rsidRDefault="0056417E" w:rsidP="007F6FFB">
            <w:pPr>
              <w:spacing w:after="0" w:line="240" w:lineRule="auto"/>
              <w:rPr>
                <w:rFonts w:ascii="Times New Roman" w:eastAsia="Times New Roman" w:hAnsi="Times New Roman"/>
                <w:sz w:val="20"/>
                <w:szCs w:val="20"/>
              </w:rPr>
            </w:pPr>
          </w:p>
        </w:tc>
      </w:tr>
      <w:tr w:rsidR="0056417E" w:rsidRPr="009760DD" w14:paraId="78C84753" w14:textId="77777777" w:rsidTr="0056417E">
        <w:tc>
          <w:tcPr>
            <w:tcW w:w="3080" w:type="dxa"/>
          </w:tcPr>
          <w:p w14:paraId="14F37924" w14:textId="77777777" w:rsidR="0056417E" w:rsidRPr="009760DD" w:rsidRDefault="0056417E" w:rsidP="007F6FFB">
            <w:pPr>
              <w:spacing w:after="0" w:line="240" w:lineRule="auto"/>
              <w:rPr>
                <w:rFonts w:ascii="Times New Roman" w:eastAsia="Times New Roman" w:hAnsi="Times New Roman"/>
                <w:sz w:val="20"/>
                <w:szCs w:val="20"/>
              </w:rPr>
            </w:pPr>
            <w:r w:rsidRPr="009760DD">
              <w:rPr>
                <w:rFonts w:ascii="Times New Roman" w:eastAsia="Times New Roman" w:hAnsi="Times New Roman"/>
                <w:sz w:val="20"/>
                <w:szCs w:val="20"/>
              </w:rPr>
              <w:t>GDP Growth</w:t>
            </w:r>
          </w:p>
        </w:tc>
        <w:tc>
          <w:tcPr>
            <w:tcW w:w="4300" w:type="dxa"/>
          </w:tcPr>
          <w:p w14:paraId="5B7B19EA" w14:textId="77777777" w:rsidR="0056417E" w:rsidRPr="009760DD" w:rsidRDefault="0056417E" w:rsidP="007F6FFB">
            <w:pPr>
              <w:tabs>
                <w:tab w:val="left" w:pos="5598"/>
              </w:tabs>
              <w:spacing w:after="0" w:line="240" w:lineRule="auto"/>
              <w:jc w:val="both"/>
              <w:rPr>
                <w:rFonts w:ascii="Times New Roman" w:eastAsia="Times New Roman" w:hAnsi="Times New Roman"/>
                <w:sz w:val="20"/>
                <w:szCs w:val="20"/>
              </w:rPr>
            </w:pPr>
            <w:r w:rsidRPr="009760DD">
              <w:rPr>
                <w:rFonts w:ascii="Times New Roman" w:hAnsi="Times New Roman"/>
                <w:sz w:val="20"/>
                <w:szCs w:val="20"/>
              </w:rPr>
              <w:t xml:space="preserve">Annual percentage growth rate of GDP (constant 2005 U.S. dollars), </w:t>
            </w:r>
            <w:r w:rsidRPr="009760DD">
              <w:rPr>
                <w:rFonts w:ascii="Times New Roman" w:eastAsia="Times New Roman" w:hAnsi="Times New Roman"/>
                <w:sz w:val="20"/>
                <w:szCs w:val="20"/>
              </w:rPr>
              <w:t>proxy for market size</w:t>
            </w:r>
          </w:p>
        </w:tc>
        <w:tc>
          <w:tcPr>
            <w:tcW w:w="3803" w:type="dxa"/>
            <w:vAlign w:val="center"/>
          </w:tcPr>
          <w:p w14:paraId="1C9E1CEC" w14:textId="0B59D237" w:rsidR="0056417E" w:rsidRPr="008D6978" w:rsidRDefault="004F3B22" w:rsidP="007F6FFB">
            <w:pPr>
              <w:spacing w:after="0" w:line="240" w:lineRule="auto"/>
              <w:rPr>
                <w:rFonts w:ascii="Times New Roman" w:eastAsia="Times New Roman" w:hAnsi="Times New Roman"/>
                <w:sz w:val="20"/>
                <w:szCs w:val="20"/>
              </w:rPr>
            </w:pPr>
            <w:r w:rsidRPr="008D6978">
              <w:rPr>
                <w:rFonts w:ascii="Times New Roman" w:eastAsia="Times New Roman" w:hAnsi="Times New Roman"/>
                <w:sz w:val="20"/>
                <w:szCs w:val="20"/>
              </w:rPr>
              <w:t>[</w:t>
            </w:r>
            <w:r w:rsidR="00C02836">
              <w:rPr>
                <w:rFonts w:ascii="Times New Roman" w:eastAsia="Times New Roman" w:hAnsi="Times New Roman"/>
                <w:sz w:val="20"/>
                <w:szCs w:val="20"/>
              </w:rPr>
              <w:t>65</w:t>
            </w:r>
            <w:r w:rsidRPr="008D6978">
              <w:rPr>
                <w:rFonts w:ascii="Times New Roman" w:eastAsia="Times New Roman" w:hAnsi="Times New Roman"/>
                <w:sz w:val="20"/>
                <w:szCs w:val="20"/>
              </w:rPr>
              <w:t xml:space="preserve">] </w:t>
            </w:r>
            <w:r w:rsidR="0056417E" w:rsidRPr="008D6978">
              <w:rPr>
                <w:rFonts w:ascii="Times New Roman" w:eastAsia="Times New Roman" w:hAnsi="Times New Roman"/>
                <w:sz w:val="20"/>
                <w:szCs w:val="20"/>
              </w:rPr>
              <w:t>The World Bank Development Indicators, 2006-2018</w:t>
            </w:r>
          </w:p>
        </w:tc>
      </w:tr>
      <w:tr w:rsidR="0056417E" w:rsidRPr="009760DD" w14:paraId="0B46FE7E" w14:textId="77777777" w:rsidTr="0056417E">
        <w:tc>
          <w:tcPr>
            <w:tcW w:w="3080" w:type="dxa"/>
            <w:tcBorders>
              <w:bottom w:val="single" w:sz="4" w:space="0" w:color="auto"/>
            </w:tcBorders>
          </w:tcPr>
          <w:p w14:paraId="366520D5" w14:textId="77777777" w:rsidR="0056417E" w:rsidRPr="009760DD" w:rsidRDefault="0056417E" w:rsidP="007F6FFB">
            <w:pPr>
              <w:spacing w:after="0" w:line="240" w:lineRule="auto"/>
              <w:rPr>
                <w:rFonts w:ascii="Times New Roman" w:hAnsi="Times New Roman"/>
                <w:b/>
                <w:i/>
                <w:sz w:val="20"/>
                <w:szCs w:val="20"/>
                <w:u w:val="single"/>
              </w:rPr>
            </w:pPr>
            <w:r w:rsidRPr="009760DD">
              <w:rPr>
                <w:rFonts w:ascii="Times New Roman" w:eastAsia="Times New Roman" w:hAnsi="Times New Roman"/>
                <w:sz w:val="20"/>
                <w:szCs w:val="20"/>
              </w:rPr>
              <w:t>Inflation</w:t>
            </w:r>
          </w:p>
        </w:tc>
        <w:tc>
          <w:tcPr>
            <w:tcW w:w="4300" w:type="dxa"/>
            <w:tcBorders>
              <w:bottom w:val="single" w:sz="4" w:space="0" w:color="auto"/>
            </w:tcBorders>
          </w:tcPr>
          <w:p w14:paraId="60A95196" w14:textId="77777777" w:rsidR="0056417E" w:rsidRPr="009760DD" w:rsidRDefault="0056417E" w:rsidP="007F6FFB">
            <w:pPr>
              <w:tabs>
                <w:tab w:val="left" w:pos="5598"/>
              </w:tabs>
              <w:spacing w:after="0" w:line="240" w:lineRule="auto"/>
              <w:jc w:val="both"/>
              <w:rPr>
                <w:rFonts w:ascii="Times New Roman" w:hAnsi="Times New Roman"/>
                <w:b/>
                <w:i/>
                <w:sz w:val="20"/>
                <w:szCs w:val="20"/>
                <w:u w:val="single"/>
              </w:rPr>
            </w:pPr>
            <w:r w:rsidRPr="009760DD">
              <w:rPr>
                <w:rFonts w:ascii="Times New Roman" w:hAnsi="Times New Roman"/>
                <w:sz w:val="20"/>
                <w:szCs w:val="20"/>
              </w:rPr>
              <w:t>Inflation is measured by the consumer price index, in percent</w:t>
            </w:r>
          </w:p>
        </w:tc>
        <w:tc>
          <w:tcPr>
            <w:tcW w:w="3803" w:type="dxa"/>
            <w:tcBorders>
              <w:bottom w:val="single" w:sz="4" w:space="0" w:color="auto"/>
            </w:tcBorders>
            <w:vAlign w:val="center"/>
          </w:tcPr>
          <w:p w14:paraId="5AABC8E6" w14:textId="12DBA600" w:rsidR="0056417E" w:rsidRPr="008D6978" w:rsidRDefault="004F3B22" w:rsidP="007F6FFB">
            <w:pPr>
              <w:spacing w:after="0" w:line="240" w:lineRule="auto"/>
              <w:rPr>
                <w:rFonts w:ascii="Times New Roman" w:hAnsi="Times New Roman"/>
                <w:b/>
                <w:i/>
                <w:sz w:val="20"/>
                <w:szCs w:val="20"/>
                <w:u w:val="single"/>
              </w:rPr>
            </w:pPr>
            <w:r w:rsidRPr="008D6978">
              <w:rPr>
                <w:rFonts w:ascii="Times New Roman" w:eastAsia="Times New Roman" w:hAnsi="Times New Roman"/>
                <w:sz w:val="20"/>
                <w:szCs w:val="20"/>
              </w:rPr>
              <w:t>[</w:t>
            </w:r>
            <w:r w:rsidR="00C02836">
              <w:rPr>
                <w:rFonts w:ascii="Times New Roman" w:eastAsia="Times New Roman" w:hAnsi="Times New Roman"/>
                <w:sz w:val="20"/>
                <w:szCs w:val="20"/>
              </w:rPr>
              <w:t>65</w:t>
            </w:r>
            <w:r w:rsidRPr="008D6978">
              <w:rPr>
                <w:rFonts w:ascii="Times New Roman" w:eastAsia="Times New Roman" w:hAnsi="Times New Roman"/>
                <w:sz w:val="20"/>
                <w:szCs w:val="20"/>
              </w:rPr>
              <w:t xml:space="preserve">] </w:t>
            </w:r>
            <w:r w:rsidR="0056417E" w:rsidRPr="008D6978">
              <w:rPr>
                <w:rFonts w:ascii="Times New Roman" w:eastAsia="Times New Roman" w:hAnsi="Times New Roman"/>
                <w:sz w:val="20"/>
                <w:szCs w:val="20"/>
              </w:rPr>
              <w:t>The World Bank Development Indicators, 2006-2018</w:t>
            </w:r>
          </w:p>
        </w:tc>
      </w:tr>
    </w:tbl>
    <w:p w14:paraId="3D9DE092" w14:textId="77777777" w:rsidR="0056417E" w:rsidRPr="009760DD" w:rsidRDefault="0056417E" w:rsidP="0056417E">
      <w:pPr>
        <w:autoSpaceDE w:val="0"/>
        <w:autoSpaceDN w:val="0"/>
        <w:adjustRightInd w:val="0"/>
        <w:spacing w:after="0" w:line="240" w:lineRule="auto"/>
        <w:jc w:val="both"/>
        <w:rPr>
          <w:rFonts w:ascii="Times New Roman" w:hAnsi="Times New Roman"/>
          <w:sz w:val="20"/>
          <w:szCs w:val="20"/>
        </w:rPr>
      </w:pPr>
    </w:p>
    <w:p w14:paraId="6CBD0EBD" w14:textId="77777777" w:rsidR="0056417E" w:rsidRDefault="0056417E" w:rsidP="0056417E">
      <w:pPr>
        <w:autoSpaceDE w:val="0"/>
        <w:autoSpaceDN w:val="0"/>
        <w:adjustRightInd w:val="0"/>
        <w:spacing w:after="0" w:line="240" w:lineRule="auto"/>
        <w:jc w:val="both"/>
        <w:rPr>
          <w:rFonts w:ascii="Times New Roman" w:hAnsi="Times New Roman"/>
          <w:sz w:val="20"/>
          <w:szCs w:val="20"/>
        </w:rPr>
      </w:pPr>
    </w:p>
    <w:p w14:paraId="2BEB505D" w14:textId="77777777" w:rsidR="0056417E" w:rsidRPr="00CB02AE" w:rsidRDefault="0056417E" w:rsidP="00CB02AE">
      <w:pPr>
        <w:spacing w:after="160" w:line="259" w:lineRule="auto"/>
        <w:rPr>
          <w:rFonts w:ascii="Times New Roman" w:hAnsi="Times New Roman"/>
          <w:sz w:val="20"/>
          <w:szCs w:val="20"/>
        </w:rPr>
      </w:pPr>
    </w:p>
    <w:sectPr w:rsidR="0056417E" w:rsidRPr="00CB02AE" w:rsidSect="004F16B0">
      <w:foot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1B2FB" w14:textId="77777777" w:rsidR="00644970" w:rsidRDefault="00644970">
      <w:pPr>
        <w:spacing w:after="0" w:line="240" w:lineRule="auto"/>
      </w:pPr>
      <w:r>
        <w:separator/>
      </w:r>
    </w:p>
  </w:endnote>
  <w:endnote w:type="continuationSeparator" w:id="0">
    <w:p w14:paraId="195AA74B" w14:textId="77777777" w:rsidR="00644970" w:rsidRDefault="0064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76775"/>
      <w:docPartObj>
        <w:docPartGallery w:val="Page Numbers (Bottom of Page)"/>
        <w:docPartUnique/>
      </w:docPartObj>
    </w:sdtPr>
    <w:sdtEndPr>
      <w:rPr>
        <w:noProof/>
      </w:rPr>
    </w:sdtEndPr>
    <w:sdtContent>
      <w:p w14:paraId="6E4661A3" w14:textId="77777777" w:rsidR="00017D28" w:rsidRDefault="00B9593F">
        <w:pPr>
          <w:pStyle w:val="Footer"/>
          <w:jc w:val="center"/>
        </w:pPr>
        <w:r>
          <w:fldChar w:fldCharType="begin"/>
        </w:r>
        <w:r w:rsidR="005A2CCC">
          <w:instrText xml:space="preserve"> PAGE   \* MERGEFORMAT </w:instrText>
        </w:r>
        <w:r>
          <w:fldChar w:fldCharType="separate"/>
        </w:r>
        <w:r w:rsidR="002265C8">
          <w:rPr>
            <w:noProof/>
          </w:rPr>
          <w:t>1</w:t>
        </w:r>
        <w:r>
          <w:rPr>
            <w:noProof/>
          </w:rPr>
          <w:fldChar w:fldCharType="end"/>
        </w:r>
      </w:p>
    </w:sdtContent>
  </w:sdt>
  <w:p w14:paraId="1D1C94B1" w14:textId="77777777" w:rsidR="00017D28" w:rsidRDefault="00C02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23E" w14:textId="77777777" w:rsidR="00644970" w:rsidRDefault="00644970">
      <w:pPr>
        <w:spacing w:after="0" w:line="240" w:lineRule="auto"/>
      </w:pPr>
      <w:r>
        <w:separator/>
      </w:r>
    </w:p>
  </w:footnote>
  <w:footnote w:type="continuationSeparator" w:id="0">
    <w:p w14:paraId="2F5F7DC3" w14:textId="77777777" w:rsidR="00644970" w:rsidRDefault="00644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262"/>
    <w:multiLevelType w:val="hybridMultilevel"/>
    <w:tmpl w:val="33D2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61801"/>
    <w:multiLevelType w:val="hybridMultilevel"/>
    <w:tmpl w:val="B7CC851A"/>
    <w:lvl w:ilvl="0" w:tplc="08090001">
      <w:start w:val="1"/>
      <w:numFmt w:val="bullet"/>
      <w:lvlText w:val=""/>
      <w:lvlJc w:val="left"/>
      <w:pPr>
        <w:ind w:left="720" w:hanging="360"/>
      </w:pPr>
      <w:rPr>
        <w:rFonts w:ascii="Symbol" w:hAnsi="Symbol" w:hint="default"/>
      </w:rPr>
    </w:lvl>
    <w:lvl w:ilvl="1" w:tplc="9A565AFE">
      <w:numFmt w:val="bullet"/>
      <w:lvlText w:val=""/>
      <w:lvlJc w:val="left"/>
      <w:pPr>
        <w:ind w:left="1440" w:hanging="360"/>
      </w:pPr>
      <w:rPr>
        <w:rFonts w:ascii="Symbol" w:eastAsiaTheme="minorEastAsia" w:hAnsi="Symbol" w:cstheme="majorBidi"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17E"/>
    <w:rsid w:val="00032252"/>
    <w:rsid w:val="002265C8"/>
    <w:rsid w:val="00435D43"/>
    <w:rsid w:val="004F3B22"/>
    <w:rsid w:val="00514512"/>
    <w:rsid w:val="0056417E"/>
    <w:rsid w:val="005A2CCC"/>
    <w:rsid w:val="00644970"/>
    <w:rsid w:val="00697C00"/>
    <w:rsid w:val="00715CCA"/>
    <w:rsid w:val="008D563C"/>
    <w:rsid w:val="008D6978"/>
    <w:rsid w:val="009024E3"/>
    <w:rsid w:val="00915084"/>
    <w:rsid w:val="00B9593F"/>
    <w:rsid w:val="00BA5623"/>
    <w:rsid w:val="00C02836"/>
    <w:rsid w:val="00CB02AE"/>
    <w:rsid w:val="00DA602B"/>
    <w:rsid w:val="00F04C29"/>
    <w:rsid w:val="00F912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D43F"/>
  <w15:docId w15:val="{C5A1E646-E43B-4BDA-A8E4-BCD6248F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1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17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ListParagraph">
    <w:name w:val="List Paragraph"/>
    <w:basedOn w:val="Normal"/>
    <w:uiPriority w:val="34"/>
    <w:qFormat/>
    <w:rsid w:val="0056417E"/>
    <w:pPr>
      <w:ind w:left="720"/>
      <w:contextualSpacing/>
    </w:pPr>
  </w:style>
  <w:style w:type="paragraph" w:styleId="Footer">
    <w:name w:val="footer"/>
    <w:basedOn w:val="Normal"/>
    <w:link w:val="FooterChar"/>
    <w:uiPriority w:val="99"/>
    <w:unhideWhenUsed/>
    <w:rsid w:val="00564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7E"/>
    <w:rPr>
      <w:rFonts w:ascii="Calibri" w:eastAsia="Calibri" w:hAnsi="Calibri" w:cs="Times New Roman"/>
    </w:rPr>
  </w:style>
  <w:style w:type="character" w:customStyle="1" w:styleId="fontstyle01">
    <w:name w:val="fontstyle01"/>
    <w:basedOn w:val="DefaultParagraphFont"/>
    <w:rsid w:val="0056417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E98E-C5C5-4AB3-A1E9-B317EDCF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chn off27</cp:lastModifiedBy>
  <cp:revision>16</cp:revision>
  <dcterms:created xsi:type="dcterms:W3CDTF">2021-05-12T10:17:00Z</dcterms:created>
  <dcterms:modified xsi:type="dcterms:W3CDTF">2021-06-18T14:27:00Z</dcterms:modified>
</cp:coreProperties>
</file>