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DA4C" w14:textId="6D8C9726" w:rsidR="00AA61C4" w:rsidRDefault="00B32E71">
      <w:pPr>
        <w:rPr>
          <w:rFonts w:ascii="Times New Roman" w:hAnsi="Times New Roman" w:cs="Times New Roman"/>
          <w:lang w:val="en-US"/>
        </w:rPr>
      </w:pPr>
      <w:r w:rsidRPr="00B32E71">
        <w:rPr>
          <w:rFonts w:ascii="Times New Roman" w:hAnsi="Times New Roman" w:cs="Times New Roman"/>
          <w:b/>
          <w:bCs/>
          <w:lang w:val="en-US"/>
        </w:rPr>
        <w:t>S1 Table:</w:t>
      </w:r>
      <w:r w:rsidRPr="00B32E71">
        <w:rPr>
          <w:rFonts w:ascii="Times New Roman" w:hAnsi="Times New Roman" w:cs="Times New Roman"/>
          <w:lang w:val="en-US"/>
        </w:rPr>
        <w:t xml:space="preserve"> Summary of findings.</w:t>
      </w:r>
    </w:p>
    <w:p w14:paraId="458F819E" w14:textId="2D6C6B22" w:rsidR="00B32E71" w:rsidRDefault="00B32E71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center" w:tblpY="1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116"/>
        <w:gridCol w:w="1084"/>
        <w:gridCol w:w="1468"/>
        <w:gridCol w:w="1276"/>
        <w:gridCol w:w="963"/>
        <w:gridCol w:w="2700"/>
      </w:tblGrid>
      <w:tr w:rsidR="00B32E71" w:rsidRPr="00D8376D" w14:paraId="25667C75" w14:textId="77777777" w:rsidTr="00F30275">
        <w:trPr>
          <w:trHeight w:val="1216"/>
        </w:trPr>
        <w:tc>
          <w:tcPr>
            <w:tcW w:w="1029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noWrap/>
            <w:vAlign w:val="center"/>
          </w:tcPr>
          <w:p w14:paraId="3126A06C" w14:textId="77777777" w:rsidR="00B32E71" w:rsidRPr="00C31F19" w:rsidRDefault="00B32E71" w:rsidP="00F30275">
            <w:pPr>
              <w:shd w:val="clear" w:color="auto" w:fill="B4C6E7" w:themeFill="accent1" w:themeFillTint="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Y90-TARE versus standard treatment in patients with non-surgical hepatocellular carcinoma (HCC)</w:t>
            </w:r>
          </w:p>
          <w:p w14:paraId="31E52DCC" w14:textId="77777777" w:rsidR="00B32E71" w:rsidRPr="00C31F19" w:rsidRDefault="00B32E71" w:rsidP="00F30275">
            <w:pPr>
              <w:shd w:val="clear" w:color="auto" w:fill="B4C6E7" w:themeFill="accent1" w:themeFillTin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Population: Patients with non-surgical HCC</w:t>
            </w:r>
          </w:p>
          <w:p w14:paraId="401AA76D" w14:textId="77777777" w:rsidR="00B32E71" w:rsidRPr="00C31F19" w:rsidRDefault="00B32E71" w:rsidP="00F30275">
            <w:pPr>
              <w:shd w:val="clear" w:color="auto" w:fill="B4C6E7" w:themeFill="accent1" w:themeFillTin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Setting: oncologic treatment centers in North America, Pacific-Asia, Turkey and Europe</w:t>
            </w:r>
          </w:p>
          <w:p w14:paraId="5995E2E7" w14:textId="77777777" w:rsidR="00B32E71" w:rsidRPr="00C31F19" w:rsidRDefault="00B32E71" w:rsidP="00F30275">
            <w:pPr>
              <w:shd w:val="clear" w:color="auto" w:fill="B4C6E7" w:themeFill="accent1" w:themeFillTin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Intervention: Y90-TARE treatment strategies</w:t>
            </w:r>
          </w:p>
          <w:p w14:paraId="662E9DBE" w14:textId="77777777" w:rsidR="00B32E71" w:rsidRPr="00C31F19" w:rsidRDefault="00B32E71" w:rsidP="00F30275">
            <w:pPr>
              <w:shd w:val="clear" w:color="auto" w:fill="B4C6E7" w:themeFill="accent1" w:themeFillTint="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Comparison: Standard treatment (TACE and sorafenib)</w:t>
            </w:r>
          </w:p>
        </w:tc>
      </w:tr>
      <w:tr w:rsidR="00B32E71" w:rsidRPr="00C31F19" w14:paraId="62386B7D" w14:textId="77777777" w:rsidTr="00F30275">
        <w:trPr>
          <w:trHeight w:val="75"/>
        </w:trPr>
        <w:tc>
          <w:tcPr>
            <w:tcW w:w="1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7C166B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Outcomes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18DC4D6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 xml:space="preserve">Illustrative comparative risk </w:t>
            </w:r>
          </w:p>
        </w:tc>
        <w:tc>
          <w:tcPr>
            <w:tcW w:w="1468" w:type="dxa"/>
            <w:tcBorders>
              <w:top w:val="single" w:sz="2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6C4F71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Effect estimate</w:t>
            </w:r>
          </w:p>
          <w:p w14:paraId="3D492EA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(95% CI)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B8F085E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 xml:space="preserve">Number of participants </w:t>
            </w:r>
          </w:p>
        </w:tc>
        <w:tc>
          <w:tcPr>
            <w:tcW w:w="963" w:type="dxa"/>
            <w:tcBorders>
              <w:top w:val="single" w:sz="2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940E03A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Quality of the evidence (GRADE)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48E7085B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Comments</w:t>
            </w:r>
          </w:p>
        </w:tc>
      </w:tr>
      <w:tr w:rsidR="00B32E71" w:rsidRPr="00C31F19" w14:paraId="16894749" w14:textId="77777777" w:rsidTr="00F30275">
        <w:trPr>
          <w:trHeight w:val="274"/>
        </w:trPr>
        <w:tc>
          <w:tcPr>
            <w:tcW w:w="16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98091D9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A"/>
              </w:rPr>
            </w:pPr>
          </w:p>
        </w:tc>
        <w:tc>
          <w:tcPr>
            <w:tcW w:w="11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467F9D7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Y90-TARE</w:t>
            </w:r>
          </w:p>
        </w:tc>
        <w:tc>
          <w:tcPr>
            <w:tcW w:w="1084" w:type="dxa"/>
            <w:tcBorders>
              <w:bottom w:val="single" w:sz="2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E875E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 xml:space="preserve">Standard </w:t>
            </w:r>
            <w:proofErr w:type="spellStart"/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treatment</w:t>
            </w: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CA"/>
              </w:rPr>
              <w:t>a</w:t>
            </w:r>
            <w:proofErr w:type="spellEnd"/>
          </w:p>
        </w:tc>
        <w:tc>
          <w:tcPr>
            <w:tcW w:w="1468" w:type="dxa"/>
            <w:tcBorders>
              <w:bottom w:val="single" w:sz="2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80140F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32545B4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A"/>
              </w:rPr>
            </w:pPr>
          </w:p>
        </w:tc>
        <w:tc>
          <w:tcPr>
            <w:tcW w:w="96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EFD04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616DF8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CA"/>
              </w:rPr>
            </w:pPr>
          </w:p>
        </w:tc>
      </w:tr>
      <w:tr w:rsidR="00B32E71" w:rsidRPr="00C31F19" w14:paraId="58596C67" w14:textId="77777777" w:rsidTr="00F30275">
        <w:trPr>
          <w:trHeight w:val="274"/>
        </w:trPr>
        <w:tc>
          <w:tcPr>
            <w:tcW w:w="168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8072D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Overall survival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97B6" w14:textId="77777777" w:rsidR="00B32E71" w:rsidRPr="00C31F19" w:rsidRDefault="00B32E71" w:rsidP="00F30275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Estimated median in months</w:t>
            </w:r>
          </w:p>
        </w:tc>
        <w:tc>
          <w:tcPr>
            <w:tcW w:w="1468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12E60E84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 xml:space="preserve"> HR=0.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99</w:t>
            </w:r>
          </w:p>
          <w:p w14:paraId="1EC798E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(0.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81</w:t>
            </w: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-1.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21</w:t>
            </w: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6A426DB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1380 in 6 studies</w:t>
            </w:r>
          </w:p>
        </w:tc>
        <w:tc>
          <w:tcPr>
            <w:tcW w:w="96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4F4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Low</w:t>
            </w:r>
          </w:p>
        </w:tc>
        <w:tc>
          <w:tcPr>
            <w:tcW w:w="27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92A5707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…</w:t>
            </w:r>
          </w:p>
        </w:tc>
      </w:tr>
      <w:tr w:rsidR="00B32E71" w:rsidRPr="00C31F19" w14:paraId="7F627E4F" w14:textId="77777777" w:rsidTr="00F30275">
        <w:trPr>
          <w:trHeight w:val="470"/>
        </w:trPr>
        <w:tc>
          <w:tcPr>
            <w:tcW w:w="16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A0827B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BAAB70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15.5</w:t>
            </w: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4F99D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15</w:t>
            </w:r>
          </w:p>
        </w:tc>
        <w:tc>
          <w:tcPr>
            <w:tcW w:w="1468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CCAE4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45F0D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963" w:type="dxa"/>
            <w:vMerge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6FC5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B0BD80" w14:textId="77777777" w:rsidR="00B32E71" w:rsidRPr="00C31F19" w:rsidRDefault="00B32E71" w:rsidP="00F30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</w:tr>
      <w:tr w:rsidR="00B32E71" w:rsidRPr="00C31F19" w14:paraId="2312DF6E" w14:textId="77777777" w:rsidTr="00F30275">
        <w:trPr>
          <w:trHeight w:val="441"/>
        </w:trPr>
        <w:tc>
          <w:tcPr>
            <w:tcW w:w="168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94A05A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 xml:space="preserve">Progression-free survival 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D855B7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Estimated median in months</w:t>
            </w:r>
          </w:p>
        </w:tc>
        <w:tc>
          <w:tcPr>
            <w:tcW w:w="1468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665D3016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HR=0.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96</w:t>
            </w:r>
          </w:p>
          <w:p w14:paraId="200AA2CC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(0.83-1.11)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531427A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843 in 3 studies</w:t>
            </w:r>
          </w:p>
        </w:tc>
        <w:tc>
          <w:tcPr>
            <w:tcW w:w="96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0132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Very low</w:t>
            </w:r>
          </w:p>
        </w:tc>
        <w:tc>
          <w:tcPr>
            <w:tcW w:w="27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091C3D6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…</w:t>
            </w:r>
          </w:p>
        </w:tc>
      </w:tr>
      <w:tr w:rsidR="00B32E71" w:rsidRPr="00C31F19" w14:paraId="5A56DF4D" w14:textId="77777777" w:rsidTr="00F30275">
        <w:trPr>
          <w:trHeight w:val="441"/>
        </w:trPr>
        <w:tc>
          <w:tcPr>
            <w:tcW w:w="16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124E0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94C5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21.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0230E94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20.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5</w:t>
            </w: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14:paraId="5BF30268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4B023EE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22A6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0C11532" w14:textId="77777777" w:rsidR="00B32E71" w:rsidRPr="00C31F19" w:rsidRDefault="00B32E71" w:rsidP="00F30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</w:tr>
      <w:tr w:rsidR="00B32E71" w:rsidRPr="00C31F19" w14:paraId="2CB75166" w14:textId="77777777" w:rsidTr="00F30275">
        <w:trPr>
          <w:trHeight w:val="441"/>
        </w:trPr>
        <w:tc>
          <w:tcPr>
            <w:tcW w:w="1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C17965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Time to progression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5AEB2A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Estimated median in months</w:t>
            </w:r>
          </w:p>
        </w:tc>
        <w:tc>
          <w:tcPr>
            <w:tcW w:w="1468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68FC6B12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HR=0.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49</w:t>
            </w: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 xml:space="preserve"> </w:t>
            </w:r>
          </w:p>
          <w:p w14:paraId="36A46FF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(0.20-1.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21</w:t>
            </w: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5D679205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497 in 4 studies</w:t>
            </w:r>
          </w:p>
        </w:tc>
        <w:tc>
          <w:tcPr>
            <w:tcW w:w="96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B45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Very low</w:t>
            </w:r>
          </w:p>
        </w:tc>
        <w:tc>
          <w:tcPr>
            <w:tcW w:w="27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16938D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…</w:t>
            </w:r>
          </w:p>
        </w:tc>
      </w:tr>
      <w:tr w:rsidR="00B32E71" w:rsidRPr="00C31F19" w14:paraId="06BE995E" w14:textId="77777777" w:rsidTr="00F30275">
        <w:trPr>
          <w:trHeight w:val="441"/>
        </w:trPr>
        <w:tc>
          <w:tcPr>
            <w:tcW w:w="16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FBA8B1A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71E25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19.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1FAC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9.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5</w:t>
            </w:r>
          </w:p>
        </w:tc>
        <w:tc>
          <w:tcPr>
            <w:tcW w:w="1468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7E7E619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6732B0B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164B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2F1829" w14:textId="77777777" w:rsidR="00B32E71" w:rsidRPr="00C31F19" w:rsidRDefault="00B32E71" w:rsidP="00F30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</w:tr>
      <w:tr w:rsidR="00B32E71" w:rsidRPr="00C31F19" w14:paraId="046AC913" w14:textId="77777777" w:rsidTr="00F30275">
        <w:trPr>
          <w:trHeight w:val="274"/>
        </w:trPr>
        <w:tc>
          <w:tcPr>
            <w:tcW w:w="168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90E4EAA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Disease control rate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14ECB8D9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 xml:space="preserve">Estimated proportions </w:t>
            </w:r>
          </w:p>
        </w:tc>
        <w:tc>
          <w:tcPr>
            <w:tcW w:w="1468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587C19F9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 xml:space="preserve">RR=0.95 </w:t>
            </w:r>
          </w:p>
          <w:p w14:paraId="2BFD47B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(0.77-1.16)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2EB409CC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893 in 5 studies</w:t>
            </w:r>
          </w:p>
        </w:tc>
        <w:tc>
          <w:tcPr>
            <w:tcW w:w="96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AF4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Very low</w:t>
            </w:r>
          </w:p>
        </w:tc>
        <w:tc>
          <w:tcPr>
            <w:tcW w:w="27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899EECC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…</w:t>
            </w:r>
          </w:p>
        </w:tc>
      </w:tr>
      <w:tr w:rsidR="00B32E71" w:rsidRPr="00C31F19" w14:paraId="45E8E15F" w14:textId="77777777" w:rsidTr="00F30275">
        <w:trPr>
          <w:trHeight w:val="274"/>
        </w:trPr>
        <w:tc>
          <w:tcPr>
            <w:tcW w:w="16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FB0A3E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1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8C07F8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491/1000</w:t>
            </w:r>
          </w:p>
        </w:tc>
        <w:tc>
          <w:tcPr>
            <w:tcW w:w="1084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51A7A07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562/1000</w:t>
            </w:r>
          </w:p>
        </w:tc>
        <w:tc>
          <w:tcPr>
            <w:tcW w:w="1468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C83C94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3C8D208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963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55B2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9A70DF" w14:textId="77777777" w:rsidR="00B32E71" w:rsidRPr="00C31F19" w:rsidRDefault="00B32E71" w:rsidP="00F30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</w:tr>
      <w:tr w:rsidR="00B32E71" w:rsidRPr="00D8376D" w14:paraId="3B954E17" w14:textId="77777777" w:rsidTr="00F30275">
        <w:trPr>
          <w:trHeight w:val="299"/>
        </w:trPr>
        <w:tc>
          <w:tcPr>
            <w:tcW w:w="1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21AC27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 xml:space="preserve">Grade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fr-CA"/>
                </w:rPr>
                <m:t>≥</m:t>
              </m:r>
            </m:oMath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3 adverse events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A43278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Estimated proportions</w:t>
            </w:r>
          </w:p>
        </w:tc>
        <w:tc>
          <w:tcPr>
            <w:tcW w:w="1468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6130DF2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RR=0.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 xml:space="preserve">64 </w:t>
            </w:r>
          </w:p>
          <w:p w14:paraId="2AED2EB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(0.45-0.92)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6826C726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1245 in 7 studies</w:t>
            </w:r>
          </w:p>
        </w:tc>
        <w:tc>
          <w:tcPr>
            <w:tcW w:w="96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E960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Low</w:t>
            </w:r>
          </w:p>
        </w:tc>
        <w:tc>
          <w:tcPr>
            <w:tcW w:w="27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4AFE949" w14:textId="77777777" w:rsidR="00B32E71" w:rsidRPr="00C31F19" w:rsidRDefault="00B32E71" w:rsidP="00F30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CA"/>
              </w:rPr>
              <w:t>This effect was associated with the use of sorafenib as a comparator, the absence of an active co-intervention and a balanced proportion of the different BCLC stages.</w:t>
            </w:r>
          </w:p>
        </w:tc>
      </w:tr>
      <w:tr w:rsidR="00B32E71" w:rsidRPr="00C31F19" w14:paraId="16D8DF0D" w14:textId="77777777" w:rsidTr="00F30275">
        <w:trPr>
          <w:trHeight w:val="298"/>
        </w:trPr>
        <w:tc>
          <w:tcPr>
            <w:tcW w:w="16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E1A783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40A8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284/1000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912E5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438/1000</w:t>
            </w:r>
          </w:p>
        </w:tc>
        <w:tc>
          <w:tcPr>
            <w:tcW w:w="1468" w:type="dxa"/>
            <w:vMerge/>
            <w:shd w:val="clear" w:color="auto" w:fill="auto"/>
            <w:noWrap/>
            <w:vAlign w:val="center"/>
          </w:tcPr>
          <w:p w14:paraId="1FACB4FA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FA792B8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63A7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55FCA19" w14:textId="77777777" w:rsidR="00B32E71" w:rsidRPr="00C31F19" w:rsidRDefault="00B32E71" w:rsidP="00F30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</w:tr>
      <w:tr w:rsidR="00B32E71" w:rsidRPr="00C31F19" w14:paraId="4945C60E" w14:textId="77777777" w:rsidTr="00F30275">
        <w:trPr>
          <w:trHeight w:val="274"/>
        </w:trPr>
        <w:tc>
          <w:tcPr>
            <w:tcW w:w="168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8F1B185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  <w:t>Incidence of gastro-intestinal ulcers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0B33ECD9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Estimated proportions</w:t>
            </w:r>
          </w:p>
        </w:tc>
        <w:tc>
          <w:tcPr>
            <w:tcW w:w="1468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6211F6C7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RR=2.73</w:t>
            </w:r>
          </w:p>
          <w:p w14:paraId="6635281A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(0.70 -10.</w:t>
            </w:r>
            <w:r w:rsidRPr="00C31F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A"/>
              </w:rPr>
              <w:t>59</w:t>
            </w: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2050584C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1105 in 4 studies</w:t>
            </w:r>
          </w:p>
        </w:tc>
        <w:tc>
          <w:tcPr>
            <w:tcW w:w="96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0FD6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Very low</w:t>
            </w:r>
          </w:p>
        </w:tc>
        <w:tc>
          <w:tcPr>
            <w:tcW w:w="27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E644F5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…</w:t>
            </w:r>
          </w:p>
        </w:tc>
      </w:tr>
      <w:tr w:rsidR="00B32E71" w:rsidRPr="00C31F19" w14:paraId="1B24D6ED" w14:textId="77777777" w:rsidTr="00F30275">
        <w:trPr>
          <w:trHeight w:val="274"/>
        </w:trPr>
        <w:tc>
          <w:tcPr>
            <w:tcW w:w="16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4CBD90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1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B52E359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13/1000</w:t>
            </w:r>
          </w:p>
        </w:tc>
        <w:tc>
          <w:tcPr>
            <w:tcW w:w="1084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5E8B16F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  <w:r w:rsidRPr="00C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  <w:t>3/1000</w:t>
            </w:r>
          </w:p>
        </w:tc>
        <w:tc>
          <w:tcPr>
            <w:tcW w:w="1468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AEBE2F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6DF571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963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B3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1ABF2D" w14:textId="77777777" w:rsidR="00B32E71" w:rsidRPr="00C31F19" w:rsidRDefault="00B32E71" w:rsidP="00F30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CA"/>
              </w:rPr>
            </w:pPr>
          </w:p>
        </w:tc>
      </w:tr>
    </w:tbl>
    <w:p w14:paraId="6F55F0B3" w14:textId="12B02E65" w:rsidR="00B32E71" w:rsidRPr="00C31F19" w:rsidRDefault="00B32E71" w:rsidP="00B32E71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31F1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C31F19">
        <w:rPr>
          <w:rFonts w:ascii="Times New Roman" w:hAnsi="Times New Roman" w:cs="Times New Roman"/>
          <w:sz w:val="20"/>
          <w:szCs w:val="20"/>
          <w:lang w:val="en-US"/>
        </w:rPr>
        <w:t>Estimated</w:t>
      </w:r>
      <w:proofErr w:type="spellEnd"/>
      <w:r w:rsidRPr="00C31F19">
        <w:rPr>
          <w:rFonts w:ascii="Times New Roman" w:hAnsi="Times New Roman" w:cs="Times New Roman"/>
          <w:sz w:val="20"/>
          <w:szCs w:val="20"/>
          <w:lang w:val="en-US"/>
        </w:rPr>
        <w:t xml:space="preserve"> median survival for standard treatment for OS, progression-free survival and time to progression are assumed median survival which we calculated from weighted median survival from the </w:t>
      </w:r>
      <w:r w:rsidR="00D8376D">
        <w:rPr>
          <w:rFonts w:ascii="Times New Roman" w:hAnsi="Times New Roman" w:cs="Times New Roman"/>
          <w:sz w:val="20"/>
          <w:szCs w:val="20"/>
          <w:lang w:val="en-US"/>
        </w:rPr>
        <w:t>trials</w:t>
      </w:r>
      <w:r w:rsidRPr="00C31F1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356BDEF" w14:textId="77777777" w:rsidR="00B32E71" w:rsidRPr="00B32E71" w:rsidRDefault="00B32E71">
      <w:pPr>
        <w:rPr>
          <w:rFonts w:ascii="Times New Roman" w:hAnsi="Times New Roman" w:cs="Times New Roman"/>
          <w:lang w:val="en-US"/>
        </w:rPr>
      </w:pPr>
    </w:p>
    <w:sectPr w:rsidR="00B32E71" w:rsidRPr="00B32E71" w:rsidSect="002347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71"/>
    <w:rsid w:val="000112F9"/>
    <w:rsid w:val="0003087E"/>
    <w:rsid w:val="00047DEC"/>
    <w:rsid w:val="000600F3"/>
    <w:rsid w:val="00062FD7"/>
    <w:rsid w:val="0006714B"/>
    <w:rsid w:val="00075CDF"/>
    <w:rsid w:val="0008768C"/>
    <w:rsid w:val="00097403"/>
    <w:rsid w:val="000A011F"/>
    <w:rsid w:val="000A165F"/>
    <w:rsid w:val="000A2620"/>
    <w:rsid w:val="000A3C6C"/>
    <w:rsid w:val="000C63D9"/>
    <w:rsid w:val="000D0B18"/>
    <w:rsid w:val="000D13EB"/>
    <w:rsid w:val="000D369D"/>
    <w:rsid w:val="000D3AF8"/>
    <w:rsid w:val="000E4F8D"/>
    <w:rsid w:val="00104FF6"/>
    <w:rsid w:val="0010630B"/>
    <w:rsid w:val="0010763B"/>
    <w:rsid w:val="001144BB"/>
    <w:rsid w:val="001301F0"/>
    <w:rsid w:val="00130AC5"/>
    <w:rsid w:val="001424D6"/>
    <w:rsid w:val="0016007A"/>
    <w:rsid w:val="001774C5"/>
    <w:rsid w:val="00182E77"/>
    <w:rsid w:val="00195205"/>
    <w:rsid w:val="001B0B2D"/>
    <w:rsid w:val="001B0BD2"/>
    <w:rsid w:val="001B20BD"/>
    <w:rsid w:val="001B4956"/>
    <w:rsid w:val="001D4E65"/>
    <w:rsid w:val="001D533D"/>
    <w:rsid w:val="001E14DD"/>
    <w:rsid w:val="001F706F"/>
    <w:rsid w:val="0022254D"/>
    <w:rsid w:val="00232DF9"/>
    <w:rsid w:val="00234779"/>
    <w:rsid w:val="00244C3E"/>
    <w:rsid w:val="002527DF"/>
    <w:rsid w:val="0025310C"/>
    <w:rsid w:val="00255BFD"/>
    <w:rsid w:val="00262235"/>
    <w:rsid w:val="00272E14"/>
    <w:rsid w:val="00277B3B"/>
    <w:rsid w:val="00277FE3"/>
    <w:rsid w:val="00284274"/>
    <w:rsid w:val="00286531"/>
    <w:rsid w:val="00293CA4"/>
    <w:rsid w:val="002B3F79"/>
    <w:rsid w:val="002C0C07"/>
    <w:rsid w:val="002C4E35"/>
    <w:rsid w:val="002D1620"/>
    <w:rsid w:val="002D38EC"/>
    <w:rsid w:val="002D4B07"/>
    <w:rsid w:val="002D6CFA"/>
    <w:rsid w:val="002E5E94"/>
    <w:rsid w:val="002F01D9"/>
    <w:rsid w:val="002F21D5"/>
    <w:rsid w:val="0030407B"/>
    <w:rsid w:val="00305696"/>
    <w:rsid w:val="0031378F"/>
    <w:rsid w:val="00321E5A"/>
    <w:rsid w:val="00323EB2"/>
    <w:rsid w:val="003314C2"/>
    <w:rsid w:val="0033272F"/>
    <w:rsid w:val="003331B9"/>
    <w:rsid w:val="00345DAF"/>
    <w:rsid w:val="00361E8D"/>
    <w:rsid w:val="00365862"/>
    <w:rsid w:val="00366DC2"/>
    <w:rsid w:val="003831DD"/>
    <w:rsid w:val="0038440A"/>
    <w:rsid w:val="0038452A"/>
    <w:rsid w:val="003861EC"/>
    <w:rsid w:val="00390FDF"/>
    <w:rsid w:val="00393437"/>
    <w:rsid w:val="00396432"/>
    <w:rsid w:val="003A0CDE"/>
    <w:rsid w:val="003A2395"/>
    <w:rsid w:val="003A4B00"/>
    <w:rsid w:val="003D46F6"/>
    <w:rsid w:val="003E3DE3"/>
    <w:rsid w:val="003F4AC4"/>
    <w:rsid w:val="0040709C"/>
    <w:rsid w:val="00411282"/>
    <w:rsid w:val="004264A7"/>
    <w:rsid w:val="00441060"/>
    <w:rsid w:val="004410AD"/>
    <w:rsid w:val="00442E52"/>
    <w:rsid w:val="00463749"/>
    <w:rsid w:val="004674C4"/>
    <w:rsid w:val="00474143"/>
    <w:rsid w:val="00492F65"/>
    <w:rsid w:val="004956BF"/>
    <w:rsid w:val="004A32AC"/>
    <w:rsid w:val="004A35D6"/>
    <w:rsid w:val="004A365C"/>
    <w:rsid w:val="004B0116"/>
    <w:rsid w:val="004E6BAF"/>
    <w:rsid w:val="004F580B"/>
    <w:rsid w:val="005039B3"/>
    <w:rsid w:val="00507967"/>
    <w:rsid w:val="00513D2E"/>
    <w:rsid w:val="00517375"/>
    <w:rsid w:val="00544F3E"/>
    <w:rsid w:val="00545C46"/>
    <w:rsid w:val="00562A66"/>
    <w:rsid w:val="005763A0"/>
    <w:rsid w:val="00576EE8"/>
    <w:rsid w:val="00586AC4"/>
    <w:rsid w:val="00587C58"/>
    <w:rsid w:val="005A0393"/>
    <w:rsid w:val="005A564B"/>
    <w:rsid w:val="005B267D"/>
    <w:rsid w:val="005B33F8"/>
    <w:rsid w:val="005B3CAC"/>
    <w:rsid w:val="005C092E"/>
    <w:rsid w:val="005C280C"/>
    <w:rsid w:val="005C7AED"/>
    <w:rsid w:val="005E268A"/>
    <w:rsid w:val="005E7864"/>
    <w:rsid w:val="006123DD"/>
    <w:rsid w:val="006455ED"/>
    <w:rsid w:val="0065162C"/>
    <w:rsid w:val="00655042"/>
    <w:rsid w:val="00655B2E"/>
    <w:rsid w:val="006675F9"/>
    <w:rsid w:val="00682A61"/>
    <w:rsid w:val="006B30BC"/>
    <w:rsid w:val="006B3788"/>
    <w:rsid w:val="006C508D"/>
    <w:rsid w:val="006E7497"/>
    <w:rsid w:val="0070779A"/>
    <w:rsid w:val="00707DBD"/>
    <w:rsid w:val="00714640"/>
    <w:rsid w:val="00715017"/>
    <w:rsid w:val="00715E32"/>
    <w:rsid w:val="00724FD6"/>
    <w:rsid w:val="007412A9"/>
    <w:rsid w:val="00741B83"/>
    <w:rsid w:val="00756CF1"/>
    <w:rsid w:val="007618A7"/>
    <w:rsid w:val="00782400"/>
    <w:rsid w:val="00784F20"/>
    <w:rsid w:val="007A17B0"/>
    <w:rsid w:val="007A7169"/>
    <w:rsid w:val="007B0D02"/>
    <w:rsid w:val="007B7B7C"/>
    <w:rsid w:val="007E2D65"/>
    <w:rsid w:val="007E7FC0"/>
    <w:rsid w:val="007F6BF9"/>
    <w:rsid w:val="00801AE1"/>
    <w:rsid w:val="00802BBF"/>
    <w:rsid w:val="0080365E"/>
    <w:rsid w:val="008059C0"/>
    <w:rsid w:val="008067BA"/>
    <w:rsid w:val="0081477A"/>
    <w:rsid w:val="0082725B"/>
    <w:rsid w:val="00830143"/>
    <w:rsid w:val="008320D2"/>
    <w:rsid w:val="00832BB9"/>
    <w:rsid w:val="00866CDA"/>
    <w:rsid w:val="00873A72"/>
    <w:rsid w:val="0089184D"/>
    <w:rsid w:val="0089222B"/>
    <w:rsid w:val="00896DC4"/>
    <w:rsid w:val="00897216"/>
    <w:rsid w:val="008A46C9"/>
    <w:rsid w:val="008C6285"/>
    <w:rsid w:val="008E108F"/>
    <w:rsid w:val="008E1FA2"/>
    <w:rsid w:val="008F5F9F"/>
    <w:rsid w:val="009003B6"/>
    <w:rsid w:val="00911053"/>
    <w:rsid w:val="009134A6"/>
    <w:rsid w:val="00916D03"/>
    <w:rsid w:val="00923722"/>
    <w:rsid w:val="00923759"/>
    <w:rsid w:val="0092795D"/>
    <w:rsid w:val="00945234"/>
    <w:rsid w:val="00947706"/>
    <w:rsid w:val="0095059B"/>
    <w:rsid w:val="00951E70"/>
    <w:rsid w:val="00955A6A"/>
    <w:rsid w:val="00957C30"/>
    <w:rsid w:val="009630CF"/>
    <w:rsid w:val="00973B95"/>
    <w:rsid w:val="00973D1D"/>
    <w:rsid w:val="009A4C32"/>
    <w:rsid w:val="009A6C11"/>
    <w:rsid w:val="009B24D2"/>
    <w:rsid w:val="009B36FF"/>
    <w:rsid w:val="009E48E3"/>
    <w:rsid w:val="009E57CC"/>
    <w:rsid w:val="009E7D84"/>
    <w:rsid w:val="009F4AB8"/>
    <w:rsid w:val="00A14B56"/>
    <w:rsid w:val="00A201AF"/>
    <w:rsid w:val="00A20B31"/>
    <w:rsid w:val="00A351B1"/>
    <w:rsid w:val="00A3543B"/>
    <w:rsid w:val="00A67BFD"/>
    <w:rsid w:val="00A706C1"/>
    <w:rsid w:val="00A70B39"/>
    <w:rsid w:val="00A8531C"/>
    <w:rsid w:val="00AA01FC"/>
    <w:rsid w:val="00AA3361"/>
    <w:rsid w:val="00AB7F42"/>
    <w:rsid w:val="00AC4A03"/>
    <w:rsid w:val="00AC7150"/>
    <w:rsid w:val="00AD6D87"/>
    <w:rsid w:val="00AE6470"/>
    <w:rsid w:val="00AF71A7"/>
    <w:rsid w:val="00B077B8"/>
    <w:rsid w:val="00B14A87"/>
    <w:rsid w:val="00B236BD"/>
    <w:rsid w:val="00B31CD6"/>
    <w:rsid w:val="00B32E71"/>
    <w:rsid w:val="00B40224"/>
    <w:rsid w:val="00B40693"/>
    <w:rsid w:val="00B408E1"/>
    <w:rsid w:val="00B41019"/>
    <w:rsid w:val="00B4156E"/>
    <w:rsid w:val="00B429C3"/>
    <w:rsid w:val="00B42A1D"/>
    <w:rsid w:val="00B80C65"/>
    <w:rsid w:val="00B81CD8"/>
    <w:rsid w:val="00B87DB9"/>
    <w:rsid w:val="00B9106A"/>
    <w:rsid w:val="00B91917"/>
    <w:rsid w:val="00B94039"/>
    <w:rsid w:val="00B95D2D"/>
    <w:rsid w:val="00BA3BB1"/>
    <w:rsid w:val="00BB0665"/>
    <w:rsid w:val="00BB499C"/>
    <w:rsid w:val="00BD3409"/>
    <w:rsid w:val="00C05CCD"/>
    <w:rsid w:val="00C23A1B"/>
    <w:rsid w:val="00C24ACE"/>
    <w:rsid w:val="00C374C9"/>
    <w:rsid w:val="00C40303"/>
    <w:rsid w:val="00C41A50"/>
    <w:rsid w:val="00C425BB"/>
    <w:rsid w:val="00C55868"/>
    <w:rsid w:val="00C56986"/>
    <w:rsid w:val="00C61276"/>
    <w:rsid w:val="00C71794"/>
    <w:rsid w:val="00C84267"/>
    <w:rsid w:val="00C87E83"/>
    <w:rsid w:val="00C93BFA"/>
    <w:rsid w:val="00C93ED6"/>
    <w:rsid w:val="00CA31AA"/>
    <w:rsid w:val="00CA5E5F"/>
    <w:rsid w:val="00CA6261"/>
    <w:rsid w:val="00CB3352"/>
    <w:rsid w:val="00CC2280"/>
    <w:rsid w:val="00CC44BD"/>
    <w:rsid w:val="00CE51A8"/>
    <w:rsid w:val="00CE54D6"/>
    <w:rsid w:val="00CE74CB"/>
    <w:rsid w:val="00CF6932"/>
    <w:rsid w:val="00D05863"/>
    <w:rsid w:val="00D1260C"/>
    <w:rsid w:val="00D17138"/>
    <w:rsid w:val="00D17F1F"/>
    <w:rsid w:val="00D40CEF"/>
    <w:rsid w:val="00D46F48"/>
    <w:rsid w:val="00D70C50"/>
    <w:rsid w:val="00D728B1"/>
    <w:rsid w:val="00D73B94"/>
    <w:rsid w:val="00D7790E"/>
    <w:rsid w:val="00D77EA4"/>
    <w:rsid w:val="00D83646"/>
    <w:rsid w:val="00D8376D"/>
    <w:rsid w:val="00D83BB7"/>
    <w:rsid w:val="00D90FD8"/>
    <w:rsid w:val="00D9468A"/>
    <w:rsid w:val="00D957A5"/>
    <w:rsid w:val="00DA0627"/>
    <w:rsid w:val="00DA2189"/>
    <w:rsid w:val="00DA51A7"/>
    <w:rsid w:val="00DA799E"/>
    <w:rsid w:val="00DB0D94"/>
    <w:rsid w:val="00DC590E"/>
    <w:rsid w:val="00DC6FB5"/>
    <w:rsid w:val="00DC74CA"/>
    <w:rsid w:val="00DD73B8"/>
    <w:rsid w:val="00DE4DE6"/>
    <w:rsid w:val="00DF0A47"/>
    <w:rsid w:val="00DF7958"/>
    <w:rsid w:val="00E21B27"/>
    <w:rsid w:val="00E30110"/>
    <w:rsid w:val="00E3115C"/>
    <w:rsid w:val="00E40AA8"/>
    <w:rsid w:val="00E66795"/>
    <w:rsid w:val="00E807A6"/>
    <w:rsid w:val="00E9599E"/>
    <w:rsid w:val="00EA6E7E"/>
    <w:rsid w:val="00EB4DF9"/>
    <w:rsid w:val="00ED3C40"/>
    <w:rsid w:val="00ED5382"/>
    <w:rsid w:val="00EE35CD"/>
    <w:rsid w:val="00EF496B"/>
    <w:rsid w:val="00F05B7A"/>
    <w:rsid w:val="00F25437"/>
    <w:rsid w:val="00F36611"/>
    <w:rsid w:val="00F51A17"/>
    <w:rsid w:val="00F60629"/>
    <w:rsid w:val="00F626B9"/>
    <w:rsid w:val="00F635FF"/>
    <w:rsid w:val="00F82080"/>
    <w:rsid w:val="00F932E2"/>
    <w:rsid w:val="00FA2DC8"/>
    <w:rsid w:val="00FA3935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35E7D"/>
  <w14:defaultImageDpi w14:val="32767"/>
  <w15:chartTrackingRefBased/>
  <w15:docId w15:val="{081C6ABB-6660-DA4E-A6CA-923AAF8C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Lemieux</dc:creator>
  <cp:keywords/>
  <dc:description/>
  <cp:lastModifiedBy>Simon Lemieux</cp:lastModifiedBy>
  <cp:revision>2</cp:revision>
  <dcterms:created xsi:type="dcterms:W3CDTF">2020-10-29T23:42:00Z</dcterms:created>
  <dcterms:modified xsi:type="dcterms:W3CDTF">2021-01-22T01:28:00Z</dcterms:modified>
</cp:coreProperties>
</file>