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08" w:type="dxa"/>
        <w:tblInd w:w="-142" w:type="dxa"/>
        <w:tblLook w:val="04A0" w:firstRow="1" w:lastRow="0" w:firstColumn="1" w:lastColumn="0" w:noHBand="0" w:noVBand="1"/>
      </w:tblPr>
      <w:tblGrid>
        <w:gridCol w:w="1328"/>
        <w:gridCol w:w="87"/>
        <w:gridCol w:w="1814"/>
        <w:gridCol w:w="32"/>
        <w:gridCol w:w="1097"/>
        <w:gridCol w:w="127"/>
        <w:gridCol w:w="10"/>
        <w:gridCol w:w="566"/>
        <w:gridCol w:w="496"/>
        <w:gridCol w:w="53"/>
        <w:gridCol w:w="94"/>
        <w:gridCol w:w="867"/>
        <w:gridCol w:w="488"/>
        <w:gridCol w:w="1378"/>
        <w:gridCol w:w="68"/>
        <w:gridCol w:w="173"/>
        <w:gridCol w:w="1065"/>
        <w:gridCol w:w="45"/>
        <w:gridCol w:w="87"/>
        <w:gridCol w:w="1182"/>
        <w:gridCol w:w="14"/>
        <w:gridCol w:w="2132"/>
        <w:gridCol w:w="1105"/>
      </w:tblGrid>
      <w:tr w:rsidR="00F424D9" w:rsidRPr="00184119" w14:paraId="7E11F3D1" w14:textId="77777777" w:rsidTr="00E2633F">
        <w:trPr>
          <w:trHeight w:val="297"/>
        </w:trPr>
        <w:tc>
          <w:tcPr>
            <w:tcW w:w="65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B0102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  <w:u w:val="single"/>
                <w:lang w:val="en-US"/>
              </w:rPr>
            </w:pPr>
            <w:bookmarkStart w:id="0" w:name="_GoBack"/>
            <w:bookmarkEnd w:id="0"/>
            <w:r w:rsidRPr="00184119">
              <w:rPr>
                <w:rFonts w:eastAsia="Calibri"/>
                <w:b/>
                <w:sz w:val="20"/>
                <w:szCs w:val="20"/>
                <w:u w:val="single"/>
                <w:lang w:val="en-US"/>
              </w:rPr>
              <w:t xml:space="preserve">S17 Text: </w:t>
            </w:r>
            <w:r>
              <w:rPr>
                <w:rFonts w:eastAsia="Calibri"/>
                <w:b/>
                <w:sz w:val="20"/>
                <w:szCs w:val="20"/>
                <w:u w:val="single"/>
                <w:lang w:val="en-US"/>
              </w:rPr>
              <w:t>Overview of Findings by Study</w:t>
            </w:r>
            <w:r w:rsidRPr="00184119">
              <w:rPr>
                <w:rFonts w:eastAsia="Calibri"/>
                <w:b/>
                <w:sz w:val="20"/>
                <w:szCs w:val="20"/>
                <w:u w:val="single"/>
                <w:lang w:val="en-US"/>
              </w:rPr>
              <w:t>,</w:t>
            </w: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184119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 xml:space="preserve">Self-Reported </w:t>
            </w:r>
            <w:r w:rsidRPr="00184119">
              <w:rPr>
                <w:rFonts w:eastAsia="Calibri"/>
                <w:b/>
                <w:i/>
                <w:sz w:val="20"/>
                <w:szCs w:val="20"/>
                <w:u w:val="single"/>
                <w:lang w:val="en-US"/>
              </w:rPr>
              <w:t xml:space="preserve">Opioid Use </w:t>
            </w:r>
          </w:p>
        </w:tc>
        <w:tc>
          <w:tcPr>
            <w:tcW w:w="33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2AEBA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5D8EE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0079D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0F41D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424D9" w:rsidRPr="00184119" w14:paraId="105A6CAF" w14:textId="77777777" w:rsidTr="00E2633F">
        <w:trPr>
          <w:trHeight w:val="692"/>
        </w:trPr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39FBA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Author, Year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34D5B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Outcome Description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B6B08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Control Group: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5FCFA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Control Group: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6F263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DAB90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B86DC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Author Reported Conclusions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16DB4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Final Timepoint (Weeks)</w:t>
            </w:r>
          </w:p>
        </w:tc>
      </w:tr>
      <w:tr w:rsidR="00F424D9" w:rsidRPr="00184119" w14:paraId="145656D4" w14:textId="77777777" w:rsidTr="00E2633F">
        <w:trPr>
          <w:trHeight w:val="266"/>
        </w:trPr>
        <w:tc>
          <w:tcPr>
            <w:tcW w:w="867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78082454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 xml:space="preserve">Percent of Patients Reporting Opioid Use in the Previous Month 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6B66918A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58EA520B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/>
          </w:tcPr>
          <w:p w14:paraId="305A5407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424D9" w:rsidRPr="00184119" w14:paraId="5917E1C2" w14:textId="77777777" w:rsidTr="00E2633F">
        <w:trPr>
          <w:trHeight w:val="1125"/>
        </w:trPr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4DC507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Jaffray, 2014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8C785A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Proportion of patients using illicit heroin in the last 30 days.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F21A98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OAT Only: 153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F30378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48 (31.4%)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D91306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MI: 182 </w:t>
            </w:r>
          </w:p>
        </w:tc>
        <w:tc>
          <w:tcPr>
            <w:tcW w:w="23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BB8D8B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59 (32.4%)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31E876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between groups were found (p&gt;.05).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AFBDFA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26</w:t>
            </w:r>
          </w:p>
        </w:tc>
      </w:tr>
      <w:tr w:rsidR="00F424D9" w:rsidRPr="00184119" w14:paraId="562EC88A" w14:textId="77777777" w:rsidTr="00E2633F">
        <w:trPr>
          <w:trHeight w:val="814"/>
        </w:trPr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3CA353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526472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E43337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8DC1F7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56D34E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F5487A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EA54CC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C40634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424D9" w:rsidRPr="00184119" w14:paraId="3308463B" w14:textId="77777777" w:rsidTr="00E2633F">
        <w:trPr>
          <w:trHeight w:val="762"/>
        </w:trPr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D03331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Author, Year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48CF91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Outcome Description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4FD5AD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Control Group: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C52C30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Control Group: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3CD4D9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 1: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BE7780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 1: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FB4E34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 2: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F3FF87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 2: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9EA154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Author Reported Conclusions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9FF1B4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Final Timepoint (Weeks)</w:t>
            </w:r>
          </w:p>
        </w:tc>
      </w:tr>
      <w:tr w:rsidR="00F424D9" w:rsidRPr="00184119" w14:paraId="7CB57E64" w14:textId="77777777" w:rsidTr="00E2633F">
        <w:trPr>
          <w:trHeight w:val="259"/>
        </w:trPr>
        <w:tc>
          <w:tcPr>
            <w:tcW w:w="13203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EECE1"/>
          </w:tcPr>
          <w:p w14:paraId="5F7B15FB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i/>
                <w:color w:val="000000"/>
                <w:sz w:val="20"/>
                <w:szCs w:val="20"/>
                <w:u w:val="single"/>
                <w:lang w:val="en-US"/>
              </w:rPr>
              <w:t>Reported Opioids Use in the Previous Month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EECE1"/>
          </w:tcPr>
          <w:p w14:paraId="10072224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424D9" w:rsidRPr="00184119" w14:paraId="1A690EBC" w14:textId="77777777" w:rsidTr="00E2633F">
        <w:trPr>
          <w:trHeight w:val="762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9BEAED3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Woody, 1987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5AF18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Self-reported use (number of days) of heroin in the past 30 days.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AE86A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C: 31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92E2EE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2 (1)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18ACB0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PSEP: 28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5A8E3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3 (2)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CFB36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CBT: 34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E0C13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2 (2)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5B321D5A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Significant differences were found which favoured the two psychotherapy groups (p&lt;.05).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2C9CE77A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52</w:t>
            </w:r>
          </w:p>
        </w:tc>
      </w:tr>
      <w:tr w:rsidR="00F424D9" w:rsidRPr="00184119" w14:paraId="26802117" w14:textId="77777777" w:rsidTr="00E2633F">
        <w:trPr>
          <w:trHeight w:val="762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B670CDA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Catalano, 1999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4D6C5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Mean times using heroin in the previous month.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019A8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C: 55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3536EC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19.7 (36.8)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8BCFF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SBPT: 75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7647E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6.9 (15.8)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71828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167CF7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74C4DFAD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between groups were found (p&gt;.05).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3FC5E8C8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52</w:t>
            </w:r>
          </w:p>
        </w:tc>
      </w:tr>
      <w:tr w:rsidR="00F424D9" w:rsidRPr="00184119" w14:paraId="710C8284" w14:textId="77777777" w:rsidTr="00E2633F">
        <w:trPr>
          <w:trHeight w:val="762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C82406E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Hser, 2011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E83F7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Self-reported opiate use in past 30 days.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4989ED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OAT Only: 159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3D11DA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3.1 (7.1)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2C059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CM: 160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9DC3D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4.2 (7.5)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82FC0E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C9481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27A9F69A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No significant differences between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lastRenderedPageBreak/>
              <w:t>groups were found (p&gt;.05).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3E662E57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lastRenderedPageBreak/>
              <w:t>24</w:t>
            </w:r>
          </w:p>
        </w:tc>
      </w:tr>
      <w:tr w:rsidR="00F424D9" w:rsidRPr="00184119" w14:paraId="1F267B1D" w14:textId="77777777" w:rsidTr="00E2633F">
        <w:trPr>
          <w:trHeight w:val="762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7F7E3AA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fr-FR"/>
              </w:rPr>
              <w:t>Jiang, 2012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59ED7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Self-reported use (number of days) of heroin in the past 30 days. 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B6CC8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sz w:val="20"/>
                <w:szCs w:val="20"/>
                <w:lang w:val="en-US"/>
              </w:rPr>
              <w:t>C: 62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5903DB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sz w:val="20"/>
                <w:szCs w:val="20"/>
                <w:lang w:val="en-US"/>
              </w:rPr>
              <w:t>0.2 (0.1)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F5C22B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sz w:val="20"/>
                <w:szCs w:val="20"/>
                <w:lang w:val="en-US"/>
              </w:rPr>
              <w:t>C + CM + MI: 63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6F51D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sz w:val="20"/>
                <w:szCs w:val="20"/>
                <w:lang w:val="en-US"/>
              </w:rPr>
              <w:t>0.3 (1.7)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963F5D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9A6DB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7D52F1C0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between groups were found (p&gt;.05).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72115CEA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F424D9" w:rsidRPr="00184119" w14:paraId="63806119" w14:textId="77777777" w:rsidTr="00E2633F">
        <w:trPr>
          <w:trHeight w:val="266"/>
        </w:trPr>
        <w:tc>
          <w:tcPr>
            <w:tcW w:w="6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224DD5FD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i/>
                <w:color w:val="000000"/>
                <w:sz w:val="20"/>
                <w:szCs w:val="20"/>
                <w:u w:val="single"/>
                <w:lang w:val="en-US"/>
              </w:rPr>
              <w:t xml:space="preserve">Reported Opioids Use </w:t>
            </w:r>
            <w:r w:rsidRPr="00184119">
              <w:rPr>
                <w:rFonts w:eastAsia="Calibri"/>
                <w:bCs/>
                <w:i/>
                <w:color w:val="000000"/>
                <w:sz w:val="20"/>
                <w:szCs w:val="20"/>
                <w:u w:val="single"/>
                <w:lang w:val="en-US"/>
              </w:rPr>
              <w:t>in the Previous Week</w:t>
            </w:r>
          </w:p>
        </w:tc>
        <w:tc>
          <w:tcPr>
            <w:tcW w:w="3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1F170535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512F81DE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269603A8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64170DFC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424D9" w:rsidRPr="00184119" w14:paraId="0D0AE7F0" w14:textId="77777777" w:rsidTr="00E2633F">
        <w:trPr>
          <w:trHeight w:val="762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9F324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Fiellin, 2006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19DF8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Mean self-reported frequency of illicit opioid use per week.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661088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C: 56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4F849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060248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EMM: 56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F923E14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44867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3A67AA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0DA7D335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between groups were found (p&gt;.05).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7A5E41B0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F424D9" w:rsidRPr="00184119" w14:paraId="2E413F45" w14:textId="77777777" w:rsidTr="00E2633F">
        <w:trPr>
          <w:trHeight w:val="762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0A459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Fiellin, 2013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DD315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Mean self-reported frequency of illicit opioid use per week.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7A412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C: 71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E1F67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679C98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CBT: 70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9EF3589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572BB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6F3EFB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27D0153A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between groups were found (p&gt;.05).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74CB1714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F424D9" w:rsidRPr="00184119" w14:paraId="54FD6E50" w14:textId="77777777" w:rsidTr="00E2633F">
        <w:trPr>
          <w:trHeight w:val="218"/>
        </w:trPr>
        <w:tc>
          <w:tcPr>
            <w:tcW w:w="5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18250E37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i/>
                <w:color w:val="000000"/>
                <w:sz w:val="20"/>
                <w:szCs w:val="20"/>
                <w:u w:val="single"/>
                <w:lang w:val="en-US"/>
              </w:rPr>
              <w:t xml:space="preserve">Reported Opioids </w:t>
            </w:r>
            <w:r w:rsidRPr="00184119">
              <w:rPr>
                <w:rFonts w:eastAsia="Calibri"/>
                <w:bCs/>
                <w:i/>
                <w:color w:val="000000"/>
                <w:sz w:val="20"/>
                <w:szCs w:val="20"/>
                <w:u w:val="single"/>
                <w:lang w:val="en-US"/>
              </w:rPr>
              <w:t>Use Per Day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609F06C8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4FD40657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14040FB9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7ADBF70F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63A1E5E5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424D9" w:rsidRPr="00184119" w14:paraId="1E485E31" w14:textId="77777777" w:rsidTr="00E2633F">
        <w:trPr>
          <w:trHeight w:val="762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DD106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Preston, 2000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8A47B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Mean frequency of opioid use per day.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4E5AB93B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C: 28 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80EF45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sz w:val="20"/>
                <w:szCs w:val="20"/>
                <w:lang w:val="en-US"/>
              </w:rPr>
              <w:t>0.39 (0.6)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7CD95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 + CM: 29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346AAB7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sz w:val="20"/>
                <w:szCs w:val="20"/>
                <w:lang w:val="en-US"/>
              </w:rPr>
              <w:t>0.26 (0.4)</w:t>
            </w:r>
          </w:p>
          <w:p w14:paraId="5910034C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B6C20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4FE896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709A779D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between groups were found (p&gt;.05).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70EBB9EB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28</w:t>
            </w:r>
          </w:p>
        </w:tc>
      </w:tr>
      <w:tr w:rsidR="00F424D9" w:rsidRPr="00184119" w14:paraId="5B0298A0" w14:textId="77777777" w:rsidTr="00E2633F">
        <w:trPr>
          <w:trHeight w:val="70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22DFA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Preston, 2002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AC828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Mean self-reported frequency of heroin use per day.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589D756E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C: 55  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AEE111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D166D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CM: 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E5237D9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58189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B7286F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5B96DE9F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The C+CM group had a significantly greater reduction in frequency of use than the counselling group (p &lt; 0.05).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45E771B9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F424D9" w:rsidRPr="00184119" w14:paraId="5564E6AD" w14:textId="77777777" w:rsidTr="00E2633F">
        <w:trPr>
          <w:trHeight w:val="762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62AD6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lastRenderedPageBreak/>
              <w:t>Moore, 2013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61F1F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Mean frequency of self-reported opioid use per day.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5DA4B7C2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C: 18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2A82F8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F1060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CBT: 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E541A20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B2302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FAADFD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64F18778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between groups were found (p&gt;.05).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20E6E827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F424D9" w:rsidRPr="00184119" w14:paraId="31930769" w14:textId="77777777" w:rsidTr="00E2633F">
        <w:trPr>
          <w:trHeight w:val="205"/>
        </w:trPr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1AF251C4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Cs/>
                <w:i/>
                <w:color w:val="000000"/>
                <w:sz w:val="20"/>
                <w:szCs w:val="20"/>
                <w:u w:val="single"/>
                <w:lang w:val="en-US"/>
              </w:rPr>
              <w:t>Opioid Treatment Index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5D379AA7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3934D954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3B822B21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0BBD72FF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7DF16A96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424D9" w:rsidRPr="00184119" w14:paraId="3A4C31A7" w14:textId="77777777" w:rsidTr="00E2633F">
        <w:trPr>
          <w:trHeight w:val="2342"/>
        </w:trPr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9017FD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Amini-Lari, 2017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F544BC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The Persian-validated version of the opioid treatment index was administered. A score of at least 0.14 is needed to diagnose regular opiate use (</w:t>
            </w:r>
            <w:proofErr w:type="gramStart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i.e.</w:t>
            </w:r>
            <w:proofErr w:type="gramEnd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at least weekly use). In this study, the OTI was modified to assess demographics and opiate use in the last 30 days.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5ADC00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OAT Only: 59 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B6E7EF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0.8 (95% Confidence Interval: 0.4-1.3)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EC8017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CBT: 59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FA91AC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sz w:val="20"/>
                <w:szCs w:val="20"/>
                <w:lang w:val="en-US"/>
              </w:rPr>
              <w:t>0.2 (95% Confidence Interval: 0.1-0.3)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B370D7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FCD487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721296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The CBT group had a significantly greater reduction in frequency of use than the OAT only group (p &lt; 0.05).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3FF2A4" w14:textId="77777777" w:rsidR="00F424D9" w:rsidRPr="00184119" w:rsidRDefault="00F424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12</w:t>
            </w:r>
          </w:p>
        </w:tc>
      </w:tr>
    </w:tbl>
    <w:p w14:paraId="1819B6BA" w14:textId="77777777" w:rsidR="00F424D9" w:rsidRPr="00184119" w:rsidRDefault="00F424D9" w:rsidP="00F424D9">
      <w:pPr>
        <w:spacing w:after="200" w:line="276" w:lineRule="auto"/>
        <w:rPr>
          <w:rFonts w:eastAsia="Calibri"/>
          <w:sz w:val="20"/>
          <w:szCs w:val="20"/>
          <w:lang w:val="en-US"/>
        </w:rPr>
      </w:pPr>
      <w:r w:rsidRPr="00184119">
        <w:rPr>
          <w:rFonts w:eastAsia="Calibri"/>
          <w:i/>
          <w:sz w:val="20"/>
          <w:szCs w:val="20"/>
          <w:lang w:val="en-US"/>
        </w:rPr>
        <w:t xml:space="preserve">Note. </w:t>
      </w:r>
      <w:r w:rsidRPr="00184119">
        <w:rPr>
          <w:rFonts w:eastAsia="Calibri"/>
          <w:sz w:val="20"/>
          <w:szCs w:val="20"/>
          <w:lang w:val="en-US"/>
        </w:rPr>
        <w:t>CBT = Cognitive Behavioural Therapy, CM = Contingency Management, C = Counselling, EMM = Enhanced Medical Management, MI = Motivational Interviewing, OAT = Opioid Agonist Treatment, PSEP = Psychoanalytic Supportive-Expressive Psychotherapy, SBPT = Skills Based Parental Training</w:t>
      </w:r>
    </w:p>
    <w:p w14:paraId="4CBA6DBB" w14:textId="77777777" w:rsidR="00D952BA" w:rsidRDefault="00F424D9"/>
    <w:sectPr w:rsidR="00D952BA" w:rsidSect="00F424D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D9"/>
    <w:rsid w:val="00055D5B"/>
    <w:rsid w:val="0006680D"/>
    <w:rsid w:val="00085E7C"/>
    <w:rsid w:val="00105F57"/>
    <w:rsid w:val="00106802"/>
    <w:rsid w:val="0011491C"/>
    <w:rsid w:val="001751DA"/>
    <w:rsid w:val="0017772A"/>
    <w:rsid w:val="00183AA3"/>
    <w:rsid w:val="0018614A"/>
    <w:rsid w:val="001963BD"/>
    <w:rsid w:val="001E2433"/>
    <w:rsid w:val="001F58A0"/>
    <w:rsid w:val="00210639"/>
    <w:rsid w:val="00216B30"/>
    <w:rsid w:val="00235F16"/>
    <w:rsid w:val="002366D0"/>
    <w:rsid w:val="00237746"/>
    <w:rsid w:val="00243B08"/>
    <w:rsid w:val="002609D4"/>
    <w:rsid w:val="0027301E"/>
    <w:rsid w:val="002A03CE"/>
    <w:rsid w:val="002B2387"/>
    <w:rsid w:val="002E07B6"/>
    <w:rsid w:val="0030408A"/>
    <w:rsid w:val="00314625"/>
    <w:rsid w:val="003153D7"/>
    <w:rsid w:val="00360AAE"/>
    <w:rsid w:val="00396A14"/>
    <w:rsid w:val="00396A65"/>
    <w:rsid w:val="00396C07"/>
    <w:rsid w:val="00396CD9"/>
    <w:rsid w:val="003B73F2"/>
    <w:rsid w:val="003D3B2D"/>
    <w:rsid w:val="003F2CDE"/>
    <w:rsid w:val="003F3C80"/>
    <w:rsid w:val="004103E9"/>
    <w:rsid w:val="00412D41"/>
    <w:rsid w:val="00434D0C"/>
    <w:rsid w:val="004463A3"/>
    <w:rsid w:val="00450E09"/>
    <w:rsid w:val="004970A4"/>
    <w:rsid w:val="004A7FB1"/>
    <w:rsid w:val="00576965"/>
    <w:rsid w:val="005859E2"/>
    <w:rsid w:val="00591CF0"/>
    <w:rsid w:val="00591F75"/>
    <w:rsid w:val="005E4A31"/>
    <w:rsid w:val="006078B3"/>
    <w:rsid w:val="006135D7"/>
    <w:rsid w:val="00657E32"/>
    <w:rsid w:val="00683879"/>
    <w:rsid w:val="00692202"/>
    <w:rsid w:val="006B3863"/>
    <w:rsid w:val="006B5298"/>
    <w:rsid w:val="006E1ED6"/>
    <w:rsid w:val="007041AE"/>
    <w:rsid w:val="00726FC7"/>
    <w:rsid w:val="00736E67"/>
    <w:rsid w:val="00737517"/>
    <w:rsid w:val="00757674"/>
    <w:rsid w:val="00792A98"/>
    <w:rsid w:val="007B419E"/>
    <w:rsid w:val="007E695A"/>
    <w:rsid w:val="007F083C"/>
    <w:rsid w:val="008429FF"/>
    <w:rsid w:val="00871777"/>
    <w:rsid w:val="0088228E"/>
    <w:rsid w:val="00887C67"/>
    <w:rsid w:val="008A2708"/>
    <w:rsid w:val="008D31E7"/>
    <w:rsid w:val="008E69C7"/>
    <w:rsid w:val="00905170"/>
    <w:rsid w:val="0092352D"/>
    <w:rsid w:val="009E49BA"/>
    <w:rsid w:val="00A07801"/>
    <w:rsid w:val="00A15114"/>
    <w:rsid w:val="00A2511E"/>
    <w:rsid w:val="00A80DE7"/>
    <w:rsid w:val="00AB1B5B"/>
    <w:rsid w:val="00AC2989"/>
    <w:rsid w:val="00AD04E6"/>
    <w:rsid w:val="00AD4F06"/>
    <w:rsid w:val="00AF0FD9"/>
    <w:rsid w:val="00AF6495"/>
    <w:rsid w:val="00B22197"/>
    <w:rsid w:val="00B37D66"/>
    <w:rsid w:val="00B75D68"/>
    <w:rsid w:val="00BC50A8"/>
    <w:rsid w:val="00BE57FD"/>
    <w:rsid w:val="00BF5631"/>
    <w:rsid w:val="00BF7C9C"/>
    <w:rsid w:val="00C575D0"/>
    <w:rsid w:val="00C92148"/>
    <w:rsid w:val="00CA17C2"/>
    <w:rsid w:val="00CC7C6F"/>
    <w:rsid w:val="00CD7C0C"/>
    <w:rsid w:val="00D45CDD"/>
    <w:rsid w:val="00D61DB1"/>
    <w:rsid w:val="00DA2D4A"/>
    <w:rsid w:val="00DC237F"/>
    <w:rsid w:val="00E15742"/>
    <w:rsid w:val="00E32613"/>
    <w:rsid w:val="00E43668"/>
    <w:rsid w:val="00E53545"/>
    <w:rsid w:val="00ED0E56"/>
    <w:rsid w:val="00ED31CC"/>
    <w:rsid w:val="00F25222"/>
    <w:rsid w:val="00F424D9"/>
    <w:rsid w:val="00F55A5C"/>
    <w:rsid w:val="00F606C3"/>
    <w:rsid w:val="00F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0962D"/>
  <w15:chartTrackingRefBased/>
  <w15:docId w15:val="{0791C7E4-E57C-D14D-8447-FCAFB8F8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4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F75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Rice</dc:creator>
  <cp:keywords/>
  <dc:description/>
  <cp:lastModifiedBy>Danielle Rice</cp:lastModifiedBy>
  <cp:revision>1</cp:revision>
  <dcterms:created xsi:type="dcterms:W3CDTF">2020-12-06T17:29:00Z</dcterms:created>
  <dcterms:modified xsi:type="dcterms:W3CDTF">2020-12-06T17:30:00Z</dcterms:modified>
</cp:coreProperties>
</file>