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687" w:rsidRDefault="007805A5" w:rsidP="008B1687">
      <w:pPr>
        <w:pStyle w:val="Heading1"/>
      </w:pPr>
      <w:r>
        <w:t>S2</w:t>
      </w:r>
      <w:r w:rsidR="008B1687">
        <w:t>. Additional search details</w:t>
      </w:r>
    </w:p>
    <w:tbl>
      <w:tblPr>
        <w:tblStyle w:val="TableGrid"/>
        <w:tblW w:w="11904" w:type="dxa"/>
        <w:tblLook w:val="04A0" w:firstRow="1" w:lastRow="0" w:firstColumn="1" w:lastColumn="0" w:noHBand="0" w:noVBand="1"/>
      </w:tblPr>
      <w:tblGrid>
        <w:gridCol w:w="1795"/>
        <w:gridCol w:w="5054"/>
        <w:gridCol w:w="5055"/>
      </w:tblGrid>
      <w:tr w:rsidR="008B1687" w:rsidTr="009866F7">
        <w:trPr>
          <w:tblHeader/>
        </w:trPr>
        <w:tc>
          <w:tcPr>
            <w:tcW w:w="1795" w:type="dxa"/>
            <w:shd w:val="clear" w:color="auto" w:fill="D9D9D9" w:themeFill="background1" w:themeFillShade="D9"/>
          </w:tcPr>
          <w:p w:rsidR="008B1687" w:rsidRPr="008B1687" w:rsidRDefault="008B1687" w:rsidP="008B1687">
            <w:pPr>
              <w:spacing w:line="276" w:lineRule="auto"/>
              <w:jc w:val="both"/>
              <w:rPr>
                <w:rFonts w:cstheme="minorHAnsi"/>
                <w:b/>
                <w:szCs w:val="24"/>
              </w:rPr>
            </w:pPr>
          </w:p>
        </w:tc>
        <w:tc>
          <w:tcPr>
            <w:tcW w:w="5054" w:type="dxa"/>
            <w:shd w:val="clear" w:color="auto" w:fill="D9D9D9" w:themeFill="background1" w:themeFillShade="D9"/>
          </w:tcPr>
          <w:p w:rsidR="008B1687" w:rsidRPr="008B1687" w:rsidRDefault="008B1687" w:rsidP="008B1687">
            <w:pPr>
              <w:spacing w:line="276" w:lineRule="auto"/>
              <w:jc w:val="both"/>
              <w:rPr>
                <w:rFonts w:cstheme="minorHAnsi"/>
                <w:b/>
                <w:szCs w:val="24"/>
              </w:rPr>
            </w:pPr>
            <w:r w:rsidRPr="008B1687">
              <w:rPr>
                <w:rFonts w:cstheme="minorHAnsi"/>
                <w:b/>
                <w:szCs w:val="24"/>
              </w:rPr>
              <w:t>Randomized controlled trials</w:t>
            </w:r>
          </w:p>
        </w:tc>
        <w:tc>
          <w:tcPr>
            <w:tcW w:w="5055" w:type="dxa"/>
            <w:shd w:val="clear" w:color="auto" w:fill="D9D9D9" w:themeFill="background1" w:themeFillShade="D9"/>
          </w:tcPr>
          <w:p w:rsidR="008B1687" w:rsidRPr="008B1687" w:rsidRDefault="008B1687" w:rsidP="008B1687">
            <w:pPr>
              <w:spacing w:line="276" w:lineRule="auto"/>
              <w:jc w:val="both"/>
              <w:rPr>
                <w:rFonts w:cstheme="minorHAnsi"/>
                <w:b/>
                <w:szCs w:val="24"/>
              </w:rPr>
            </w:pPr>
            <w:r w:rsidRPr="008B1687">
              <w:rPr>
                <w:rFonts w:cstheme="minorHAnsi"/>
                <w:b/>
                <w:szCs w:val="24"/>
              </w:rPr>
              <w:t>Comparative observational studies</w:t>
            </w:r>
          </w:p>
        </w:tc>
      </w:tr>
      <w:tr w:rsidR="008B1687" w:rsidTr="009866F7">
        <w:tc>
          <w:tcPr>
            <w:tcW w:w="1795" w:type="dxa"/>
            <w:shd w:val="clear" w:color="auto" w:fill="D9D9D9" w:themeFill="background1" w:themeFillShade="D9"/>
          </w:tcPr>
          <w:p w:rsidR="008B1687" w:rsidRPr="008B1687" w:rsidRDefault="008B1687" w:rsidP="008B1687">
            <w:pPr>
              <w:spacing w:line="276" w:lineRule="auto"/>
              <w:rPr>
                <w:rFonts w:cstheme="minorHAnsi"/>
                <w:b/>
                <w:szCs w:val="24"/>
              </w:rPr>
            </w:pPr>
            <w:r w:rsidRPr="008B1687">
              <w:rPr>
                <w:rFonts w:cstheme="minorHAnsi"/>
                <w:b/>
                <w:szCs w:val="24"/>
              </w:rPr>
              <w:t>Databases and dates</w:t>
            </w:r>
          </w:p>
        </w:tc>
        <w:tc>
          <w:tcPr>
            <w:tcW w:w="5054" w:type="dxa"/>
          </w:tcPr>
          <w:p w:rsidR="008B1687" w:rsidRDefault="008B1687" w:rsidP="008B1687">
            <w:pPr>
              <w:pStyle w:val="ListParagraph"/>
              <w:numPr>
                <w:ilvl w:val="0"/>
                <w:numId w:val="1"/>
              </w:numPr>
              <w:spacing w:line="276" w:lineRule="auto"/>
              <w:ind w:left="196" w:hanging="196"/>
              <w:contextualSpacing w:val="0"/>
              <w:rPr>
                <w:rFonts w:cstheme="minorHAnsi"/>
                <w:szCs w:val="24"/>
              </w:rPr>
            </w:pPr>
            <w:r w:rsidRPr="00761B0A">
              <w:rPr>
                <w:rFonts w:cstheme="minorHAnsi"/>
                <w:szCs w:val="24"/>
              </w:rPr>
              <w:t>M</w:t>
            </w:r>
            <w:r w:rsidR="007B3095">
              <w:rPr>
                <w:rFonts w:cstheme="minorHAnsi"/>
                <w:szCs w:val="24"/>
              </w:rPr>
              <w:t>EDLINE</w:t>
            </w:r>
            <w:r w:rsidRPr="00761B0A">
              <w:rPr>
                <w:rFonts w:cstheme="minorHAnsi"/>
                <w:szCs w:val="24"/>
              </w:rPr>
              <w:t xml:space="preserve"> and M</w:t>
            </w:r>
            <w:r w:rsidR="007B3095">
              <w:rPr>
                <w:rFonts w:cstheme="minorHAnsi"/>
                <w:szCs w:val="24"/>
              </w:rPr>
              <w:t>EDLINE</w:t>
            </w:r>
            <w:r w:rsidRPr="00761B0A">
              <w:rPr>
                <w:rFonts w:cstheme="minorHAnsi"/>
                <w:szCs w:val="24"/>
              </w:rPr>
              <w:t xml:space="preserve"> in Process via OVID</w:t>
            </w:r>
            <w:r>
              <w:rPr>
                <w:rFonts w:cstheme="minorHAnsi"/>
                <w:szCs w:val="24"/>
              </w:rPr>
              <w:t xml:space="preserve"> (1957-2019)</w:t>
            </w:r>
          </w:p>
          <w:p w:rsidR="008B1687" w:rsidRDefault="008B1687" w:rsidP="008B1687">
            <w:pPr>
              <w:pStyle w:val="ListParagraph"/>
              <w:numPr>
                <w:ilvl w:val="0"/>
                <w:numId w:val="1"/>
              </w:numPr>
              <w:spacing w:line="276" w:lineRule="auto"/>
              <w:ind w:left="196" w:hanging="196"/>
              <w:contextualSpacing w:val="0"/>
              <w:rPr>
                <w:rFonts w:cstheme="minorHAnsi"/>
                <w:szCs w:val="24"/>
              </w:rPr>
            </w:pPr>
            <w:r w:rsidRPr="00761B0A">
              <w:rPr>
                <w:rFonts w:cstheme="minorHAnsi"/>
                <w:szCs w:val="24"/>
              </w:rPr>
              <w:t>Embase Classic + Embase via OVID</w:t>
            </w:r>
            <w:r>
              <w:rPr>
                <w:rFonts w:cstheme="minorHAnsi"/>
                <w:szCs w:val="24"/>
              </w:rPr>
              <w:t xml:space="preserve"> (1947-2019)</w:t>
            </w:r>
          </w:p>
          <w:p w:rsidR="008B1687" w:rsidRDefault="008B1687" w:rsidP="008B1687">
            <w:pPr>
              <w:pStyle w:val="ListParagraph"/>
              <w:numPr>
                <w:ilvl w:val="0"/>
                <w:numId w:val="1"/>
              </w:numPr>
              <w:spacing w:line="276" w:lineRule="auto"/>
              <w:ind w:left="196" w:hanging="196"/>
              <w:contextualSpacing w:val="0"/>
              <w:rPr>
                <w:rFonts w:cstheme="minorHAnsi"/>
                <w:szCs w:val="24"/>
              </w:rPr>
            </w:pPr>
            <w:r w:rsidRPr="00D90A7C">
              <w:rPr>
                <w:rFonts w:cstheme="minorHAnsi"/>
                <w:szCs w:val="24"/>
              </w:rPr>
              <w:t>Cochrane Library including EBM Reviews - Cochrane Central Register of Controlled Trials (1991 – 201</w:t>
            </w:r>
            <w:r>
              <w:rPr>
                <w:rFonts w:cstheme="minorHAnsi"/>
                <w:szCs w:val="24"/>
              </w:rPr>
              <w:t>9</w:t>
            </w:r>
            <w:r w:rsidRPr="00D90A7C">
              <w:rPr>
                <w:rFonts w:cstheme="minorHAnsi"/>
                <w:szCs w:val="24"/>
              </w:rPr>
              <w:t>)</w:t>
            </w:r>
          </w:p>
          <w:p w:rsidR="008B1687" w:rsidRDefault="008B1687" w:rsidP="008B1687">
            <w:pPr>
              <w:pStyle w:val="ListParagraph"/>
              <w:numPr>
                <w:ilvl w:val="0"/>
                <w:numId w:val="1"/>
              </w:numPr>
              <w:spacing w:line="276" w:lineRule="auto"/>
              <w:ind w:left="196" w:hanging="196"/>
              <w:contextualSpacing w:val="0"/>
              <w:rPr>
                <w:rFonts w:cstheme="minorHAnsi"/>
                <w:szCs w:val="24"/>
              </w:rPr>
            </w:pPr>
            <w:r w:rsidRPr="00D90A7C">
              <w:rPr>
                <w:rFonts w:cstheme="minorHAnsi"/>
                <w:szCs w:val="24"/>
              </w:rPr>
              <w:t>EBM Reviews - Cochrane Database of Systematic Reviews (2005 – 201</w:t>
            </w:r>
            <w:r>
              <w:rPr>
                <w:rFonts w:cstheme="minorHAnsi"/>
                <w:szCs w:val="24"/>
              </w:rPr>
              <w:t>9)</w:t>
            </w:r>
          </w:p>
          <w:p w:rsidR="008B1687" w:rsidRPr="008B1687" w:rsidRDefault="008B1687" w:rsidP="008B1687">
            <w:pPr>
              <w:pStyle w:val="ListParagraph"/>
              <w:numPr>
                <w:ilvl w:val="0"/>
                <w:numId w:val="1"/>
              </w:numPr>
              <w:spacing w:line="276" w:lineRule="auto"/>
              <w:ind w:left="196" w:hanging="196"/>
              <w:contextualSpacing w:val="0"/>
              <w:rPr>
                <w:rFonts w:cstheme="minorHAnsi"/>
                <w:szCs w:val="24"/>
              </w:rPr>
            </w:pPr>
            <w:r w:rsidRPr="00D90A7C">
              <w:rPr>
                <w:rFonts w:cstheme="minorHAnsi"/>
                <w:szCs w:val="24"/>
              </w:rPr>
              <w:t>EBM Reviews - Database of Abstracts of Reviews of Effects (1st Quarter 2016)</w:t>
            </w:r>
          </w:p>
        </w:tc>
        <w:tc>
          <w:tcPr>
            <w:tcW w:w="5055" w:type="dxa"/>
          </w:tcPr>
          <w:p w:rsidR="008B1687" w:rsidRDefault="008B1687" w:rsidP="008B1687">
            <w:pPr>
              <w:pStyle w:val="ListParagraph"/>
              <w:numPr>
                <w:ilvl w:val="0"/>
                <w:numId w:val="1"/>
              </w:numPr>
              <w:spacing w:line="276" w:lineRule="auto"/>
              <w:ind w:left="196" w:hanging="196"/>
              <w:contextualSpacing w:val="0"/>
              <w:rPr>
                <w:rFonts w:cstheme="minorHAnsi"/>
                <w:szCs w:val="24"/>
              </w:rPr>
            </w:pPr>
            <w:r w:rsidRPr="00761B0A">
              <w:rPr>
                <w:rFonts w:cstheme="minorHAnsi"/>
                <w:szCs w:val="24"/>
              </w:rPr>
              <w:t>M</w:t>
            </w:r>
            <w:r w:rsidR="007B3095">
              <w:rPr>
                <w:rFonts w:cstheme="minorHAnsi"/>
                <w:szCs w:val="24"/>
              </w:rPr>
              <w:t>EDLINE</w:t>
            </w:r>
            <w:r w:rsidRPr="00761B0A">
              <w:rPr>
                <w:rFonts w:cstheme="minorHAnsi"/>
                <w:szCs w:val="24"/>
              </w:rPr>
              <w:t xml:space="preserve"> and M</w:t>
            </w:r>
            <w:r w:rsidR="007B3095">
              <w:rPr>
                <w:rFonts w:cstheme="minorHAnsi"/>
                <w:szCs w:val="24"/>
              </w:rPr>
              <w:t>EDLINE</w:t>
            </w:r>
            <w:r w:rsidRPr="00761B0A">
              <w:rPr>
                <w:rFonts w:cstheme="minorHAnsi"/>
                <w:szCs w:val="24"/>
              </w:rPr>
              <w:t xml:space="preserve"> in Process via OVID</w:t>
            </w:r>
            <w:r>
              <w:rPr>
                <w:rFonts w:cstheme="minorHAnsi"/>
                <w:szCs w:val="24"/>
              </w:rPr>
              <w:t xml:space="preserve"> (1957-2019)</w:t>
            </w:r>
          </w:p>
          <w:p w:rsidR="008B1687" w:rsidRPr="008B1687" w:rsidRDefault="008B1687" w:rsidP="008B1687">
            <w:pPr>
              <w:pStyle w:val="ListParagraph"/>
              <w:numPr>
                <w:ilvl w:val="0"/>
                <w:numId w:val="1"/>
              </w:numPr>
              <w:spacing w:line="276" w:lineRule="auto"/>
              <w:ind w:left="196" w:hanging="196"/>
              <w:contextualSpacing w:val="0"/>
              <w:rPr>
                <w:rFonts w:cstheme="minorHAnsi"/>
                <w:szCs w:val="24"/>
              </w:rPr>
            </w:pPr>
            <w:r w:rsidRPr="008B1687">
              <w:rPr>
                <w:rFonts w:cstheme="minorHAnsi"/>
                <w:szCs w:val="24"/>
              </w:rPr>
              <w:t>Embase Classic + Embase via OVID</w:t>
            </w:r>
            <w:r>
              <w:rPr>
                <w:rFonts w:cstheme="minorHAnsi"/>
                <w:szCs w:val="24"/>
              </w:rPr>
              <w:t xml:space="preserve"> (1947-2019)</w:t>
            </w:r>
          </w:p>
        </w:tc>
      </w:tr>
      <w:tr w:rsidR="008B1687" w:rsidTr="009866F7">
        <w:tc>
          <w:tcPr>
            <w:tcW w:w="1795" w:type="dxa"/>
            <w:shd w:val="clear" w:color="auto" w:fill="D9D9D9" w:themeFill="background1" w:themeFillShade="D9"/>
          </w:tcPr>
          <w:p w:rsidR="008B1687" w:rsidRPr="008B1687" w:rsidRDefault="008B1687" w:rsidP="008B1687">
            <w:pPr>
              <w:spacing w:line="276" w:lineRule="auto"/>
              <w:jc w:val="both"/>
              <w:rPr>
                <w:rFonts w:cstheme="minorHAnsi"/>
                <w:b/>
                <w:szCs w:val="24"/>
              </w:rPr>
            </w:pPr>
            <w:r>
              <w:rPr>
                <w:rFonts w:cstheme="minorHAnsi"/>
                <w:b/>
                <w:szCs w:val="24"/>
              </w:rPr>
              <w:t>Search dates</w:t>
            </w:r>
          </w:p>
        </w:tc>
        <w:tc>
          <w:tcPr>
            <w:tcW w:w="5054" w:type="dxa"/>
          </w:tcPr>
          <w:p w:rsidR="008B1687" w:rsidRPr="008B1687" w:rsidRDefault="008B1687" w:rsidP="008B1687">
            <w:pPr>
              <w:spacing w:line="276" w:lineRule="auto"/>
              <w:rPr>
                <w:rFonts w:cstheme="minorHAnsi"/>
                <w:szCs w:val="24"/>
              </w:rPr>
            </w:pPr>
            <w:r>
              <w:rPr>
                <w:rFonts w:cstheme="minorHAnsi"/>
                <w:szCs w:val="24"/>
              </w:rPr>
              <w:t>January 2000 to November 26, 2019</w:t>
            </w:r>
          </w:p>
        </w:tc>
        <w:tc>
          <w:tcPr>
            <w:tcW w:w="5055" w:type="dxa"/>
          </w:tcPr>
          <w:p w:rsidR="008B1687" w:rsidRPr="008B1687" w:rsidRDefault="008B1687" w:rsidP="008B1687">
            <w:pPr>
              <w:spacing w:line="276" w:lineRule="auto"/>
              <w:rPr>
                <w:rFonts w:cstheme="minorHAnsi"/>
                <w:szCs w:val="24"/>
              </w:rPr>
            </w:pPr>
            <w:r>
              <w:rPr>
                <w:rFonts w:cstheme="minorHAnsi"/>
                <w:szCs w:val="24"/>
              </w:rPr>
              <w:t>January 2000 to November 26, 2019</w:t>
            </w:r>
          </w:p>
        </w:tc>
      </w:tr>
      <w:tr w:rsidR="008B1687" w:rsidTr="009866F7">
        <w:tc>
          <w:tcPr>
            <w:tcW w:w="1795" w:type="dxa"/>
            <w:shd w:val="clear" w:color="auto" w:fill="D9D9D9" w:themeFill="background1" w:themeFillShade="D9"/>
          </w:tcPr>
          <w:p w:rsidR="008B1687" w:rsidRPr="008B1687" w:rsidRDefault="008B1687" w:rsidP="008B1687">
            <w:pPr>
              <w:spacing w:line="276" w:lineRule="auto"/>
              <w:jc w:val="both"/>
              <w:rPr>
                <w:rFonts w:cstheme="minorHAnsi"/>
                <w:b/>
                <w:szCs w:val="24"/>
              </w:rPr>
            </w:pPr>
            <w:r w:rsidRPr="008B1687">
              <w:rPr>
                <w:rFonts w:cstheme="minorHAnsi"/>
                <w:b/>
                <w:szCs w:val="24"/>
              </w:rPr>
              <w:t>Search filters</w:t>
            </w:r>
          </w:p>
        </w:tc>
        <w:tc>
          <w:tcPr>
            <w:tcW w:w="5054" w:type="dxa"/>
          </w:tcPr>
          <w:p w:rsidR="008B1687" w:rsidRDefault="008B1687" w:rsidP="008B1687">
            <w:pPr>
              <w:pStyle w:val="ListParagraph"/>
              <w:numPr>
                <w:ilvl w:val="0"/>
                <w:numId w:val="3"/>
              </w:numPr>
              <w:spacing w:line="276" w:lineRule="auto"/>
              <w:ind w:left="166" w:hanging="166"/>
              <w:rPr>
                <w:rFonts w:cstheme="minorHAnsi"/>
              </w:rPr>
            </w:pPr>
            <w:r w:rsidRPr="008B1687">
              <w:rPr>
                <w:rFonts w:cstheme="minorHAnsi"/>
              </w:rPr>
              <w:t>Embase: Scottish Intercollegiate Guidelines Network (SIGN) filter (</w:t>
            </w:r>
            <w:hyperlink r:id="rId5" w:history="1">
              <w:r w:rsidRPr="008B1687">
                <w:rPr>
                  <w:rStyle w:val="Hyperlink"/>
                  <w:rFonts w:eastAsiaTheme="majorEastAsia" w:cstheme="minorHAnsi"/>
                </w:rPr>
                <w:t>https://www.sign.ac.uk/search-filters.html</w:t>
              </w:r>
            </w:hyperlink>
            <w:r w:rsidRPr="008B1687">
              <w:rPr>
                <w:rStyle w:val="Hyperlink"/>
                <w:rFonts w:eastAsiaTheme="majorEastAsia" w:cstheme="minorHAnsi"/>
              </w:rPr>
              <w:t>)</w:t>
            </w:r>
          </w:p>
          <w:p w:rsidR="008B1687" w:rsidRPr="008B1687" w:rsidRDefault="008B1687" w:rsidP="008B1687">
            <w:pPr>
              <w:pStyle w:val="ListParagraph"/>
              <w:numPr>
                <w:ilvl w:val="0"/>
                <w:numId w:val="3"/>
              </w:numPr>
              <w:spacing w:line="276" w:lineRule="auto"/>
              <w:ind w:left="166" w:hanging="166"/>
              <w:rPr>
                <w:rFonts w:cstheme="minorHAnsi"/>
              </w:rPr>
            </w:pPr>
            <w:r w:rsidRPr="008B1687">
              <w:rPr>
                <w:rFonts w:cstheme="minorHAnsi"/>
              </w:rPr>
              <w:t>All other databases: Cochrane Highly Sensitive Search Strategy (</w:t>
            </w:r>
            <w:hyperlink r:id="rId6" w:history="1">
              <w:r w:rsidRPr="008B1687">
                <w:rPr>
                  <w:rStyle w:val="Hyperlink"/>
                  <w:rFonts w:eastAsiaTheme="majorEastAsia" w:cstheme="minorHAnsi"/>
                </w:rPr>
                <w:t>https://work.cochrane.org/pubmed</w:t>
              </w:r>
            </w:hyperlink>
            <w:r w:rsidRPr="008B1687">
              <w:rPr>
                <w:rStyle w:val="Hyperlink"/>
                <w:rFonts w:eastAsiaTheme="majorEastAsia" w:cstheme="minorHAnsi"/>
              </w:rPr>
              <w:t>)</w:t>
            </w:r>
            <w:r w:rsidRPr="008B1687">
              <w:rPr>
                <w:rFonts w:cstheme="minorHAnsi"/>
              </w:rPr>
              <w:t>, sensitivity- and precision-maximizing version (2008 revision)</w:t>
            </w:r>
          </w:p>
        </w:tc>
        <w:tc>
          <w:tcPr>
            <w:tcW w:w="5055" w:type="dxa"/>
          </w:tcPr>
          <w:p w:rsidR="008B1687" w:rsidRPr="009866F7" w:rsidRDefault="009866F7" w:rsidP="009866F7">
            <w:pPr>
              <w:pStyle w:val="ListParagraph"/>
              <w:numPr>
                <w:ilvl w:val="0"/>
                <w:numId w:val="3"/>
              </w:numPr>
              <w:spacing w:line="276" w:lineRule="auto"/>
              <w:ind w:left="151" w:hanging="151"/>
              <w:rPr>
                <w:rFonts w:cstheme="minorHAnsi"/>
                <w:szCs w:val="24"/>
              </w:rPr>
            </w:pPr>
            <w:r>
              <w:rPr>
                <w:rFonts w:cstheme="minorHAnsi"/>
                <w:szCs w:val="24"/>
              </w:rPr>
              <w:t xml:space="preserve">An adapted version of </w:t>
            </w:r>
            <w:r w:rsidRPr="00A202A2">
              <w:rPr>
                <w:rFonts w:cstheme="minorHAnsi"/>
              </w:rPr>
              <w:t>Scottish Intercollegiate Guidelines Network (SIGN) filter (</w:t>
            </w:r>
            <w:hyperlink r:id="rId7" w:history="1">
              <w:r w:rsidRPr="00A202A2">
                <w:rPr>
                  <w:rStyle w:val="Hyperlink"/>
                  <w:rFonts w:eastAsiaTheme="majorEastAsia" w:cstheme="minorHAnsi"/>
                </w:rPr>
                <w:t>https://www.sign.ac.uk/search-filters.html</w:t>
              </w:r>
            </w:hyperlink>
            <w:r w:rsidRPr="00A202A2">
              <w:rPr>
                <w:rStyle w:val="Hyperlink"/>
                <w:rFonts w:eastAsiaTheme="majorEastAsia" w:cstheme="minorHAnsi"/>
              </w:rPr>
              <w:t>)</w:t>
            </w:r>
          </w:p>
        </w:tc>
      </w:tr>
      <w:tr w:rsidR="008B1687" w:rsidTr="009866F7">
        <w:tc>
          <w:tcPr>
            <w:tcW w:w="1795" w:type="dxa"/>
            <w:shd w:val="clear" w:color="auto" w:fill="D9D9D9" w:themeFill="background1" w:themeFillShade="D9"/>
          </w:tcPr>
          <w:p w:rsidR="008B1687" w:rsidRPr="008B1687" w:rsidRDefault="008B1687" w:rsidP="004E317D">
            <w:pPr>
              <w:spacing w:line="276" w:lineRule="auto"/>
              <w:rPr>
                <w:rFonts w:cstheme="minorHAnsi"/>
                <w:b/>
                <w:szCs w:val="24"/>
              </w:rPr>
            </w:pPr>
            <w:r w:rsidRPr="008B1687">
              <w:rPr>
                <w:rFonts w:cstheme="minorHAnsi"/>
                <w:b/>
                <w:szCs w:val="24"/>
              </w:rPr>
              <w:t>Grey literature</w:t>
            </w:r>
            <w:r>
              <w:rPr>
                <w:rFonts w:cstheme="minorHAnsi"/>
                <w:b/>
                <w:szCs w:val="24"/>
              </w:rPr>
              <w:t xml:space="preserve"> (same </w:t>
            </w:r>
            <w:r w:rsidR="004E317D">
              <w:rPr>
                <w:rFonts w:cstheme="minorHAnsi"/>
                <w:b/>
                <w:szCs w:val="24"/>
              </w:rPr>
              <w:t>for</w:t>
            </w:r>
            <w:r>
              <w:rPr>
                <w:rFonts w:cstheme="minorHAnsi"/>
                <w:b/>
                <w:szCs w:val="24"/>
              </w:rPr>
              <w:t xml:space="preserve"> </w:t>
            </w:r>
            <w:r w:rsidR="004E317D">
              <w:rPr>
                <w:rFonts w:cstheme="minorHAnsi"/>
                <w:b/>
                <w:szCs w:val="24"/>
              </w:rPr>
              <w:t>all</w:t>
            </w:r>
            <w:r>
              <w:rPr>
                <w:rFonts w:cstheme="minorHAnsi"/>
                <w:b/>
                <w:szCs w:val="24"/>
              </w:rPr>
              <w:t xml:space="preserve"> study designs)</w:t>
            </w:r>
          </w:p>
        </w:tc>
        <w:tc>
          <w:tcPr>
            <w:tcW w:w="10109" w:type="dxa"/>
            <w:gridSpan w:val="2"/>
          </w:tcPr>
          <w:p w:rsidR="004E317D" w:rsidRPr="004E317D" w:rsidRDefault="004E317D" w:rsidP="004E317D">
            <w:pPr>
              <w:spacing w:line="276" w:lineRule="auto"/>
              <w:rPr>
                <w:rFonts w:cstheme="minorHAnsi"/>
                <w:szCs w:val="24"/>
              </w:rPr>
            </w:pPr>
            <w:r>
              <w:rPr>
                <w:rFonts w:cstheme="minorHAnsi"/>
                <w:szCs w:val="24"/>
              </w:rPr>
              <w:t>To identify relevant literature published at any time, we searched the following websites:</w:t>
            </w:r>
          </w:p>
          <w:p w:rsidR="008B1687" w:rsidRPr="008B1687" w:rsidRDefault="008B1687" w:rsidP="008B1687">
            <w:pPr>
              <w:pStyle w:val="ListParagraph"/>
              <w:numPr>
                <w:ilvl w:val="0"/>
                <w:numId w:val="2"/>
              </w:numPr>
              <w:spacing w:line="276" w:lineRule="auto"/>
              <w:ind w:left="166" w:hanging="166"/>
              <w:rPr>
                <w:rFonts w:cstheme="minorHAnsi"/>
                <w:szCs w:val="24"/>
              </w:rPr>
            </w:pPr>
            <w:r w:rsidRPr="008B1687">
              <w:rPr>
                <w:rFonts w:cstheme="minorHAnsi"/>
              </w:rPr>
              <w:t>Society of Obstetricians and Gynaecologists of Canada (SOGC)</w:t>
            </w:r>
          </w:p>
          <w:p w:rsidR="008B1687" w:rsidRPr="008B1687" w:rsidRDefault="008B1687" w:rsidP="008B1687">
            <w:pPr>
              <w:pStyle w:val="ListParagraph"/>
              <w:numPr>
                <w:ilvl w:val="0"/>
                <w:numId w:val="2"/>
              </w:numPr>
              <w:spacing w:line="276" w:lineRule="auto"/>
              <w:ind w:left="166" w:hanging="166"/>
              <w:rPr>
                <w:rFonts w:cstheme="minorHAnsi"/>
                <w:szCs w:val="24"/>
              </w:rPr>
            </w:pPr>
            <w:r w:rsidRPr="008B1687">
              <w:rPr>
                <w:rFonts w:cstheme="minorHAnsi"/>
              </w:rPr>
              <w:t>The American College of Obstetricians and Gynecologists (ACOG)</w:t>
            </w:r>
          </w:p>
          <w:p w:rsidR="008B1687" w:rsidRPr="008B1687" w:rsidRDefault="008B1687" w:rsidP="008B1687">
            <w:pPr>
              <w:pStyle w:val="ListParagraph"/>
              <w:numPr>
                <w:ilvl w:val="0"/>
                <w:numId w:val="2"/>
              </w:numPr>
              <w:spacing w:line="276" w:lineRule="auto"/>
              <w:ind w:left="166" w:hanging="166"/>
              <w:rPr>
                <w:rFonts w:cstheme="minorHAnsi"/>
                <w:szCs w:val="24"/>
              </w:rPr>
            </w:pPr>
            <w:r w:rsidRPr="008B1687">
              <w:rPr>
                <w:rFonts w:cstheme="minorHAnsi"/>
              </w:rPr>
              <w:t>American Journal of Obstetrics and Gynecology (AJOG)</w:t>
            </w:r>
          </w:p>
          <w:p w:rsidR="008B1687" w:rsidRPr="008B1687" w:rsidRDefault="008B1687" w:rsidP="008B1687">
            <w:pPr>
              <w:pStyle w:val="ListParagraph"/>
              <w:numPr>
                <w:ilvl w:val="0"/>
                <w:numId w:val="2"/>
              </w:numPr>
              <w:spacing w:line="276" w:lineRule="auto"/>
              <w:ind w:left="166" w:hanging="166"/>
              <w:rPr>
                <w:rFonts w:cstheme="minorHAnsi"/>
                <w:szCs w:val="24"/>
              </w:rPr>
            </w:pPr>
            <w:r w:rsidRPr="008B1687">
              <w:rPr>
                <w:rFonts w:cstheme="minorHAnsi"/>
              </w:rPr>
              <w:t>National Health Service (NHS)</w:t>
            </w:r>
          </w:p>
          <w:p w:rsidR="008B1687" w:rsidRPr="008B1687" w:rsidRDefault="008B1687" w:rsidP="008B1687">
            <w:pPr>
              <w:pStyle w:val="ListParagraph"/>
              <w:numPr>
                <w:ilvl w:val="0"/>
                <w:numId w:val="2"/>
              </w:numPr>
              <w:spacing w:line="276" w:lineRule="auto"/>
              <w:ind w:left="166" w:hanging="166"/>
              <w:rPr>
                <w:rFonts w:cstheme="minorHAnsi"/>
                <w:szCs w:val="24"/>
              </w:rPr>
            </w:pPr>
            <w:r w:rsidRPr="008B1687">
              <w:rPr>
                <w:rFonts w:cstheme="minorHAnsi"/>
              </w:rPr>
              <w:t>National Institute for Health and Care Excellence (NICE)</w:t>
            </w:r>
          </w:p>
          <w:p w:rsidR="008B1687" w:rsidRPr="008B1687" w:rsidRDefault="008B1687" w:rsidP="008B1687">
            <w:pPr>
              <w:pStyle w:val="ListParagraph"/>
              <w:numPr>
                <w:ilvl w:val="0"/>
                <w:numId w:val="2"/>
              </w:numPr>
              <w:spacing w:line="276" w:lineRule="auto"/>
              <w:ind w:left="166" w:hanging="166"/>
              <w:rPr>
                <w:rFonts w:cstheme="minorHAnsi"/>
                <w:szCs w:val="24"/>
              </w:rPr>
            </w:pPr>
            <w:r w:rsidRPr="008B1687">
              <w:rPr>
                <w:rFonts w:cstheme="minorHAnsi"/>
              </w:rPr>
              <w:lastRenderedPageBreak/>
              <w:t>Society for Maternal-Fetal Medicine (SMFM)</w:t>
            </w:r>
          </w:p>
          <w:p w:rsidR="008B1687" w:rsidRPr="008B1687" w:rsidRDefault="008B1687" w:rsidP="008B1687">
            <w:pPr>
              <w:pStyle w:val="ListParagraph"/>
              <w:numPr>
                <w:ilvl w:val="0"/>
                <w:numId w:val="2"/>
              </w:numPr>
              <w:spacing w:line="276" w:lineRule="auto"/>
              <w:ind w:left="166" w:hanging="166"/>
              <w:rPr>
                <w:rFonts w:cstheme="minorHAnsi"/>
                <w:szCs w:val="24"/>
              </w:rPr>
            </w:pPr>
            <w:r w:rsidRPr="008B1687">
              <w:rPr>
                <w:rFonts w:cstheme="minorHAnsi"/>
              </w:rPr>
              <w:t>Royal Australian and New Zealand College of Obstetricians and Gynaecologists (RANZCOG)</w:t>
            </w:r>
          </w:p>
          <w:p w:rsidR="004E317D" w:rsidRDefault="004E317D" w:rsidP="004E317D">
            <w:pPr>
              <w:spacing w:line="276" w:lineRule="auto"/>
              <w:rPr>
                <w:rFonts w:cstheme="minorHAnsi"/>
                <w:szCs w:val="24"/>
              </w:rPr>
            </w:pPr>
          </w:p>
          <w:p w:rsidR="004E317D" w:rsidRPr="004E317D" w:rsidRDefault="004E317D" w:rsidP="004E317D">
            <w:pPr>
              <w:spacing w:line="276" w:lineRule="auto"/>
              <w:rPr>
                <w:rFonts w:cstheme="minorHAnsi"/>
                <w:szCs w:val="24"/>
              </w:rPr>
            </w:pPr>
            <w:r>
              <w:rPr>
                <w:rFonts w:cstheme="minorHAnsi"/>
                <w:szCs w:val="24"/>
              </w:rPr>
              <w:t>Additionally, we searched:</w:t>
            </w:r>
          </w:p>
          <w:p w:rsidR="008B1687" w:rsidRPr="008B1687" w:rsidRDefault="004E317D" w:rsidP="008B1687">
            <w:pPr>
              <w:pStyle w:val="ListParagraph"/>
              <w:numPr>
                <w:ilvl w:val="0"/>
                <w:numId w:val="2"/>
              </w:numPr>
              <w:spacing w:line="276" w:lineRule="auto"/>
              <w:ind w:left="166" w:hanging="166"/>
              <w:rPr>
                <w:rFonts w:cstheme="minorHAnsi"/>
                <w:szCs w:val="24"/>
              </w:rPr>
            </w:pPr>
            <w:r>
              <w:rPr>
                <w:rFonts w:cstheme="minorHAnsi"/>
              </w:rPr>
              <w:t xml:space="preserve">The </w:t>
            </w:r>
            <w:r w:rsidR="008B1687">
              <w:rPr>
                <w:rFonts w:cstheme="minorHAnsi"/>
              </w:rPr>
              <w:t>bibliographi</w:t>
            </w:r>
            <w:r>
              <w:rPr>
                <w:rFonts w:cstheme="minorHAnsi"/>
              </w:rPr>
              <w:t xml:space="preserve">es of the </w:t>
            </w:r>
            <w:r w:rsidR="008B1687">
              <w:rPr>
                <w:rFonts w:cstheme="minorHAnsi"/>
              </w:rPr>
              <w:t>guidelines from the</w:t>
            </w:r>
            <w:r w:rsidR="008B1687" w:rsidRPr="00A202A2">
              <w:rPr>
                <w:rFonts w:cstheme="minorHAnsi"/>
              </w:rPr>
              <w:t xml:space="preserve"> four national guideline groups: SOGC</w:t>
            </w:r>
            <w:r>
              <w:rPr>
                <w:rFonts w:cstheme="minorHAnsi"/>
              </w:rPr>
              <w:t xml:space="preserve"> </w:t>
            </w:r>
            <w:r w:rsidR="008B1687" w:rsidRPr="00A202A2">
              <w:rPr>
                <w:rFonts w:cstheme="minorHAnsi"/>
              </w:rPr>
              <w:fldChar w:fldCharType="begin"/>
            </w:r>
            <w:r w:rsidR="009866F7">
              <w:rPr>
                <w:rFonts w:cstheme="minorHAnsi"/>
              </w:rPr>
              <w:instrText xml:space="preserve"> ADDIN ZOTERO_ITEM CSL_CITATION {"citationID":"LXTbM3Hp","properties":{"formattedCitation":"[1]","plainCitation":"[1]","noteIndex":0},"citationItems":[{"id":1393,"uris":["http://zotero.org/users/4806826/items/QI4JPKA2"],"uri":["http://zotero.org/users/4806826/items/QI4JPKA2"],"itemData":{"id":1393,"type":"article-journal","abstract":"Objective: To provide guidelines on use of anti-D prophylaxis to optimize prevention of rhesus (Rh) alloimmunization in Canadian women.","container-title":"J Obstet Gynaecol Can","issue":"9","language":"en","page":"765-773","source":"Zotero","title":"Prevention of Rh Alloimmunization. SOGC Clinical Practice Guidelines. No. 133","volume":"25","author":[{"literal":"Fung Kee Fung K, Eason E"}],"issued":{"date-parts":[["2003"]]}}}],"schema":"https://github.com/citation-style-language/schema/raw/master/csl-citation.json"} </w:instrText>
            </w:r>
            <w:r w:rsidR="008B1687" w:rsidRPr="00A202A2">
              <w:rPr>
                <w:rFonts w:cstheme="minorHAnsi"/>
              </w:rPr>
              <w:fldChar w:fldCharType="separate"/>
            </w:r>
            <w:r w:rsidR="009866F7" w:rsidRPr="009866F7">
              <w:rPr>
                <w:rFonts w:ascii="Calibri" w:hAnsi="Calibri" w:cs="Calibri"/>
              </w:rPr>
              <w:t>[1]</w:t>
            </w:r>
            <w:r w:rsidR="008B1687" w:rsidRPr="00A202A2">
              <w:rPr>
                <w:rFonts w:cstheme="minorHAnsi"/>
              </w:rPr>
              <w:fldChar w:fldCharType="end"/>
            </w:r>
            <w:r>
              <w:rPr>
                <w:rFonts w:cstheme="minorHAnsi"/>
              </w:rPr>
              <w:t>,</w:t>
            </w:r>
            <w:r w:rsidR="008B1687" w:rsidRPr="00A202A2">
              <w:rPr>
                <w:rFonts w:cstheme="minorHAnsi"/>
              </w:rPr>
              <w:t xml:space="preserve"> ACOG</w:t>
            </w:r>
            <w:r>
              <w:rPr>
                <w:rFonts w:cstheme="minorHAnsi"/>
              </w:rPr>
              <w:t xml:space="preserve"> </w:t>
            </w:r>
            <w:r w:rsidR="008B1687" w:rsidRPr="00A202A2">
              <w:rPr>
                <w:rFonts w:cstheme="minorHAnsi"/>
              </w:rPr>
              <w:fldChar w:fldCharType="begin"/>
            </w:r>
            <w:r w:rsidR="009866F7">
              <w:rPr>
                <w:rFonts w:cstheme="minorHAnsi"/>
              </w:rPr>
              <w:instrText xml:space="preserve"> ADDIN ZOTERO_ITEM CSL_CITATION {"citationID":"FH7s05YA","properties":{"formattedCitation":"[2,3]","plainCitation":"[2,3]","noteIndex":0},"citationItems":[{"id":5388,"uris":["http://zotero.org/users/4806826/items/7E9VIC2B"],"uri":["http://zotero.org/users/4806826/items/7E9VIC2B"],"itemData":{"id":5388,"type":"article-journal","abstract":"Advances in the prevention and treatment of Rh D alloimmunization have been one of the great success stories of modern obstetrics. There is wide variation in prevalence rates of Rh D-negative individuals between regions, for example from 5% in India to 15% in North America (1). However, high birth rates in low prevalence areas means Rh hemolytic disease of the newborn is still an important cause of morbidity and mortality in countries without prophylaxis programs (1). In such countries, 14% of affected fetuses are stillborn and one half of live born infants suffer neonatal death or brain injury (1). The routine use of Rh D immune globulin is responsible for the reduced rate of red cell alloimmunization in more economically developed countries. First introduced in the 1970s, the postpartum administration of Rh D immune globulin reduced the rate of alloimmunization in at-risk pregnancies from approximately 13–16% to approximately 0.5–1.8% (2, 3). The risk was further reduced to 0.14–0.2% with the addition of routine antepartum administration (2, 3). Despite considerable proof of efficacy, there are still a large number of cases of Rh D alloimmunization because of failure to follow established protocols. In addition, there are new data to help guide management, especially with regard to weak D phenotype women. The purpose of this document is to provide evidence-based guidance for the management of patients at risk of Rh D alloimmunization.","container-title":"Obstetrics &amp; Gynecology","DOI":"10.1097/AOG.0000000000002232","ISSN":"0029-7844","issue":"2","language":"en-US","page":"e57","source":"journals.lww.com","title":"Practice Bulletin No. 181: Prevention of Rh D Alloimmunization","title-short":"Practice Bulletin No. 181","volume":"130","author":[{"literal":"ACOG"}],"issued":{"date-parts":[["2017",8]]}}},{"id":5396,"uris":["http://zotero.org/users/4806826/items/FEELEGMZ"],"uri":["http://zotero.org/users/4806826/items/FEELEGMZ"],"itemData":{"id":5396,"type":"article-journal","abstract":"Red blood cell (RBC) sensitization occurs in some women in response to exposure to paternally derived RBC antigens during pregnancy or to nonself antigens on transfused RBCs during their lifetime. Once sensitized, future pregnancies may be at risk for hemolytic disease of the fetus and newborn. Although great strides have been made over the past few decades in terms of identifying blood group antigens and in predicting fetal anemia through the use of noninvasive monitoring, many questions remain in terms of understanding RBC alloimmunization risk factors, preventative therapies, and treatment strategies. At the present time, there is room for improvement in these areas in both developed and developing countries. Evidence-based, universal guidelines describing recommended RBC antigen matching transfusion strategies for girls or women, before pregnancy or during intrauterine transfusions, would be welcomed. A better understanding of the mechanism(s) of action of Rh immunoglobulin, first introduced more than half of a century ago and one of the most successful immunoprophylaxis therapies in existence today, would also be a large step forward. For example, answers to questions of the role(s) that fetal RBC clearance, antigen masking, antigen modulation, and immune suppression play in the effectiveness of Rh immunoglobulin may help to guide the development of novel preventative therapies during pregnancy for immunization to RhD and non-RhD antigens. Furthermore, a better understanding of the importance of anti-RhD or other alloantibody glycosylation patterns may be beneficial not only in developing such novel immunoprophylaxis therapies but also in predicting the clinical significance of existing maternal alloantibodies. One other area of need includes the development of therapies beyond intrauterine transfusions to mitigate the dangers of maternal alloantibodies to developing fetuses. We challenge physicians, scientists, and funding agencies to prioritize studies of RBC alloimmunization and hemolytic disease of the fetus and newborn and to invest in the children of our future.","container-title":"Transfusion Medicine Reviews","DOI":"10.1016/j.tmrv.2016.05.008","ISSN":"1532-9496","issue":"4","journalAbbreviation":"Transfus Med Rev","language":"eng","note":"PMID: 27397673","page":"159-164","source":"PubMed","title":"Hemolytic Disease of the Fetus and Newborn: Modern Practice and Future Investigations","title-short":"Hemolytic Disease of the Fetus and Newborn","volume":"30","author":[{"family":"Hendrickson","given":"Jeanne E."},{"family":"Delaney","given":"Meghan"}],"issued":{"date-parts":[["2016"]]}}}],"schema":"https://github.com/citation-style-language/schema/raw/master/csl-citation.json"} </w:instrText>
            </w:r>
            <w:r w:rsidR="008B1687" w:rsidRPr="00A202A2">
              <w:rPr>
                <w:rFonts w:cstheme="minorHAnsi"/>
              </w:rPr>
              <w:fldChar w:fldCharType="separate"/>
            </w:r>
            <w:r w:rsidR="009866F7" w:rsidRPr="009866F7">
              <w:rPr>
                <w:rFonts w:ascii="Calibri" w:hAnsi="Calibri" w:cs="Calibri"/>
              </w:rPr>
              <w:t>[2,3]</w:t>
            </w:r>
            <w:r w:rsidR="008B1687" w:rsidRPr="00A202A2">
              <w:rPr>
                <w:rFonts w:cstheme="minorHAnsi"/>
              </w:rPr>
              <w:fldChar w:fldCharType="end"/>
            </w:r>
            <w:r>
              <w:rPr>
                <w:rFonts w:cstheme="minorHAnsi"/>
              </w:rPr>
              <w:t>,</w:t>
            </w:r>
            <w:r w:rsidR="008B1687" w:rsidRPr="00A202A2">
              <w:rPr>
                <w:rFonts w:cstheme="minorHAnsi"/>
              </w:rPr>
              <w:t xml:space="preserve"> </w:t>
            </w:r>
            <w:r w:rsidR="008B1687">
              <w:rPr>
                <w:rFonts w:cstheme="minorHAnsi"/>
              </w:rPr>
              <w:t>the Royal College of Obstetricians and Gynaecologists (</w:t>
            </w:r>
            <w:r w:rsidR="008B1687" w:rsidRPr="00A202A2">
              <w:rPr>
                <w:rFonts w:cstheme="minorHAnsi"/>
              </w:rPr>
              <w:t>RCOG</w:t>
            </w:r>
            <w:r w:rsidR="008B1687">
              <w:rPr>
                <w:rFonts w:cstheme="minorHAnsi"/>
              </w:rPr>
              <w:t>)</w:t>
            </w:r>
            <w:r>
              <w:rPr>
                <w:rFonts w:cstheme="minorHAnsi"/>
              </w:rPr>
              <w:t xml:space="preserve"> </w:t>
            </w:r>
            <w:r w:rsidR="008B1687" w:rsidRPr="00A202A2">
              <w:rPr>
                <w:rFonts w:cstheme="minorHAnsi"/>
              </w:rPr>
              <w:fldChar w:fldCharType="begin"/>
            </w:r>
            <w:r w:rsidR="009866F7">
              <w:rPr>
                <w:rFonts w:cstheme="minorHAnsi"/>
              </w:rPr>
              <w:instrText xml:space="preserve"> ADDIN ZOTERO_ITEM CSL_CITATION {"citationID":"ZLyJreM0","properties":{"formattedCitation":"[4\\uc0\\u8211{}6]","plainCitation":"[4–6]","noteIndex":0},"citationItems":[{"id":5390,"uris":["http://zotero.org/users/4806826/items/N43JZY3C"],"uri":["http://zotero.org/users/4806826/items/N43JZY3C"],"itemData":{"id":5390,"type":"article","language":"English","publisher":"Royal College of Obstetricians and Gynaecologists","title":"Gestational Trophoblastic Disease (Green-top Guideline No. 38)","URL":"https://www.rcog.org.uk/en/guidelines-research-services/guidelines/gtg38/","author":[{"literal":"RCOG"}],"accessed":{"date-parts":[["2019",4,9]]},"issued":{"date-parts":[["2010"]]}}},{"id":5392,"uris":["http://zotero.org/users/4806826/items/MA5U3UP9"],"uri":["http://zotero.org/users/4806826/items/MA5U3UP9"],"itemData":{"id":5392,"type":"article","language":"English","publisher":"Royal College of Obstetricians and Gynaecologists","title":"Rhesus D Prophylaxis, The Use of Anti-D Immunoglobulin for (Green-top Guideline No. 22)","URL":"https://www.rcog.org.uk/en/guidelines-research-services/guidelines/gtg22/","author":[{"literal":"RCOG"}],"accessed":{"date-parts":[["2019",4,9]]},"issued":{"date-parts":[["2011"]]}}},{"id":5394,"uris":["http://zotero.org/users/4806826/items/NL2UERUT"],"uri":["http://zotero.org/users/4806826/items/NL2UERUT"],"itemData":{"id":5394,"type":"article","abstract":"The Management of Women with Red Cell Antibodies during Pregnancy Green-top Guideline","language":"English","publisher":"Royal College of Obstetricians and Gynaecologists","title":"Red Cell Antibodies during Pregnancy, The Management of Women with (Green-top Guideline No. 65)","URL":"https://www.rcog.org.uk/en/guidelines-research-services/guidelines/gtg65/","author":[{"literal":"RCOG"}],"accessed":{"date-parts":[["2019",4,9]]},"issued":{"date-parts":[["2014"]]}}}],"schema":"https://github.com/citation-style-language/schema/raw/master/csl-citation.json"} </w:instrText>
            </w:r>
            <w:r w:rsidR="008B1687" w:rsidRPr="00A202A2">
              <w:rPr>
                <w:rFonts w:cstheme="minorHAnsi"/>
              </w:rPr>
              <w:fldChar w:fldCharType="separate"/>
            </w:r>
            <w:r w:rsidR="009866F7" w:rsidRPr="009866F7">
              <w:rPr>
                <w:rFonts w:ascii="Calibri" w:hAnsi="Calibri" w:cs="Calibri"/>
                <w:szCs w:val="24"/>
              </w:rPr>
              <w:t>[4–6]</w:t>
            </w:r>
            <w:r w:rsidR="008B1687" w:rsidRPr="00A202A2">
              <w:rPr>
                <w:rFonts w:cstheme="minorHAnsi"/>
              </w:rPr>
              <w:fldChar w:fldCharType="end"/>
            </w:r>
            <w:r>
              <w:rPr>
                <w:rFonts w:cstheme="minorHAnsi"/>
              </w:rPr>
              <w:t>,</w:t>
            </w:r>
            <w:r w:rsidR="008B1687" w:rsidRPr="00A202A2">
              <w:rPr>
                <w:rFonts w:cstheme="minorHAnsi"/>
              </w:rPr>
              <w:t xml:space="preserve"> RANZCOG</w:t>
            </w:r>
            <w:r>
              <w:rPr>
                <w:rFonts w:cstheme="minorHAnsi"/>
              </w:rPr>
              <w:t xml:space="preserve"> </w:t>
            </w:r>
            <w:r w:rsidR="008B1687" w:rsidRPr="00A202A2">
              <w:rPr>
                <w:rFonts w:cstheme="minorHAnsi"/>
              </w:rPr>
              <w:fldChar w:fldCharType="begin"/>
            </w:r>
            <w:r w:rsidR="009866F7">
              <w:rPr>
                <w:rFonts w:cstheme="minorHAnsi"/>
              </w:rPr>
              <w:instrText xml:space="preserve"> ADDIN ZOTERO_ITEM CSL_CITATION {"citationID":"bq8rfr10","properties":{"formattedCitation":"[7]","plainCitation":"[7]","noteIndex":0},"citationItems":[{"id":5384,"uris":["http://zotero.org/users/4806826/items/5NR9U4LV"],"uri":["http://zotero.org/users/4806826/items/5NR9U4LV"],"itemData":{"id":5384,"type":"article","language":"English","title":"Guidelines for the use of Rh(D) Immunoglobulin (Anti-D) in obstetrics in Australia","URL":"http://www.ranzcog.edu.au/RANZCOG_SITE/media/RANZCOG-MEDIA/Women's%20Health/Statement%20and%20guidelines/Clinical-Obstetrics/Guidelines-for-the-use-of-Rh(D)-Immunoglobulin-(Anti-D)-(C-Obs-6)-Review-November-2015.pdf?ext=.pdf","author":[{"literal":"RANZCOG"}],"accessed":{"date-parts":[["2019",4,9]]},"issued":{"date-parts":[["2015"]]}}}],"schema":"https://github.com/citation-style-language/schema/raw/master/csl-citation.json"} </w:instrText>
            </w:r>
            <w:r w:rsidR="008B1687" w:rsidRPr="00A202A2">
              <w:rPr>
                <w:rFonts w:cstheme="minorHAnsi"/>
              </w:rPr>
              <w:fldChar w:fldCharType="separate"/>
            </w:r>
            <w:r w:rsidR="009866F7" w:rsidRPr="009866F7">
              <w:rPr>
                <w:rFonts w:ascii="Calibri" w:hAnsi="Calibri" w:cs="Calibri"/>
              </w:rPr>
              <w:t>[7]</w:t>
            </w:r>
            <w:r w:rsidR="008B1687" w:rsidRPr="00A202A2">
              <w:rPr>
                <w:rFonts w:cstheme="minorHAnsi"/>
              </w:rPr>
              <w:fldChar w:fldCharType="end"/>
            </w:r>
            <w:r>
              <w:rPr>
                <w:rFonts w:cstheme="minorHAnsi"/>
              </w:rPr>
              <w:t>,</w:t>
            </w:r>
            <w:r w:rsidR="008B1687" w:rsidRPr="00A202A2">
              <w:rPr>
                <w:rFonts w:cstheme="minorHAnsi"/>
              </w:rPr>
              <w:t xml:space="preserve"> and </w:t>
            </w:r>
            <w:r w:rsidR="008B1687">
              <w:rPr>
                <w:rFonts w:cstheme="minorHAnsi"/>
              </w:rPr>
              <w:t xml:space="preserve">in </w:t>
            </w:r>
            <w:r w:rsidR="008B1687" w:rsidRPr="00A202A2">
              <w:rPr>
                <w:rFonts w:cstheme="minorHAnsi"/>
              </w:rPr>
              <w:t>known systematic reviews</w:t>
            </w:r>
            <w:r w:rsidR="008B1687">
              <w:rPr>
                <w:rFonts w:cstheme="minorHAnsi"/>
              </w:rPr>
              <w:t xml:space="preserve"> </w:t>
            </w:r>
            <w:r w:rsidR="008B1687" w:rsidRPr="00A202A2">
              <w:rPr>
                <w:rFonts w:cstheme="minorHAnsi"/>
              </w:rPr>
              <w:fldChar w:fldCharType="begin"/>
            </w:r>
            <w:r w:rsidR="009866F7">
              <w:rPr>
                <w:rFonts w:cstheme="minorHAnsi"/>
              </w:rPr>
              <w:instrText xml:space="preserve"> ADDIN ZOTERO_ITEM CSL_CITATION {"citationID":"a2juafpipn2","properties":{"formattedCitation":"[8\\uc0\\u8211{}10]","plainCitation":"[8–10]","noteIndex":0},"citationItems":[{"id":5261,"uris":["http://zotero.org/users/4806826/items/6JAP2NSE"],"uri":["http://zotero.org/users/4806826/items/6JAP2NSE"],"itemData":{"id":5261,"type":"article-journal","abstract":"BACKGROUND: During pregnancy, a Rhesus negative (Rh-negative) woman may develop antibodies when her fetus is Rhesus positive (Rh-positive). These antibodies may harm Rh-positive babies., OBJECTIVES: To assess the effects of antenatal anti-D immunoglobulin on the incidence of Rhesus D alloimmunisation when given to Rh-negative women without anti-D antibodies., SEARCH METHODS: We searched the Cochrane Pregnancy and Childbirth Group's Trials Register (31 May 2015) and reference lists of retrieved studies., SELECTION CRITERIA: Randomised trials in Rh-negative women without anti-D antibodies given anti-D after 28 weeks of pregnancy, compared with no treatment, placebo or a different regimen of anti-D., DATA COLLECTION AND ANALYSIS: Two review authors independently assessed trials for inclusion and risk of bias, extracted data and checked them for accuracy., MAIN RESULTS: We included two trials involving over 4500 women, comparing anti-D prophylaxis with no anti-D during pregnancy in this review. Overall, the trials were judged to be at moderate to high risk of bias. The quality of the evidence for pre-specified outcomes was also assessed using the GRADE (Grades of Recommendation, Assessment, Development and Evaluation) approach.In regards to primary review outcomes, there did not appear to be a clear difference in the risks of immunisation when women who received anti-D at 28 and 34 weeks' gestation were compared with women who were not given antenatal anti-D: risk ratio (RR) for incidence of Rhesus D alloimmunisation during pregnancy was 0.42 (95% confidence interval (CI) 0.15 to 1.17, two trials, 3902 women; GRADE: low quality evidence); at birth of a Rh-positive infant the RR was 0.42 (95% CI 0.15 to 1.17, two trials, 2297 women); and within 12 months after birth of a Rh-positive infant the average RR was 0.39 (95% CI 0.10 to 1.62, two trials, 2048 women; Tau2: 0.47; I2: 39%; GRADE: low quality evidence). Neither of the trials reported on incidence of Rhesus D alloimmunisation in subsequent pregnancies.Considering secondary outcomes, in one trial, women receiving anti-D during pregnancy were shown to be less likely to register a positive Kleihauer test (which detects fetal cells in maternal blood) in pregnancy (at 32 to 25 weeks) (RR 0.60, 95% CI 0.41 to 0.88; 1884 women; GRADE: low quality evidence) and at the birth of a Rh-positive infant (RR 0.60, 95% CI 0.46 to 0.79; 1189 women; GRADE: low quality evidence). No clear differences were seen for neonatal jaundice (RR 0.26, 95% CI 0.03 to 2.30; 1882 infants; GRADE: very low quality evidence). Neither of the trials reported on adverse effects associated with anti-D treatment., AUTHORS' CONCLUSIONS: Existing studies do not provide conclusive evidence that the use of anti-D during pregnancy benefits either mother or baby in terms of incidence of Rhesus D alloimmunisation during the pregnancy or postpartum, or the incidence of neonatal morbidity (jaundice) (low to very low quality evidence). However women receiving anti-D may be less likely to register a positive Kleihauer test in pregnancy and at the birth of a Rh-positive infant (low quality evidence). Fewer women who receive anti-D during pregnancy may have Rhesus D antibodies in a subsequent pregnancy, with benefits for the baby, however this needs to be tested in studies of robust design.","collection-title":"[Update of: Cochrane Database Syst Rev. 2013 Feb 28;(2):CD000020; PMID: 23450526 [https://www.ncbi.nlm.nih.gov/pubmed/23450526]][Update of: Cochrane Database Syst Rev. 2013;(2):CD000020; PMID: 23450526 [https://www.ncbi.nlm.nih.gov/pubmed/23450526]]","container-title":"The Cochrane database of systematic reviews","DOI":"10.1002/14651858.CD000020.pub3","ISSN":"1469-493X","issue":"9","journalAbbreviation":"Cochrane Database Syst Rev","note":"McBain, Rosemary D. ARCH: Australian Research Centre for Health of Women and Babies, Robinson Research Institute, Discipline of Obstetrics and Gynaecology, The University of Adelaide, Women's and Children's Hospital, 72 King William Road, Adelaide, Australia, 5000.","page":"CD000020","title":"Anti-D administration in pregnancy for preventing Rhesus alloimmunisation.","author":[{"family":"McBain","given":"Rosemary D"},{"family":"Crowther","given":"Caroline A"},{"family":"Middleton","given":"Philippa"}],"issued":{"date-parts":[["2015"]]}}},{"id":5379,"uris":["http://zotero.org/users/4806826/items/R4F2R25E"],"uri":["http://zotero.org/users/4806826/items/R4F2R25E"],"itemData":{"id":5379,"type":"article-journal","abstract":"BACKGROUND: The development of Rh immunisation and its prophylactic use since the 1970s has meant that severe Rhesus D (RhD) alloimmunisation is now rarely seen.\nOBJECTIVES: The objective of this systematic review was to assess the effects of giving anti-D to Rhesus negative women, with no anti-D antibodies, who had given birth to a Rhesus positive infant.\nSEARCH STRATEGY: We searched the Cochrane Pregnancy and Childbirth Group trials register, the Cochrane Controlled Trials Register, MEDLINE (from 1966 to January 1999) and reference lists of relevant articles. Date of last search of Cochrane Controlled Trials Register: January 1999.\nSELECTION CRITERIA: Randomised trials in Rhesus negative women without antibodies who were given anti-D immunoglobulin postpartum compared with no treatment or placebo.\nDATA COLLECTION AND ANALYSIS: Assessments of inclusion criteria, trial quality and data extraction were done by each author independently. Initial analyses included all trials. Other analyses assessed the effect of trial quality, ABO compatibility and dose.\nMAIN RESULTS: Six eligible trials compared postpartum anti-D prophylaxis with no treatment or placebo. The trials involved over 10,000 women, but trial quality varied. Anti-D lowered the incidence of RhD alloimmunisation six months after birth (relative risk 0.04, 95% confidence interval 0.02 to 0.06), and in a subsequent pregnancy (relative risk 0.12, 95% confidence interval 0. 07 to 0.23). These benefits were seen regardless of the ABO status of the mother and baby and when anti-D was given within 72 hours of birth. Higher doses (up to 200 micro grams) were more effective than lower doses (up to 50 micro grams) in preventing RhD alloimmunisation in a subsequent pregnancy.\nREVIEWER'S CONCLUSIONS: Anti-D, given within 72 hours after childbirth, reduces the risk of RhD alloimmunisation in Rhesus negative women who have given birth to a Rhesus positive infant. However the evidence on the optimal dose is limited.","container-title":"The Cochrane Database of Systematic Reviews","DOI":"10.1002/14651858.CD000021","ISSN":"1469-493X","issue":"2","journalAbbreviation":"Cochrane Database Syst Rev","language":"eng","note":"PMID: 10796089","page":"CD000021","source":"PubMed","title":"Anti-D administration after childbirth for preventing Rhesus alloimmunisation","author":[{"family":"Crowther","given":"C."},{"family":"Middleton","given":"P."}],"issued":{"date-parts":[["2000"]]}}},{"id":5255,"uris":["http://zotero.org/users/4806826/items/CTT6XFLF"],"uri":["http://zotero.org/users/4806826/items/CTT6XFLF"],"itemData":{"id":5255,"type":"article-journal","abstract":"BACKGROUND: During pregnancy, a Rhesus-negative (Rh-negative) woman may develop antibodies if her fetus is Rh-positive, which can cause fetal morbidity or mortality in following pregnancies, if untreated., OBJECTIVES: To assess the effects of administering anti-D immunoglobulin (Ig) after spontaneous miscarriage in a Rh-negative woman, with no anti-D antibodies., SEARCH METHODS: We searched the Cochrane Pregnancy and Childbirth Group's Trials Register (31 December 2012)., SELECTION CRITERIA: Randomised controlled trials (RCT) in Rh-negative women without antibodies who were given anti-D Ig following spontaneous miscarriage compared with no treatment or placebo treatment following spontaneous miscarriage as control., DATA COLLECTION AND ANALYSIS: Two review authors independently assessed trials for inclusion and trial quality. Two review authors extracted data and checked it for accuracy., MAIN RESULTS: We included one RCT, involving 48 women who had a miscarriage between eight to 24 weeks of gestation. Of the 19 women in the treatment group, 14 had therapeutic dilatation &amp; curettage (D&amp;C) and five had spontaneous miscarriage; of the 29 women in the control group, 25 had therapeutic D&amp;C and four had spontaneous miscarriage. The treatment group received 300 micro g anti-D Ig intramuscular injection and were compared with a control group who received 1 cc homogenous gamma globulin placebo.This review's primary outcomes (development of a positive Kleihauer Betke test (a test that detects fetal cells in the maternal blood; and development of RhD alloimmunisation in a subsequent pregnancy) were not reported in the included study.Similarly, none of the review's secondary outcomes were reported in the included study: the need for increased surveillance for suspected fetal blood sampling and fetal transfusions in subsequent pregnancies, neonatal morbidity such as neonatal anaemia, jaundice, bilirubin encephalopathy, erythroblastosis, prematurity, hypoglycaemia (low blood sugar) in subsequent pregnancies, maternal adverse events of anti-D administration including anaphylactic reaction and blood-borne infections.The included study did report subsequent Rh-positive pregnancies in three women in the treatment group and six women in the control group. However, due to the small sample size, the study failed to show any difference in maternal sensitisation or development of Rh alloimmunisation in the subsequent pregnancies., AUTHORS' CONCLUSIONS: There are insufficient data available to evaluate the practice of anti-D administration in an unsensitised Rh-negative mother after spontaneous miscarriage. Thus, until high-quality evidence becomes available, the practice of anti-D Immunoglobulin prophylaxis after spontaneous miscarriage for preventing Rh alloimmunisation cannot be generalised and should be based on the standard practice guidelines of each country.","container-title":"The Cochrane database of systematic reviews","DOI":"10.1002/14651858.CD009617.pub2","ISSN":"1469-493X","issue":"3","journalAbbreviation":"Cochrane Database Syst Rev","note":"Karanth, Laxminarayan. Department of Obstetrics and Gynecology, Melaka Manipal Medical College, Melaka, Malaysia. karanthkl@ymail.com.","page":"CD009617","title":"Anti-D administration after spontaneous miscarriage for preventing Rhesus alloimmunisation.","author":[{"family":"Karanth","given":"Laxminarayan"},{"family":"Jaafar","given":"Sharifah Halimah"},{"family":"Kanagasabai","given":"Sachchithanantham"},{"family":"Nair","given":"N S"},{"family":"Barua","given":"Ankur"}],"issued":{"date-parts":[["2013"]]}}}],"schema":"https://github.com/citation-style-language/schema/raw/master/csl-citation.json"} </w:instrText>
            </w:r>
            <w:r w:rsidR="008B1687" w:rsidRPr="00A202A2">
              <w:rPr>
                <w:rFonts w:cstheme="minorHAnsi"/>
              </w:rPr>
              <w:fldChar w:fldCharType="separate"/>
            </w:r>
            <w:r w:rsidR="009866F7" w:rsidRPr="009866F7">
              <w:rPr>
                <w:rFonts w:ascii="Calibri" w:hAnsi="Calibri" w:cs="Calibri"/>
                <w:szCs w:val="24"/>
              </w:rPr>
              <w:t>[8–10]</w:t>
            </w:r>
            <w:r w:rsidR="008B1687" w:rsidRPr="00A202A2">
              <w:rPr>
                <w:rFonts w:cstheme="minorHAnsi"/>
              </w:rPr>
              <w:fldChar w:fldCharType="end"/>
            </w:r>
          </w:p>
          <w:p w:rsidR="008B1687" w:rsidRPr="008B1687" w:rsidRDefault="008B1687" w:rsidP="008B1687">
            <w:pPr>
              <w:pStyle w:val="ListParagraph"/>
              <w:numPr>
                <w:ilvl w:val="0"/>
                <w:numId w:val="2"/>
              </w:numPr>
              <w:spacing w:line="276" w:lineRule="auto"/>
              <w:ind w:left="166" w:hanging="166"/>
              <w:rPr>
                <w:rFonts w:cstheme="minorHAnsi"/>
                <w:szCs w:val="24"/>
              </w:rPr>
            </w:pPr>
            <w:r>
              <w:rPr>
                <w:rFonts w:cstheme="minorHAnsi"/>
              </w:rPr>
              <w:t>Relevant systematic reviews identified through the databases searches</w:t>
            </w:r>
          </w:p>
        </w:tc>
      </w:tr>
    </w:tbl>
    <w:p w:rsidR="009866F7" w:rsidRDefault="009866F7" w:rsidP="008B1687">
      <w:pPr>
        <w:spacing w:line="276" w:lineRule="auto"/>
        <w:jc w:val="both"/>
        <w:sectPr w:rsidR="009866F7" w:rsidSect="009866F7">
          <w:pgSz w:w="15840" w:h="12240" w:orient="landscape"/>
          <w:pgMar w:top="1440" w:right="1440" w:bottom="1440" w:left="1440" w:header="720" w:footer="720" w:gutter="0"/>
          <w:cols w:space="720"/>
          <w:docGrid w:linePitch="360"/>
        </w:sectPr>
      </w:pPr>
      <w:bookmarkStart w:id="0" w:name="_Toc453330996"/>
    </w:p>
    <w:bookmarkEnd w:id="0"/>
    <w:p w:rsidR="00F41BAD" w:rsidRDefault="008B1687">
      <w:pPr>
        <w:rPr>
          <w:b/>
        </w:rPr>
      </w:pPr>
      <w:r w:rsidRPr="009866F7">
        <w:rPr>
          <w:b/>
        </w:rPr>
        <w:lastRenderedPageBreak/>
        <w:t>References</w:t>
      </w:r>
    </w:p>
    <w:p w:rsidR="009866F7" w:rsidRPr="009866F7" w:rsidRDefault="009866F7" w:rsidP="009866F7">
      <w:pPr>
        <w:pStyle w:val="Bibliography"/>
        <w:rPr>
          <w:rFonts w:ascii="Calibri" w:hAnsi="Calibri" w:cs="Calibri"/>
        </w:rPr>
      </w:pPr>
      <w:r>
        <w:rPr>
          <w:b/>
        </w:rPr>
        <w:fldChar w:fldCharType="begin"/>
      </w:r>
      <w:r>
        <w:rPr>
          <w:b/>
        </w:rPr>
        <w:instrText xml:space="preserve"> ADDIN ZOTERO_BIBL {"uncited":[],"omitted":[],"custom":[]} CSL_BIBLIOGRAPHY </w:instrText>
      </w:r>
      <w:r>
        <w:rPr>
          <w:b/>
        </w:rPr>
        <w:fldChar w:fldCharType="separate"/>
      </w:r>
      <w:r w:rsidRPr="009866F7">
        <w:rPr>
          <w:rFonts w:ascii="Calibri" w:hAnsi="Calibri" w:cs="Calibri"/>
        </w:rPr>
        <w:t>[1]</w:t>
      </w:r>
      <w:r w:rsidRPr="009866F7">
        <w:rPr>
          <w:rFonts w:ascii="Calibri" w:hAnsi="Calibri" w:cs="Calibri"/>
        </w:rPr>
        <w:tab/>
        <w:t>Fung Kee Fung K, Eason E. Prevention of Rh Alloimmunization. SOGC Clinical Practice Guidelines. No. 133. J Obstet Gynaecol Can 2003;25:765–73.</w:t>
      </w:r>
    </w:p>
    <w:p w:rsidR="009866F7" w:rsidRPr="009866F7" w:rsidRDefault="009866F7" w:rsidP="009866F7">
      <w:pPr>
        <w:pStyle w:val="Bibliography"/>
        <w:rPr>
          <w:rFonts w:ascii="Calibri" w:hAnsi="Calibri" w:cs="Calibri"/>
        </w:rPr>
      </w:pPr>
      <w:r w:rsidRPr="009866F7">
        <w:rPr>
          <w:rFonts w:ascii="Calibri" w:hAnsi="Calibri" w:cs="Calibri"/>
        </w:rPr>
        <w:t>[2]</w:t>
      </w:r>
      <w:r w:rsidRPr="009866F7">
        <w:rPr>
          <w:rFonts w:ascii="Calibri" w:hAnsi="Calibri" w:cs="Calibri"/>
        </w:rPr>
        <w:tab/>
        <w:t>ACOG. Practice Bulletin No. 181: Prevention of Rh D Alloimmunization. Obstet Gynecol 2017;130:e57. https://doi.org/10.1097/AOG.0000000000002232.</w:t>
      </w:r>
    </w:p>
    <w:p w:rsidR="009866F7" w:rsidRPr="009866F7" w:rsidRDefault="009866F7" w:rsidP="009866F7">
      <w:pPr>
        <w:pStyle w:val="Bibliography"/>
        <w:rPr>
          <w:rFonts w:ascii="Calibri" w:hAnsi="Calibri" w:cs="Calibri"/>
        </w:rPr>
      </w:pPr>
      <w:r w:rsidRPr="009866F7">
        <w:rPr>
          <w:rFonts w:ascii="Calibri" w:hAnsi="Calibri" w:cs="Calibri"/>
        </w:rPr>
        <w:t>[3]</w:t>
      </w:r>
      <w:r w:rsidRPr="009866F7">
        <w:rPr>
          <w:rFonts w:ascii="Calibri" w:hAnsi="Calibri" w:cs="Calibri"/>
        </w:rPr>
        <w:tab/>
        <w:t>Hendrickson JE, Delaney M. Hemolytic Disease of the Fetus and Newborn: Modern Practice and Future Investigations. Transfus Med Rev 2016;30:159–64. https://doi.org/10.1016/j.tmrv.2016.05.008.</w:t>
      </w:r>
    </w:p>
    <w:p w:rsidR="009866F7" w:rsidRPr="009866F7" w:rsidRDefault="009866F7" w:rsidP="009866F7">
      <w:pPr>
        <w:pStyle w:val="Bibliography"/>
        <w:rPr>
          <w:rFonts w:ascii="Calibri" w:hAnsi="Calibri" w:cs="Calibri"/>
        </w:rPr>
      </w:pPr>
      <w:r w:rsidRPr="009866F7">
        <w:rPr>
          <w:rFonts w:ascii="Calibri" w:hAnsi="Calibri" w:cs="Calibri"/>
        </w:rPr>
        <w:t>[4]</w:t>
      </w:r>
      <w:r w:rsidRPr="009866F7">
        <w:rPr>
          <w:rFonts w:ascii="Calibri" w:hAnsi="Calibri" w:cs="Calibri"/>
        </w:rPr>
        <w:tab/>
        <w:t>RCOG. Gestational Trophoblastic Disease (Green-top Guideline No. 38) 2010.</w:t>
      </w:r>
    </w:p>
    <w:p w:rsidR="009866F7" w:rsidRPr="009866F7" w:rsidRDefault="009866F7" w:rsidP="009866F7">
      <w:pPr>
        <w:pStyle w:val="Bibliography"/>
        <w:rPr>
          <w:rFonts w:ascii="Calibri" w:hAnsi="Calibri" w:cs="Calibri"/>
        </w:rPr>
      </w:pPr>
      <w:r w:rsidRPr="009866F7">
        <w:rPr>
          <w:rFonts w:ascii="Calibri" w:hAnsi="Calibri" w:cs="Calibri"/>
        </w:rPr>
        <w:t>[5]</w:t>
      </w:r>
      <w:r w:rsidRPr="009866F7">
        <w:rPr>
          <w:rFonts w:ascii="Calibri" w:hAnsi="Calibri" w:cs="Calibri"/>
        </w:rPr>
        <w:tab/>
        <w:t>RCOG. Rhesus D Prophylaxis, The Use of Anti-D Immunoglobulin for (Green-top Guideline No. 22) 2011.</w:t>
      </w:r>
    </w:p>
    <w:p w:rsidR="009866F7" w:rsidRPr="009866F7" w:rsidRDefault="009866F7" w:rsidP="009866F7">
      <w:pPr>
        <w:pStyle w:val="Bibliography"/>
        <w:rPr>
          <w:rFonts w:ascii="Calibri" w:hAnsi="Calibri" w:cs="Calibri"/>
        </w:rPr>
      </w:pPr>
      <w:r w:rsidRPr="009866F7">
        <w:rPr>
          <w:rFonts w:ascii="Calibri" w:hAnsi="Calibri" w:cs="Calibri"/>
        </w:rPr>
        <w:t>[6]</w:t>
      </w:r>
      <w:r w:rsidRPr="009866F7">
        <w:rPr>
          <w:rFonts w:ascii="Calibri" w:hAnsi="Calibri" w:cs="Calibri"/>
        </w:rPr>
        <w:tab/>
        <w:t>RCOG. Red Cell Antibodies during Pregnancy, The Management of Women with (Green-top Guideline No. 65) 2014.</w:t>
      </w:r>
    </w:p>
    <w:p w:rsidR="009866F7" w:rsidRPr="009866F7" w:rsidRDefault="009866F7" w:rsidP="009866F7">
      <w:pPr>
        <w:pStyle w:val="Bibliography"/>
        <w:rPr>
          <w:rFonts w:ascii="Calibri" w:hAnsi="Calibri" w:cs="Calibri"/>
        </w:rPr>
      </w:pPr>
      <w:r w:rsidRPr="009866F7">
        <w:rPr>
          <w:rFonts w:ascii="Calibri" w:hAnsi="Calibri" w:cs="Calibri"/>
        </w:rPr>
        <w:t>[7]</w:t>
      </w:r>
      <w:r w:rsidRPr="009866F7">
        <w:rPr>
          <w:rFonts w:ascii="Calibri" w:hAnsi="Calibri" w:cs="Calibri"/>
        </w:rPr>
        <w:tab/>
        <w:t>RANZCOG. Guidelines for the use of Rh(D) Immunoglobulin (Anti-D) in obstetrics in Australia 2015.</w:t>
      </w:r>
    </w:p>
    <w:p w:rsidR="009866F7" w:rsidRPr="009866F7" w:rsidRDefault="009866F7" w:rsidP="009866F7">
      <w:pPr>
        <w:pStyle w:val="Bibliography"/>
        <w:rPr>
          <w:rFonts w:ascii="Calibri" w:hAnsi="Calibri" w:cs="Calibri"/>
        </w:rPr>
      </w:pPr>
      <w:r w:rsidRPr="009866F7">
        <w:rPr>
          <w:rFonts w:ascii="Calibri" w:hAnsi="Calibri" w:cs="Calibri"/>
        </w:rPr>
        <w:t>[8]</w:t>
      </w:r>
      <w:r w:rsidRPr="009866F7">
        <w:rPr>
          <w:rFonts w:ascii="Calibri" w:hAnsi="Calibri" w:cs="Calibri"/>
        </w:rPr>
        <w:tab/>
        <w:t>McBain RD, Crowther CA, Middleton P. Anti-D administration in pregnancy for preventing Rhesus alloimmunisation. Cochrane Database Syst Rev 2015:CD000020. https://doi.org/10.1002/14651858.CD000020.pub3.</w:t>
      </w:r>
    </w:p>
    <w:p w:rsidR="009866F7" w:rsidRPr="009866F7" w:rsidRDefault="009866F7" w:rsidP="009866F7">
      <w:pPr>
        <w:pStyle w:val="Bibliography"/>
        <w:rPr>
          <w:rFonts w:ascii="Calibri" w:hAnsi="Calibri" w:cs="Calibri"/>
        </w:rPr>
      </w:pPr>
      <w:r w:rsidRPr="009866F7">
        <w:rPr>
          <w:rFonts w:ascii="Calibri" w:hAnsi="Calibri" w:cs="Calibri"/>
        </w:rPr>
        <w:t>[9]</w:t>
      </w:r>
      <w:r w:rsidRPr="009866F7">
        <w:rPr>
          <w:rFonts w:ascii="Calibri" w:hAnsi="Calibri" w:cs="Calibri"/>
        </w:rPr>
        <w:tab/>
        <w:t>Crowther C, Middleton P. Anti-D administration after childbirth for preventing Rhesus alloimmunisation. Cochrane Database Syst Rev 2000:CD000021. https://doi.org/10.1002/14651858.CD000021.</w:t>
      </w:r>
    </w:p>
    <w:p w:rsidR="009866F7" w:rsidRPr="009866F7" w:rsidRDefault="009866F7" w:rsidP="009866F7">
      <w:pPr>
        <w:pStyle w:val="Bibliography"/>
        <w:rPr>
          <w:rFonts w:ascii="Calibri" w:hAnsi="Calibri" w:cs="Calibri"/>
        </w:rPr>
      </w:pPr>
      <w:r w:rsidRPr="009866F7">
        <w:rPr>
          <w:rFonts w:ascii="Calibri" w:hAnsi="Calibri" w:cs="Calibri"/>
        </w:rPr>
        <w:t>[10]</w:t>
      </w:r>
      <w:r w:rsidRPr="009866F7">
        <w:rPr>
          <w:rFonts w:ascii="Calibri" w:hAnsi="Calibri" w:cs="Calibri"/>
        </w:rPr>
        <w:tab/>
        <w:t>Karanth L, Jaafar SH, Kanagasabai S, Nair NS, Barua A. Anti-D administration after spontaneous miscarriage for preventing Rhesus alloimmunisation. Cochrane Database Syst Rev 2013:CD009617. https://doi.org/10.1002/14651858.CD009617.pub2.</w:t>
      </w:r>
    </w:p>
    <w:p w:rsidR="009866F7" w:rsidRPr="009866F7" w:rsidRDefault="009866F7">
      <w:pPr>
        <w:rPr>
          <w:b/>
        </w:rPr>
      </w:pPr>
      <w:r>
        <w:rPr>
          <w:b/>
        </w:rPr>
        <w:fldChar w:fldCharType="end"/>
      </w:r>
    </w:p>
    <w:p w:rsidR="008B1687" w:rsidRDefault="008B1687">
      <w:bookmarkStart w:id="1" w:name="_GoBack"/>
      <w:bookmarkEnd w:id="1"/>
    </w:p>
    <w:sectPr w:rsidR="008B1687" w:rsidSect="009866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1D1CF4"/>
    <w:multiLevelType w:val="hybridMultilevel"/>
    <w:tmpl w:val="0A4AF9E6"/>
    <w:lvl w:ilvl="0" w:tplc="4C24912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B8E42E5"/>
    <w:multiLevelType w:val="hybridMultilevel"/>
    <w:tmpl w:val="3B049506"/>
    <w:lvl w:ilvl="0" w:tplc="4C24912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E666229"/>
    <w:multiLevelType w:val="hybridMultilevel"/>
    <w:tmpl w:val="9C6EB500"/>
    <w:lvl w:ilvl="0" w:tplc="4C24912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687"/>
    <w:rsid w:val="00096CF2"/>
    <w:rsid w:val="004E317D"/>
    <w:rsid w:val="007805A5"/>
    <w:rsid w:val="007A760D"/>
    <w:rsid w:val="007B3095"/>
    <w:rsid w:val="008559AE"/>
    <w:rsid w:val="008B1687"/>
    <w:rsid w:val="009866F7"/>
    <w:rsid w:val="00B63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65875"/>
  <w15:chartTrackingRefBased/>
  <w15:docId w15:val="{785AB75D-8970-4F24-B3B7-7D4503D27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687"/>
    <w:pPr>
      <w:spacing w:after="0" w:line="480" w:lineRule="auto"/>
    </w:pPr>
    <w:rPr>
      <w:rFonts w:eastAsia="Times New Roman" w:cs="Times New Roman"/>
      <w:sz w:val="24"/>
    </w:rPr>
  </w:style>
  <w:style w:type="paragraph" w:styleId="Heading1">
    <w:name w:val="heading 1"/>
    <w:basedOn w:val="Normal"/>
    <w:next w:val="Normal"/>
    <w:link w:val="Heading1Char"/>
    <w:uiPriority w:val="9"/>
    <w:qFormat/>
    <w:rsid w:val="009866F7"/>
    <w:pPr>
      <w:keepNext/>
      <w:keepLines/>
      <w:spacing w:line="276" w:lineRule="auto"/>
      <w:outlineLvl w:val="0"/>
    </w:pPr>
    <w:rPr>
      <w:rFonts w:eastAsiaTheme="majorEastAsia"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16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866F7"/>
    <w:rPr>
      <w:rFonts w:eastAsiaTheme="majorEastAsia" w:cstheme="majorBidi"/>
      <w:b/>
      <w:sz w:val="32"/>
      <w:szCs w:val="32"/>
    </w:rPr>
  </w:style>
  <w:style w:type="paragraph" w:styleId="ListParagraph">
    <w:name w:val="List Paragraph"/>
    <w:basedOn w:val="Normal"/>
    <w:uiPriority w:val="34"/>
    <w:qFormat/>
    <w:rsid w:val="008B1687"/>
    <w:pPr>
      <w:ind w:left="720"/>
      <w:contextualSpacing/>
    </w:pPr>
  </w:style>
  <w:style w:type="character" w:styleId="Hyperlink">
    <w:name w:val="Hyperlink"/>
    <w:basedOn w:val="DefaultParagraphFont"/>
    <w:uiPriority w:val="99"/>
    <w:unhideWhenUsed/>
    <w:rsid w:val="008B1687"/>
    <w:rPr>
      <w:color w:val="0000FF"/>
      <w:u w:val="single"/>
    </w:rPr>
  </w:style>
  <w:style w:type="paragraph" w:styleId="Bibliography">
    <w:name w:val="Bibliography"/>
    <w:basedOn w:val="Normal"/>
    <w:next w:val="Normal"/>
    <w:uiPriority w:val="37"/>
    <w:unhideWhenUsed/>
    <w:rsid w:val="009866F7"/>
    <w:pPr>
      <w:tabs>
        <w:tab w:val="left" w:pos="504"/>
      </w:tabs>
      <w:spacing w:line="240" w:lineRule="auto"/>
      <w:ind w:left="504" w:hanging="50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ign.ac.uk/search-filter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ork.cochrane.org/pubmed" TargetMode="External"/><Relationship Id="rId5" Type="http://schemas.openxmlformats.org/officeDocument/2006/relationships/hyperlink" Target="https://www.sign.ac.uk/search-filters.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3541</Words>
  <Characters>20184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Candyce Hamel</dc:creator>
  <cp:keywords/>
  <dc:description/>
  <cp:lastModifiedBy>Candyce Hamel</cp:lastModifiedBy>
  <cp:revision>6</cp:revision>
  <dcterms:created xsi:type="dcterms:W3CDTF">2020-03-24T19:54:00Z</dcterms:created>
  <dcterms:modified xsi:type="dcterms:W3CDTF">2020-08-21T19:33:00Z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zotero-version="5.0.84"&gt;&lt;session id="lqEFJEW3"/&gt;&lt;style id="http://www.zotero.org/styles/elsevier-vancouver"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