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7F7C" w14:textId="77777777" w:rsidR="00976041" w:rsidRPr="00BC45C4" w:rsidRDefault="00976041" w:rsidP="00976041">
      <w:pPr>
        <w:spacing w:line="360" w:lineRule="auto"/>
        <w:rPr>
          <w:sz w:val="24"/>
          <w:szCs w:val="24"/>
        </w:rPr>
      </w:pPr>
      <w:r w:rsidRPr="00BC45C4">
        <w:rPr>
          <w:b/>
          <w:sz w:val="24"/>
          <w:szCs w:val="24"/>
        </w:rPr>
        <w:t>S2 Table.</w:t>
      </w:r>
      <w:r w:rsidRPr="00BC45C4">
        <w:rPr>
          <w:sz w:val="24"/>
          <w:szCs w:val="24"/>
        </w:rPr>
        <w:t xml:space="preserve"> Case specifications at ICU-admission with corresponding SAPS 2&amp; SAPS 3 mean scores and SMRs as well as corresponding biomarkers IL-6, PCT &amp; CRP median values.</w:t>
      </w:r>
    </w:p>
    <w:tbl>
      <w:tblPr>
        <w:tblStyle w:val="TableGrid"/>
        <w:tblW w:w="158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1276"/>
        <w:gridCol w:w="1356"/>
        <w:gridCol w:w="1559"/>
        <w:gridCol w:w="1276"/>
        <w:gridCol w:w="1559"/>
        <w:gridCol w:w="1843"/>
        <w:gridCol w:w="1559"/>
        <w:gridCol w:w="1559"/>
      </w:tblGrid>
      <w:tr w:rsidR="00976041" w:rsidRPr="00BC45C4" w14:paraId="618A930E" w14:textId="77777777" w:rsidTr="00721B19">
        <w:trPr>
          <w:trHeight w:val="285"/>
        </w:trPr>
        <w:tc>
          <w:tcPr>
            <w:tcW w:w="3120" w:type="dxa"/>
            <w:vMerge w:val="restart"/>
            <w:tcBorders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EEBD0C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>Statistics</w:t>
            </w:r>
          </w:p>
        </w:tc>
        <w:tc>
          <w:tcPr>
            <w:tcW w:w="708" w:type="dxa"/>
            <w:vMerge w:val="restart"/>
            <w:tcBorders>
              <w:left w:val="single" w:sz="18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  <w:vAlign w:val="center"/>
          </w:tcPr>
          <w:p w14:paraId="50D738B8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>Total</w:t>
            </w:r>
          </w:p>
        </w:tc>
        <w:tc>
          <w:tcPr>
            <w:tcW w:w="1276" w:type="dxa"/>
            <w:vMerge w:val="restart"/>
            <w:tcBorders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BA7CFFF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>Deaths</w:t>
            </w:r>
          </w:p>
        </w:tc>
        <w:tc>
          <w:tcPr>
            <w:tcW w:w="2915" w:type="dxa"/>
            <w:gridSpan w:val="2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FE34BB8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 xml:space="preserve">SAPS 2 </w:t>
            </w:r>
          </w:p>
        </w:tc>
        <w:tc>
          <w:tcPr>
            <w:tcW w:w="2835" w:type="dxa"/>
            <w:gridSpan w:val="2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DDCA2D7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 xml:space="preserve">SAPS 3 </w:t>
            </w:r>
          </w:p>
        </w:tc>
        <w:tc>
          <w:tcPr>
            <w:tcW w:w="1843" w:type="dxa"/>
            <w:vMerge w:val="restart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45FF982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C45C4">
              <w:rPr>
                <w:rFonts w:ascii="Palatino Linotype" w:hAnsi="Palatino Linotype"/>
                <w:b/>
                <w:lang w:val="en-US"/>
              </w:rPr>
              <w:t>IL-6 (</w:t>
            </w:r>
            <w:proofErr w:type="spellStart"/>
            <w:r w:rsidRPr="00BC45C4">
              <w:rPr>
                <w:rFonts w:ascii="Palatino Linotype" w:hAnsi="Palatino Linotype"/>
                <w:b/>
                <w:lang w:val="en-US"/>
              </w:rPr>
              <w:t>pg</w:t>
            </w:r>
            <w:proofErr w:type="spellEnd"/>
            <w:r w:rsidRPr="00BC45C4">
              <w:rPr>
                <w:rFonts w:ascii="Palatino Linotype" w:hAnsi="Palatino Linotype"/>
                <w:b/>
                <w:lang w:val="en-US"/>
              </w:rPr>
              <w:t xml:space="preserve">/ml) </w:t>
            </w:r>
          </w:p>
          <w:p w14:paraId="30F3BD2E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C45C4">
              <w:rPr>
                <w:rFonts w:ascii="Palatino Linotype" w:hAnsi="Palatino Linotype" w:cs="AdvTT5235d5a9"/>
                <w:b/>
                <w:lang w:val="en-US"/>
              </w:rPr>
              <w:t>MD [Q1;Q3]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1AD5618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C45C4">
              <w:rPr>
                <w:rFonts w:ascii="Palatino Linotype" w:hAnsi="Palatino Linotype"/>
                <w:b/>
                <w:lang w:val="en-US"/>
              </w:rPr>
              <w:t>PCT (ng/ml)</w:t>
            </w:r>
            <w:r w:rsidRPr="00BC45C4">
              <w:rPr>
                <w:rFonts w:ascii="Palatino Linotype" w:hAnsi="Palatino Linotype" w:cs="AdvTT5235d5a9"/>
                <w:b/>
                <w:lang w:val="en-US"/>
              </w:rPr>
              <w:t xml:space="preserve"> MD [Q1;Q3]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1CC9C07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C45C4">
              <w:rPr>
                <w:rFonts w:ascii="Palatino Linotype" w:hAnsi="Palatino Linotype"/>
                <w:b/>
                <w:lang w:val="en-US"/>
              </w:rPr>
              <w:t xml:space="preserve">CRP (mg/dl) </w:t>
            </w:r>
            <w:r w:rsidRPr="00BC45C4">
              <w:rPr>
                <w:rFonts w:ascii="Palatino Linotype" w:hAnsi="Palatino Linotype" w:cs="AdvTT5235d5a9"/>
                <w:b/>
                <w:lang w:val="en-US"/>
              </w:rPr>
              <w:t>MD [Q1;Q3]</w:t>
            </w:r>
          </w:p>
        </w:tc>
      </w:tr>
      <w:tr w:rsidR="00976041" w:rsidRPr="00930E9B" w14:paraId="188D8048" w14:textId="77777777" w:rsidTr="00721B19">
        <w:trPr>
          <w:trHeight w:val="285"/>
        </w:trPr>
        <w:tc>
          <w:tcPr>
            <w:tcW w:w="3120" w:type="dxa"/>
            <w:vMerge/>
            <w:tcBorders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386A1D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18" w:space="0" w:color="000000" w:themeColor="text1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B4B8ED6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B37956" w14:textId="77777777" w:rsidR="00976041" w:rsidRPr="00BC45C4" w:rsidRDefault="00976041" w:rsidP="00721B1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single" w:sz="18" w:space="0" w:color="000000" w:themeColor="text1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C42D106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 xml:space="preserve">Mean </w:t>
            </w:r>
            <w:r w:rsidRPr="00126751">
              <w:rPr>
                <w:rFonts w:ascii="Palatino Linotype" w:hAnsi="Palatino Linotype" w:cs="AdvTT5235d5a9"/>
                <w:b/>
              </w:rPr>
              <w:t>± SD</w:t>
            </w:r>
          </w:p>
        </w:tc>
        <w:tc>
          <w:tcPr>
            <w:tcW w:w="1559" w:type="dxa"/>
            <w:tcBorders>
              <w:top w:val="nil"/>
              <w:bottom w:val="single" w:sz="2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A59CBE3" w14:textId="77777777" w:rsidR="0097604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>SMR (95% CI)</w:t>
            </w:r>
          </w:p>
        </w:tc>
        <w:tc>
          <w:tcPr>
            <w:tcW w:w="1276" w:type="dxa"/>
            <w:tcBorders>
              <w:top w:val="nil"/>
              <w:left w:val="single" w:sz="18" w:space="0" w:color="000000" w:themeColor="text1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1EFB548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 xml:space="preserve">Mean </w:t>
            </w:r>
            <w:r w:rsidRPr="00126751">
              <w:rPr>
                <w:rFonts w:ascii="Palatino Linotype" w:hAnsi="Palatino Linotype" w:cs="AdvTT5235d5a9"/>
                <w:b/>
              </w:rPr>
              <w:t>± SD</w:t>
            </w:r>
          </w:p>
        </w:tc>
        <w:tc>
          <w:tcPr>
            <w:tcW w:w="1559" w:type="dxa"/>
            <w:tcBorders>
              <w:top w:val="nil"/>
              <w:bottom w:val="single" w:sz="2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40A61A0" w14:textId="77777777" w:rsidR="0097604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  <w:r w:rsidRPr="00126751">
              <w:rPr>
                <w:rFonts w:ascii="Palatino Linotype" w:hAnsi="Palatino Linotype"/>
                <w:b/>
              </w:rPr>
              <w:t>SMR (95% CI)</w:t>
            </w: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D500221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16E7F02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70B5375" w14:textId="77777777" w:rsidR="00976041" w:rsidRPr="00126751" w:rsidRDefault="00976041" w:rsidP="00721B19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976041" w:rsidRPr="000A637E" w14:paraId="538633EE" w14:textId="77777777" w:rsidTr="00721B19">
        <w:tc>
          <w:tcPr>
            <w:tcW w:w="3120" w:type="dxa"/>
            <w:tcBorders>
              <w:top w:val="single" w:sz="2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7EF64B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All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2CBB4E3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514</w:t>
            </w:r>
          </w:p>
        </w:tc>
        <w:tc>
          <w:tcPr>
            <w:tcW w:w="1276" w:type="dxa"/>
            <w:tcBorders>
              <w:top w:val="single" w:sz="24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8B3C1C9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120 (23.3%)</w:t>
            </w:r>
          </w:p>
        </w:tc>
        <w:tc>
          <w:tcPr>
            <w:tcW w:w="1356" w:type="dxa"/>
            <w:tcBorders>
              <w:top w:val="single" w:sz="24" w:space="0" w:color="auto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131E0BE5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36.5 </w:t>
            </w:r>
            <w:r w:rsidRPr="00126751">
              <w:rPr>
                <w:rFonts w:ascii="Palatino Linotype" w:hAnsi="Palatino Linotype" w:cs="AdvTT5235d5a9"/>
              </w:rPr>
              <w:t>± 19.5</w:t>
            </w:r>
          </w:p>
        </w:tc>
        <w:tc>
          <w:tcPr>
            <w:tcW w:w="1559" w:type="dxa"/>
            <w:tcBorders>
              <w:top w:val="single" w:sz="24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2BB1BCC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0.91 (0.83-0.99)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5F261F26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59.4 </w:t>
            </w:r>
            <w:r w:rsidRPr="00126751">
              <w:rPr>
                <w:rFonts w:ascii="Palatino Linotype" w:hAnsi="Palatino Linotype" w:cs="AdvTT5235d5a9"/>
              </w:rPr>
              <w:t>± 18.4</w:t>
            </w:r>
          </w:p>
        </w:tc>
        <w:tc>
          <w:tcPr>
            <w:tcW w:w="1559" w:type="dxa"/>
            <w:tcBorders>
              <w:top w:val="single" w:sz="24" w:space="0" w:color="auto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85DDEE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0.64 (0.59-0.68)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000000" w:themeColor="text1"/>
              <w:bottom w:val="double" w:sz="12" w:space="0" w:color="auto"/>
            </w:tcBorders>
            <w:vAlign w:val="center"/>
          </w:tcPr>
          <w:p w14:paraId="2E9FDE3C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  <w:highlight w:val="yellow"/>
              </w:rPr>
            </w:pPr>
            <w:r w:rsidRPr="00126751">
              <w:rPr>
                <w:rFonts w:ascii="Palatino Linotype" w:hAnsi="Palatino Linotype"/>
              </w:rPr>
              <w:t>43.5 (13.6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152.7)</w:t>
            </w:r>
          </w:p>
        </w:tc>
        <w:tc>
          <w:tcPr>
            <w:tcW w:w="1559" w:type="dxa"/>
            <w:tcBorders>
              <w:top w:val="single" w:sz="24" w:space="0" w:color="auto"/>
              <w:bottom w:val="double" w:sz="12" w:space="0" w:color="auto"/>
            </w:tcBorders>
            <w:vAlign w:val="center"/>
          </w:tcPr>
          <w:p w14:paraId="461D776B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  <w:highlight w:val="yellow"/>
              </w:rPr>
            </w:pPr>
            <w:r w:rsidRPr="00126751">
              <w:rPr>
                <w:rFonts w:ascii="Palatino Linotype" w:hAnsi="Palatino Linotype"/>
              </w:rPr>
              <w:t>0.3 (0.1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1.9)</w:t>
            </w:r>
          </w:p>
        </w:tc>
        <w:tc>
          <w:tcPr>
            <w:tcW w:w="1559" w:type="dxa"/>
            <w:tcBorders>
              <w:top w:val="single" w:sz="24" w:space="0" w:color="auto"/>
              <w:bottom w:val="double" w:sz="12" w:space="0" w:color="auto"/>
            </w:tcBorders>
            <w:vAlign w:val="center"/>
          </w:tcPr>
          <w:p w14:paraId="737B129E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  <w:highlight w:val="yellow"/>
              </w:rPr>
            </w:pPr>
            <w:r w:rsidRPr="00126751">
              <w:rPr>
                <w:rFonts w:ascii="Palatino Linotype" w:hAnsi="Palatino Linotype" w:cs="AdvTT5235d5a9"/>
              </w:rPr>
              <w:t>3.1 (0.8;10.2)</w:t>
            </w:r>
          </w:p>
        </w:tc>
      </w:tr>
      <w:tr w:rsidR="00976041" w:rsidRPr="000A637E" w14:paraId="34E5DC47" w14:textId="77777777" w:rsidTr="00721B19">
        <w:trPr>
          <w:trHeight w:val="280"/>
        </w:trPr>
        <w:tc>
          <w:tcPr>
            <w:tcW w:w="3120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83071A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Cardiological Fraction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461E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294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1C1B75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42 (14.3%)</w:t>
            </w:r>
          </w:p>
        </w:tc>
        <w:tc>
          <w:tcPr>
            <w:tcW w:w="1356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610C0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32.</w:t>
            </w:r>
            <w:r>
              <w:rPr>
                <w:rFonts w:ascii="Palatino Linotype" w:hAnsi="Palatino Linotype"/>
              </w:rPr>
              <w:t>2</w:t>
            </w:r>
            <w:r w:rsidRPr="00126751">
              <w:rPr>
                <w:rFonts w:ascii="Palatino Linotype" w:hAnsi="Palatino Linotype" w:cs="AdvTT5235d5a9"/>
              </w:rPr>
              <w:t>± 16.3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CD66E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0.73 (0.64-0.85)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15487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26751">
              <w:rPr>
                <w:rFonts w:ascii="Palatino Linotype" w:hAnsi="Palatino Linotype"/>
              </w:rPr>
              <w:t xml:space="preserve">54.3 </w:t>
            </w:r>
            <w:r w:rsidRPr="00126751">
              <w:rPr>
                <w:rFonts w:ascii="Palatino Linotype" w:hAnsi="Palatino Linotype" w:cs="AdvTT5235d5a9"/>
              </w:rPr>
              <w:t>± 15.7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44AA1E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0.49 (0.45-0.54)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B3F0A1B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26.9(11.1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84.2)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</w:tcBorders>
            <w:vAlign w:val="center"/>
          </w:tcPr>
          <w:p w14:paraId="5C73730A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0.1(0.1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0.5)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</w:tcBorders>
            <w:vAlign w:val="center"/>
          </w:tcPr>
          <w:p w14:paraId="5411408A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2.1(0.6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6.9)</w:t>
            </w:r>
          </w:p>
        </w:tc>
      </w:tr>
      <w:tr w:rsidR="00976041" w:rsidRPr="000A637E" w14:paraId="42444E1A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406A14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Gastroenterological Fraction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327CB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E89269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30 (36.1%)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45BCFC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40.4 </w:t>
            </w:r>
            <w:r w:rsidRPr="00126751">
              <w:rPr>
                <w:rFonts w:ascii="Palatino Linotype" w:hAnsi="Palatino Linotype" w:cs="AdvTT5235d5a9"/>
              </w:rPr>
              <w:t>± 21.2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6FC62B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1.16 (0.97-1.45)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12496C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 w:cs="AdvTT5235d5a9"/>
              </w:rPr>
              <w:t>68.1 ± 19.7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9779FD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0.71 (0.63-0.81)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A2FE33D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80.0(30.5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538.0)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2D463E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1.2(0.4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3.8)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CA35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3.1(1.3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6.3)</w:t>
            </w:r>
          </w:p>
        </w:tc>
      </w:tr>
      <w:tr w:rsidR="00976041" w:rsidRPr="000A637E" w14:paraId="257DBC88" w14:textId="77777777" w:rsidTr="00721B19">
        <w:tc>
          <w:tcPr>
            <w:tcW w:w="312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750613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Nephrological Fraction</w:t>
            </w:r>
          </w:p>
        </w:tc>
        <w:tc>
          <w:tcPr>
            <w:tcW w:w="70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6DD7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1A306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 30 (54.4)</w:t>
            </w:r>
          </w:p>
        </w:tc>
        <w:tc>
          <w:tcPr>
            <w:tcW w:w="135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BF14DD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50.2 </w:t>
            </w:r>
            <w:r w:rsidRPr="00126751">
              <w:rPr>
                <w:rFonts w:ascii="Palatino Linotype" w:hAnsi="Palatino Linotype" w:cs="AdvTT5235d5a9"/>
              </w:rPr>
              <w:t>± 23.0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904664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1.25 (1.05-1.55)</w:t>
            </w: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E93794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 w:cs="AdvTT5235d5a9"/>
              </w:rPr>
              <w:t>75.4 ± 20.4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060D0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0.93 (0.83-1.06)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A2E540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209.0(40.5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2806.0)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E59866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2.2(0.4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12.3)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B84ECD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14.2(5.6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21.7)</w:t>
            </w:r>
          </w:p>
        </w:tc>
      </w:tr>
      <w:tr w:rsidR="00976041" w:rsidRPr="000A637E" w14:paraId="1E57C38A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B6867E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Hematooncological Fraction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528ED9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3F1D6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 (22.2%)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58F5E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41.6 </w:t>
            </w:r>
            <w:r w:rsidRPr="00126751">
              <w:rPr>
                <w:rFonts w:ascii="Palatino Linotype" w:hAnsi="Palatino Linotype" w:cs="AdvTT5235d5a9"/>
              </w:rPr>
              <w:t>± 18.2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DD885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0.66 (0.52-0.93)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C33B28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B03384">
              <w:rPr>
                <w:rFonts w:ascii="Palatino Linotype" w:hAnsi="Palatino Linotype"/>
              </w:rPr>
              <w:t xml:space="preserve">58.4 </w:t>
            </w:r>
            <w:r w:rsidRPr="00B03384">
              <w:rPr>
                <w:rFonts w:ascii="Palatino Linotype" w:hAnsi="Palatino Linotype" w:cs="AdvTT5235d5a9"/>
              </w:rPr>
              <w:t>± 15.9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C13C0E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0.63 (0.51-0.82)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A29CCB7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75.5(20.3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132.5)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9F43FA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1.6(0.6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4.1)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FF89D7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6.5(1.8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16.1)</w:t>
            </w:r>
          </w:p>
        </w:tc>
      </w:tr>
      <w:tr w:rsidR="00976041" w:rsidRPr="000A637E" w14:paraId="59181C5C" w14:textId="77777777" w:rsidTr="00721B19">
        <w:tc>
          <w:tcPr>
            <w:tcW w:w="3120" w:type="dxa"/>
            <w:tcBorders>
              <w:top w:val="single" w:sz="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F55515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Endocrinological/Other Fractions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09CDD934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1259D0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10 (21.7%)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100C43B4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37.3 </w:t>
            </w:r>
            <w:r w:rsidRPr="00126751">
              <w:rPr>
                <w:rFonts w:ascii="Palatino Linotype" w:hAnsi="Palatino Linotype" w:cs="AdvTT5235d5a9"/>
              </w:rPr>
              <w:t>± 22.02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18DFA47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0.75 (0.57-1.08)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14:paraId="7EC73DDF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B03384">
              <w:rPr>
                <w:rFonts w:ascii="Palatino Linotype" w:hAnsi="Palatino Linotype"/>
              </w:rPr>
              <w:t xml:space="preserve">57.0 </w:t>
            </w:r>
            <w:r w:rsidRPr="00B03384">
              <w:rPr>
                <w:rFonts w:ascii="Palatino Linotype" w:hAnsi="Palatino Linotype" w:cs="AdvTT5235d5a9"/>
              </w:rPr>
              <w:t>±16.1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9D8A2D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0.64 (0.53-0.81)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double" w:sz="12" w:space="0" w:color="auto"/>
            </w:tcBorders>
            <w:vAlign w:val="center"/>
          </w:tcPr>
          <w:p w14:paraId="02CAA51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61.3(21.1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176.5)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12" w:space="0" w:color="auto"/>
            </w:tcBorders>
            <w:vAlign w:val="center"/>
          </w:tcPr>
          <w:p w14:paraId="332AF99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0.1(0.1.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1.3)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12" w:space="0" w:color="auto"/>
            </w:tcBorders>
            <w:vAlign w:val="center"/>
          </w:tcPr>
          <w:p w14:paraId="12B58766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4.7(0.6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13.6)</w:t>
            </w:r>
          </w:p>
        </w:tc>
      </w:tr>
      <w:tr w:rsidR="00976041" w:rsidRPr="000A637E" w14:paraId="6D365035" w14:textId="77777777" w:rsidTr="00721B19">
        <w:tc>
          <w:tcPr>
            <w:tcW w:w="3120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04DA21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Kidney Injury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0DC4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209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7EB9A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80 (38.3%)</w:t>
            </w:r>
          </w:p>
        </w:tc>
        <w:tc>
          <w:tcPr>
            <w:tcW w:w="1356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40D50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 w:cs="AdvTT5235d5a9"/>
              </w:rPr>
              <w:t>45.8 ± 19.9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9F75E7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1.01 (0.91-1.13)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7AEF77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 w:cs="AdvTT5235d5a9"/>
              </w:rPr>
              <w:t>66.2 ± 18.9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418C3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0.81 (0.75-0.89)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7ABCCC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75.5 (21.2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249.0)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</w:tcBorders>
            <w:vAlign w:val="center"/>
          </w:tcPr>
          <w:p w14:paraId="24DACE40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1.1 (0.2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8.3)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000000" w:themeColor="text1"/>
            </w:tcBorders>
            <w:vAlign w:val="center"/>
          </w:tcPr>
          <w:p w14:paraId="79272152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3.6 (1.4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13.3)</w:t>
            </w:r>
          </w:p>
        </w:tc>
      </w:tr>
      <w:tr w:rsidR="00976041" w:rsidRPr="000A637E" w14:paraId="16688826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AFE030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Respiratory Failure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870AD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474B27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81 (42.9%)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1AFAB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51.5 </w:t>
            </w:r>
            <w:r w:rsidRPr="00126751">
              <w:rPr>
                <w:rFonts w:ascii="Palatino Linotype" w:hAnsi="Palatino Linotype" w:cs="AdvTT5235d5a9"/>
              </w:rPr>
              <w:t>± 20.1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125A9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0.91 (0.84-1.01)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2A073A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 xml:space="preserve">69.3 </w:t>
            </w:r>
            <w:r w:rsidRPr="00B03384">
              <w:rPr>
                <w:rFonts w:ascii="Palatino Linotype" w:hAnsi="Palatino Linotype" w:cs="AdvTT5235d5a9"/>
              </w:rPr>
              <w:t xml:space="preserve">± 18.3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643B14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0.83 (0.77-0.89)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F3B1D3F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96.0 (31.1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393.0)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DDCF7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B03384">
              <w:rPr>
                <w:rFonts w:ascii="Palatino Linotype" w:hAnsi="Palatino Linotype" w:cs="AdvTT5235d5a9"/>
              </w:rPr>
              <w:t>1.1 (0.1;5.8)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6C7F9E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6 (2.3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14.6)</w:t>
            </w:r>
          </w:p>
        </w:tc>
      </w:tr>
      <w:tr w:rsidR="00976041" w:rsidRPr="000A637E" w14:paraId="7F05607A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3BD2AD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coronary syndrome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0E0B84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DCAA88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12 (10.7%)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870C9B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30.2 </w:t>
            </w:r>
            <w:r w:rsidRPr="00100139">
              <w:rPr>
                <w:rFonts w:ascii="Palatino Linotype" w:hAnsi="Palatino Linotype" w:cs="AdvTT5235d5a9"/>
              </w:rPr>
              <w:t>± 16.7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FB710B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0.59 (0.47-0.79)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2CB1ED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53.2 </w:t>
            </w:r>
            <w:r w:rsidRPr="00100139">
              <w:rPr>
                <w:rFonts w:ascii="Palatino Linotype" w:hAnsi="Palatino Linotype" w:cs="AdvTT5235d5a9"/>
              </w:rPr>
              <w:t>± 14.8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B29F8B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0.39 (0.34-0.46)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A9F9E8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 xml:space="preserve">20.8 </w:t>
            </w:r>
            <w:r w:rsidRPr="00B03384">
              <w:rPr>
                <w:rFonts w:ascii="Palatino Linotype" w:hAnsi="Palatino Linotype" w:cs="AdvTT5235d5a9"/>
              </w:rPr>
              <w:t>(10.7;58.5)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911414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 w:cs="AdvTT5235d5a9"/>
              </w:rPr>
              <w:t>0.1 (0.1;0.3)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BC333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1.6 (0.6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4.7)</w:t>
            </w:r>
          </w:p>
        </w:tc>
      </w:tr>
      <w:tr w:rsidR="00976041" w:rsidRPr="000A637E" w14:paraId="280DFAE1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531BA3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Monitoring After Surgery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804AB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B806C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5 (9.6%)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83D61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34.8 ± 17.1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87AA93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0.40 (031-0.56)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79874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55.9 ± 16.5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9065D1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0.30 (0.24-0.38)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59EEE4D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75.9 (39.8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157.0)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8BE9D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0.3 (0.1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1.3)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25612F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4.2 (1.3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12.2)</w:t>
            </w:r>
          </w:p>
        </w:tc>
      </w:tr>
      <w:tr w:rsidR="00976041" w:rsidRPr="000A637E" w14:paraId="45B2B9E0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5E430F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Aortic Syndrome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3F6E9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817B87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 (24.2%)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6CD57E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32.7 ± 15.5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470861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1.22 (0.88-1.97)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967A0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50.6 ± 13.7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BA93EA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1.03 (0.80-1.43)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6D5DBEC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53.7 (28.2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159.5)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62B03F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0.2 (0.1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1.4)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102D9D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5.9 (2.1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15.1)</w:t>
            </w:r>
          </w:p>
        </w:tc>
      </w:tr>
      <w:tr w:rsidR="00976041" w:rsidRPr="000A637E" w14:paraId="409A3686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91980B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Gastrointestinal Bleeding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82DDC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81DD0E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12 (40.0%)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0A0E72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34.9 ± 13.5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D8F345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1.77 (1.38-2.46)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97F53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62.7 ± 16.9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966427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0.93 (0.76-1.21)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78CED3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43.4 (12.1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90.3)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74D735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0.5 (0.3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1.8)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70D4A2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2.9 (0.9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4.8)</w:t>
            </w:r>
          </w:p>
        </w:tc>
      </w:tr>
      <w:tr w:rsidR="00976041" w:rsidRPr="000A637E" w14:paraId="1B9C333E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2A8D31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Monitoring After Coronary Interv.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777AD3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AFCB65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 (4.4%)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1A93E5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27.8 ± 14.4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A8867D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0.31 (0.21-0.63)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3C627F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56.9 ± 16.9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9B69FE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0.14 (0.11-0.19)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D3E1688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18.4 (7.0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 xml:space="preserve">50.7)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F33068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0.1 (0.1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0.1)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94C6D2" w14:textId="77777777" w:rsidR="00976041" w:rsidRPr="00B03384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B03384">
              <w:rPr>
                <w:rFonts w:ascii="Palatino Linotype" w:hAnsi="Palatino Linotype"/>
              </w:rPr>
              <w:t>0.8 (0.2</w:t>
            </w:r>
            <w:r w:rsidRPr="00B03384">
              <w:rPr>
                <w:rFonts w:ascii="Palatino Linotype" w:hAnsi="Palatino Linotype" w:cs="AdvTT5235d5a9"/>
              </w:rPr>
              <w:t>;</w:t>
            </w:r>
            <w:r w:rsidRPr="00B03384">
              <w:rPr>
                <w:rFonts w:ascii="Palatino Linotype" w:hAnsi="Palatino Linotype"/>
              </w:rPr>
              <w:t>2.3)</w:t>
            </w:r>
          </w:p>
        </w:tc>
      </w:tr>
      <w:tr w:rsidR="00976041" w:rsidRPr="000A637E" w14:paraId="3085B012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6699E7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Decompensated Heart Failure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B1E97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41615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6 (20.7%)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413D2C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39.6 ± 19.5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D49BA5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0.71 (0.51-1.13)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400E7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59.3 ± 17.7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83706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0.59 (0.47-0.82)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D7C6BD3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27.5 (11.4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120.7)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4144E8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0.5 (0.1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1.4)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FD6E84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3.0 (0.8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6.9)</w:t>
            </w:r>
          </w:p>
        </w:tc>
      </w:tr>
      <w:tr w:rsidR="00976041" w:rsidRPr="000A637E" w14:paraId="0437CFA5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C06E85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Sepsis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5C9ED6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464C42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16 (57.1%)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87BFC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50.3 </w:t>
            </w:r>
            <w:r w:rsidRPr="00100139">
              <w:rPr>
                <w:rFonts w:ascii="Palatino Linotype" w:hAnsi="Palatino Linotype" w:cs="AdvTT5235d5a9"/>
              </w:rPr>
              <w:t>± 23.7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E93DB3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 xml:space="preserve">1.29 </w:t>
            </w:r>
            <w:r w:rsidRPr="00100139">
              <w:rPr>
                <w:rFonts w:ascii="Palatino Linotype" w:hAnsi="Palatino Linotype"/>
              </w:rPr>
              <w:t>(1.08-1.77)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0DCFC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73.5 </w:t>
            </w:r>
            <w:r w:rsidRPr="00100139">
              <w:rPr>
                <w:rFonts w:ascii="Palatino Linotype" w:hAnsi="Palatino Linotype" w:cs="AdvTT5235d5a9"/>
              </w:rPr>
              <w:t>± 24.7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5A8B08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 xml:space="preserve">1.08 </w:t>
            </w:r>
            <w:r w:rsidRPr="00100139">
              <w:rPr>
                <w:rFonts w:ascii="Palatino Linotype" w:hAnsi="Palatino Linotype"/>
              </w:rPr>
              <w:t>(0.88-1.39)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D94A9CA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A8218C">
              <w:rPr>
                <w:rFonts w:ascii="Palatino Linotype" w:hAnsi="Palatino Linotype" w:cs="AdvTT5235d5a9"/>
              </w:rPr>
              <w:t>2250 (531;10000)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429C33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A8218C">
              <w:rPr>
                <w:rFonts w:ascii="Palatino Linotype" w:hAnsi="Palatino Linotype" w:cs="AdvTT5235d5a9"/>
              </w:rPr>
              <w:t>7.5 (3.5;45.3)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6F26FF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A8218C">
              <w:rPr>
                <w:rFonts w:ascii="Palatino Linotype" w:hAnsi="Palatino Linotype" w:cs="AdvTT5235d5a9"/>
              </w:rPr>
              <w:t>19.5 (14.4;27.9)</w:t>
            </w:r>
          </w:p>
        </w:tc>
      </w:tr>
      <w:tr w:rsidR="00976041" w:rsidRPr="00357ECA" w14:paraId="26AC6E68" w14:textId="77777777" w:rsidTr="00721B19"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259999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Liver Failure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82664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9BDBEA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16 (64.0%)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50532F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 w:cs="AdvTT5235d5a9"/>
              </w:rPr>
              <w:t>52.7 ± 25.4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940E3C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1.31 (1.04-1.79)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F2FDAD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 w:cs="AdvTT5235d5a9"/>
              </w:rPr>
              <w:t>77.56 ± 18.1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FA7C49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0.98 (0.85-1.16)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E7EDD54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137.5 (25.0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578.5)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FDAD10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3.3 (1.7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6.7)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53EF0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2.7 (1.4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5.7)</w:t>
            </w:r>
          </w:p>
        </w:tc>
      </w:tr>
      <w:tr w:rsidR="00976041" w:rsidRPr="00357ECA" w14:paraId="16555718" w14:textId="77777777" w:rsidTr="00721B19">
        <w:tc>
          <w:tcPr>
            <w:tcW w:w="3120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1450DE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Cardiac Arrhythmias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F1A4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4F2600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 (9.5%)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2A71A78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34.1 </w:t>
            </w:r>
            <w:r w:rsidRPr="00100139">
              <w:rPr>
                <w:rFonts w:ascii="Palatino Linotype" w:hAnsi="Palatino Linotype" w:cs="AdvTT5235d5a9"/>
              </w:rPr>
              <w:t>± 17.6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35354B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0.39 (0.27-0.85)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454A681F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 xml:space="preserve">53.3 </w:t>
            </w:r>
            <w:r w:rsidRPr="00100139">
              <w:rPr>
                <w:rFonts w:ascii="Palatino Linotype" w:hAnsi="Palatino Linotype" w:cs="AdvTT5235d5a9"/>
              </w:rPr>
              <w:t>± 17.6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28939FD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0.31 (0.23-0.53)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58278BF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20.7 (5.2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57.4)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295F2F6C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 w:cs="AdvTT5235d5a9"/>
              </w:rPr>
              <w:t>0.1 (0.1;0.2)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43AB1BC6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0.9 (0.2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3.5)</w:t>
            </w:r>
          </w:p>
        </w:tc>
      </w:tr>
      <w:tr w:rsidR="00976041" w:rsidRPr="00357ECA" w14:paraId="262CBEE0" w14:textId="77777777" w:rsidTr="00721B19">
        <w:tc>
          <w:tcPr>
            <w:tcW w:w="3120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FAF73A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Pulmonary Arterial Hypertension</w:t>
            </w:r>
          </w:p>
        </w:tc>
        <w:tc>
          <w:tcPr>
            <w:tcW w:w="708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50EB5F29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15</w:t>
            </w:r>
          </w:p>
        </w:tc>
        <w:tc>
          <w:tcPr>
            <w:tcW w:w="127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AE81BB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 (6.7%)</w:t>
            </w:r>
          </w:p>
        </w:tc>
        <w:tc>
          <w:tcPr>
            <w:tcW w:w="135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71B3DAF7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27.2 ± 6.6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E435A3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0.72 (0.54-1.05)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1CEA6417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50 ± 10.2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0E90D5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0.34 (0.24-0.60)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vAlign w:val="center"/>
          </w:tcPr>
          <w:p w14:paraId="34D72A59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16.3 (6.8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21.4)</w:t>
            </w:r>
          </w:p>
        </w:tc>
        <w:tc>
          <w:tcPr>
            <w:tcW w:w="1559" w:type="dxa"/>
            <w:vAlign w:val="center"/>
          </w:tcPr>
          <w:p w14:paraId="3D80728C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0.1 (0.1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0.1)</w:t>
            </w:r>
          </w:p>
        </w:tc>
        <w:tc>
          <w:tcPr>
            <w:tcW w:w="1559" w:type="dxa"/>
            <w:vAlign w:val="center"/>
          </w:tcPr>
          <w:p w14:paraId="03B73303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0.9 (0.2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2)</w:t>
            </w:r>
          </w:p>
        </w:tc>
      </w:tr>
      <w:tr w:rsidR="00976041" w:rsidRPr="00357ECA" w14:paraId="5177291F" w14:textId="77777777" w:rsidTr="00721B19">
        <w:tc>
          <w:tcPr>
            <w:tcW w:w="3120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A3677A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Pulmonary Embolism</w:t>
            </w:r>
          </w:p>
        </w:tc>
        <w:tc>
          <w:tcPr>
            <w:tcW w:w="708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20C56D78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054645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 (10.0%)</w:t>
            </w:r>
          </w:p>
        </w:tc>
        <w:tc>
          <w:tcPr>
            <w:tcW w:w="135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5265AF50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34.6 ± 28.5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37FA2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0.38 (0.21-3.33)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42F15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56 ± 17.1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CF328B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0.29 (0.21-0.57)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vAlign w:val="center"/>
          </w:tcPr>
          <w:p w14:paraId="04D29FFE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27.6 (13.5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36.9)</w:t>
            </w:r>
          </w:p>
        </w:tc>
        <w:tc>
          <w:tcPr>
            <w:tcW w:w="1559" w:type="dxa"/>
            <w:vAlign w:val="center"/>
          </w:tcPr>
          <w:p w14:paraId="1F508E2C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0.1 (0.1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0.2)</w:t>
            </w:r>
          </w:p>
        </w:tc>
        <w:tc>
          <w:tcPr>
            <w:tcW w:w="1559" w:type="dxa"/>
            <w:vAlign w:val="center"/>
          </w:tcPr>
          <w:p w14:paraId="706AEF9C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3.4 (0.7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9.2)</w:t>
            </w:r>
          </w:p>
        </w:tc>
      </w:tr>
      <w:tr w:rsidR="00976041" w:rsidRPr="00357ECA" w14:paraId="38A12AA9" w14:textId="77777777" w:rsidTr="00721B19">
        <w:tc>
          <w:tcPr>
            <w:tcW w:w="3120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716CA4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Acute Abdomen</w:t>
            </w:r>
          </w:p>
        </w:tc>
        <w:tc>
          <w:tcPr>
            <w:tcW w:w="708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1161BC6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8</w:t>
            </w:r>
          </w:p>
        </w:tc>
        <w:tc>
          <w:tcPr>
            <w:tcW w:w="127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847ED2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4 (50.0%)</w:t>
            </w:r>
          </w:p>
        </w:tc>
        <w:tc>
          <w:tcPr>
            <w:tcW w:w="135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F02373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48.1 ± 27.3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D6623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1.17 (0.72-3.16)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44427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57.6 ± 19.3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87542C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1.46 (0.89-4.02)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vAlign w:val="center"/>
          </w:tcPr>
          <w:p w14:paraId="2AB50B2E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890 (193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1666)</w:t>
            </w:r>
          </w:p>
        </w:tc>
        <w:tc>
          <w:tcPr>
            <w:tcW w:w="1559" w:type="dxa"/>
            <w:vAlign w:val="center"/>
          </w:tcPr>
          <w:p w14:paraId="7E7AAC76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10.3 (1.1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19.6)</w:t>
            </w:r>
          </w:p>
        </w:tc>
        <w:tc>
          <w:tcPr>
            <w:tcW w:w="1559" w:type="dxa"/>
            <w:vAlign w:val="center"/>
          </w:tcPr>
          <w:p w14:paraId="43373962" w14:textId="77777777" w:rsidR="00976041" w:rsidRPr="00A8218C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8218C">
              <w:rPr>
                <w:rFonts w:ascii="Palatino Linotype" w:hAnsi="Palatino Linotype"/>
              </w:rPr>
              <w:t>21.4 (8.8</w:t>
            </w:r>
            <w:r w:rsidRPr="00A8218C">
              <w:rPr>
                <w:rFonts w:ascii="Palatino Linotype" w:hAnsi="Palatino Linotype" w:cs="AdvTT5235d5a9"/>
              </w:rPr>
              <w:t>;</w:t>
            </w:r>
            <w:r w:rsidRPr="00A8218C">
              <w:rPr>
                <w:rFonts w:ascii="Palatino Linotype" w:hAnsi="Palatino Linotype"/>
              </w:rPr>
              <w:t>24.2)</w:t>
            </w:r>
          </w:p>
        </w:tc>
      </w:tr>
      <w:tr w:rsidR="00976041" w:rsidRPr="00357ECA" w14:paraId="3E9850ED" w14:textId="77777777" w:rsidTr="00721B19">
        <w:tc>
          <w:tcPr>
            <w:tcW w:w="3120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EE68DE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Intoxication</w:t>
            </w:r>
          </w:p>
        </w:tc>
        <w:tc>
          <w:tcPr>
            <w:tcW w:w="708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6A39CD76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8C0647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 (20.0%)</w:t>
            </w:r>
          </w:p>
        </w:tc>
        <w:tc>
          <w:tcPr>
            <w:tcW w:w="135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4D9A68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31.2 ± 37.6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6C052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0.85 (0.33-1.49)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CC881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52.6 ± 30.36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C4D7FA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0.76 (0.33-2.54)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vAlign w:val="center"/>
          </w:tcPr>
          <w:p w14:paraId="5C9E66DD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 xml:space="preserve">2.8 </w:t>
            </w:r>
            <w:r w:rsidRPr="00126751">
              <w:rPr>
                <w:rFonts w:ascii="Palatino Linotype" w:hAnsi="Palatino Linotype" w:cs="AdvTT5235d5a9"/>
              </w:rPr>
              <w:t>(2.8;2.8)</w:t>
            </w:r>
          </w:p>
        </w:tc>
        <w:tc>
          <w:tcPr>
            <w:tcW w:w="1559" w:type="dxa"/>
            <w:vAlign w:val="center"/>
          </w:tcPr>
          <w:p w14:paraId="43DD0C58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0.1 (0.1</w:t>
            </w:r>
            <w:r>
              <w:rPr>
                <w:rFonts w:ascii="Palatino Linotype" w:hAnsi="Palatino Linotype"/>
              </w:rPr>
              <w:t>;</w:t>
            </w:r>
            <w:r w:rsidRPr="00126751">
              <w:rPr>
                <w:rFonts w:ascii="Palatino Linotype" w:hAnsi="Palatino Linotype"/>
              </w:rPr>
              <w:t>0.1)</w:t>
            </w:r>
          </w:p>
        </w:tc>
        <w:tc>
          <w:tcPr>
            <w:tcW w:w="1559" w:type="dxa"/>
            <w:vAlign w:val="center"/>
          </w:tcPr>
          <w:p w14:paraId="122F6091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0.2 (0.2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0.3)</w:t>
            </w:r>
          </w:p>
        </w:tc>
      </w:tr>
      <w:tr w:rsidR="00976041" w:rsidRPr="008E64A1" w14:paraId="25F31183" w14:textId="77777777" w:rsidTr="00721B19">
        <w:tc>
          <w:tcPr>
            <w:tcW w:w="3120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55B0D" w14:textId="77777777" w:rsidR="00976041" w:rsidRPr="00100139" w:rsidRDefault="00976041" w:rsidP="00721B19">
            <w:pPr>
              <w:spacing w:line="276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00139">
              <w:rPr>
                <w:rFonts w:ascii="Palatino Linotype" w:hAnsi="Palatino Linotype"/>
                <w:b/>
                <w:sz w:val="18"/>
                <w:szCs w:val="18"/>
              </w:rPr>
              <w:t>Others</w:t>
            </w:r>
          </w:p>
        </w:tc>
        <w:tc>
          <w:tcPr>
            <w:tcW w:w="708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6F630272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62</w:t>
            </w:r>
          </w:p>
        </w:tc>
        <w:tc>
          <w:tcPr>
            <w:tcW w:w="127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61D204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15 (25.0%)</w:t>
            </w:r>
          </w:p>
        </w:tc>
        <w:tc>
          <w:tcPr>
            <w:tcW w:w="135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77C2AE01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37.8 ± 20.7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A524E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0.90 (0.71-1.23)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42A36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 w:cs="AdvTT5235d5a9"/>
              </w:rPr>
            </w:pPr>
            <w:r w:rsidRPr="00100139">
              <w:rPr>
                <w:rFonts w:ascii="Palatino Linotype" w:hAnsi="Palatino Linotype" w:cs="AdvTT5235d5a9"/>
              </w:rPr>
              <w:t>61.5 ± 19.1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E45C72" w14:textId="77777777" w:rsidR="00976041" w:rsidRPr="00100139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00139">
              <w:rPr>
                <w:rFonts w:ascii="Palatino Linotype" w:hAnsi="Palatino Linotype"/>
              </w:rPr>
              <w:t>0.64 (0.54-0.77)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vAlign w:val="center"/>
          </w:tcPr>
          <w:p w14:paraId="2BBB5184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36.2 (11.9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99.6)</w:t>
            </w:r>
          </w:p>
        </w:tc>
        <w:tc>
          <w:tcPr>
            <w:tcW w:w="1559" w:type="dxa"/>
            <w:vAlign w:val="center"/>
          </w:tcPr>
          <w:p w14:paraId="4C32EF19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0.4 (0.1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1.8)</w:t>
            </w:r>
          </w:p>
        </w:tc>
        <w:tc>
          <w:tcPr>
            <w:tcW w:w="1559" w:type="dxa"/>
            <w:vAlign w:val="center"/>
          </w:tcPr>
          <w:p w14:paraId="590B6A1F" w14:textId="77777777" w:rsidR="00976041" w:rsidRPr="00126751" w:rsidRDefault="00976041" w:rsidP="00721B1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126751">
              <w:rPr>
                <w:rFonts w:ascii="Palatino Linotype" w:hAnsi="Palatino Linotype"/>
              </w:rPr>
              <w:t>2.6 (0.9</w:t>
            </w:r>
            <w:r w:rsidRPr="00126751">
              <w:rPr>
                <w:rFonts w:ascii="Palatino Linotype" w:hAnsi="Palatino Linotype" w:cs="AdvTT5235d5a9"/>
              </w:rPr>
              <w:t>;</w:t>
            </w:r>
            <w:r w:rsidRPr="00126751">
              <w:rPr>
                <w:rFonts w:ascii="Palatino Linotype" w:hAnsi="Palatino Linotype"/>
              </w:rPr>
              <w:t>8.2)</w:t>
            </w:r>
          </w:p>
        </w:tc>
      </w:tr>
    </w:tbl>
    <w:p w14:paraId="78F397CB" w14:textId="77777777" w:rsidR="00976041" w:rsidRPr="00BC45C4" w:rsidRDefault="00976041" w:rsidP="00976041">
      <w:pPr>
        <w:spacing w:before="240"/>
        <w:rPr>
          <w:rFonts w:ascii="Palatino Linotype" w:hAnsi="Palatino Linotype"/>
        </w:rPr>
      </w:pPr>
      <w:r w:rsidRPr="00BC45C4">
        <w:rPr>
          <w:rFonts w:ascii="Palatino Linotype" w:hAnsi="Palatino Linotype"/>
          <w:sz w:val="18"/>
          <w:szCs w:val="18"/>
        </w:rPr>
        <w:lastRenderedPageBreak/>
        <w:t>SD=Standard Deviation; SMR=Standard Mortality Ratio (=observed mortality rate/mean expected mortality rate); CI=Confidence Interval; MD=median, Q1=first quartile, Q3=third quartile</w:t>
      </w:r>
    </w:p>
    <w:sectPr w:rsidR="00976041" w:rsidRPr="00BC45C4" w:rsidSect="00BC45C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41"/>
    <w:rsid w:val="00012ADC"/>
    <w:rsid w:val="00035B87"/>
    <w:rsid w:val="00067865"/>
    <w:rsid w:val="000C1E9F"/>
    <w:rsid w:val="000C31BD"/>
    <w:rsid w:val="000D01F5"/>
    <w:rsid w:val="000D32C9"/>
    <w:rsid w:val="000D5AF2"/>
    <w:rsid w:val="000E52DA"/>
    <w:rsid w:val="00126B96"/>
    <w:rsid w:val="00194218"/>
    <w:rsid w:val="001B12AC"/>
    <w:rsid w:val="001B511F"/>
    <w:rsid w:val="001B5F59"/>
    <w:rsid w:val="001D2B00"/>
    <w:rsid w:val="001E1B28"/>
    <w:rsid w:val="00217748"/>
    <w:rsid w:val="00237CDC"/>
    <w:rsid w:val="00251A08"/>
    <w:rsid w:val="00257DD1"/>
    <w:rsid w:val="002611AB"/>
    <w:rsid w:val="0026494A"/>
    <w:rsid w:val="00284497"/>
    <w:rsid w:val="002A4EC8"/>
    <w:rsid w:val="002B2ACF"/>
    <w:rsid w:val="002E3935"/>
    <w:rsid w:val="0032447E"/>
    <w:rsid w:val="00327BC9"/>
    <w:rsid w:val="00344E25"/>
    <w:rsid w:val="00345666"/>
    <w:rsid w:val="00393984"/>
    <w:rsid w:val="003A245E"/>
    <w:rsid w:val="003B64D2"/>
    <w:rsid w:val="003E1747"/>
    <w:rsid w:val="003E513A"/>
    <w:rsid w:val="003F4105"/>
    <w:rsid w:val="00414106"/>
    <w:rsid w:val="00416383"/>
    <w:rsid w:val="00423725"/>
    <w:rsid w:val="004259F4"/>
    <w:rsid w:val="0044794F"/>
    <w:rsid w:val="00455085"/>
    <w:rsid w:val="00462BB3"/>
    <w:rsid w:val="00466F86"/>
    <w:rsid w:val="00482B34"/>
    <w:rsid w:val="004A1F20"/>
    <w:rsid w:val="004E236F"/>
    <w:rsid w:val="004E25E0"/>
    <w:rsid w:val="005137D2"/>
    <w:rsid w:val="00520A8C"/>
    <w:rsid w:val="005312E9"/>
    <w:rsid w:val="00537F27"/>
    <w:rsid w:val="00561571"/>
    <w:rsid w:val="00561F7B"/>
    <w:rsid w:val="00572104"/>
    <w:rsid w:val="005824ED"/>
    <w:rsid w:val="00582C12"/>
    <w:rsid w:val="0058696B"/>
    <w:rsid w:val="00595CD8"/>
    <w:rsid w:val="005B720F"/>
    <w:rsid w:val="005C47ED"/>
    <w:rsid w:val="005C7648"/>
    <w:rsid w:val="005D2BD8"/>
    <w:rsid w:val="005F3BDB"/>
    <w:rsid w:val="005F6798"/>
    <w:rsid w:val="006308E0"/>
    <w:rsid w:val="006405E8"/>
    <w:rsid w:val="00642008"/>
    <w:rsid w:val="00642368"/>
    <w:rsid w:val="006502F1"/>
    <w:rsid w:val="00661CF5"/>
    <w:rsid w:val="00662CB8"/>
    <w:rsid w:val="006660A3"/>
    <w:rsid w:val="00677421"/>
    <w:rsid w:val="00692419"/>
    <w:rsid w:val="006946D4"/>
    <w:rsid w:val="006B2177"/>
    <w:rsid w:val="006D20E9"/>
    <w:rsid w:val="006D586D"/>
    <w:rsid w:val="006E7AF1"/>
    <w:rsid w:val="006F1CA7"/>
    <w:rsid w:val="006F34BA"/>
    <w:rsid w:val="006F555D"/>
    <w:rsid w:val="007010F2"/>
    <w:rsid w:val="007215BA"/>
    <w:rsid w:val="00722C1B"/>
    <w:rsid w:val="00725555"/>
    <w:rsid w:val="007311AD"/>
    <w:rsid w:val="007324C8"/>
    <w:rsid w:val="00740F27"/>
    <w:rsid w:val="0075737A"/>
    <w:rsid w:val="0077404B"/>
    <w:rsid w:val="00785C3F"/>
    <w:rsid w:val="00795316"/>
    <w:rsid w:val="007A160D"/>
    <w:rsid w:val="007A4C68"/>
    <w:rsid w:val="007D2F55"/>
    <w:rsid w:val="007F0045"/>
    <w:rsid w:val="007F0D61"/>
    <w:rsid w:val="0081095D"/>
    <w:rsid w:val="0081734F"/>
    <w:rsid w:val="00827F51"/>
    <w:rsid w:val="008340C1"/>
    <w:rsid w:val="0083647C"/>
    <w:rsid w:val="0084273A"/>
    <w:rsid w:val="00846862"/>
    <w:rsid w:val="00851FD3"/>
    <w:rsid w:val="008526CB"/>
    <w:rsid w:val="00861ADF"/>
    <w:rsid w:val="008744F0"/>
    <w:rsid w:val="008847B0"/>
    <w:rsid w:val="0089416A"/>
    <w:rsid w:val="00897B44"/>
    <w:rsid w:val="008A7014"/>
    <w:rsid w:val="008B3D98"/>
    <w:rsid w:val="008B5177"/>
    <w:rsid w:val="008C3D40"/>
    <w:rsid w:val="008C4512"/>
    <w:rsid w:val="008E597A"/>
    <w:rsid w:val="008E711B"/>
    <w:rsid w:val="008F566A"/>
    <w:rsid w:val="00912380"/>
    <w:rsid w:val="00913971"/>
    <w:rsid w:val="0093194D"/>
    <w:rsid w:val="00940251"/>
    <w:rsid w:val="00943C4D"/>
    <w:rsid w:val="009445A7"/>
    <w:rsid w:val="009600E8"/>
    <w:rsid w:val="00962F27"/>
    <w:rsid w:val="00967704"/>
    <w:rsid w:val="009703C7"/>
    <w:rsid w:val="00976041"/>
    <w:rsid w:val="00997AB4"/>
    <w:rsid w:val="009A59F1"/>
    <w:rsid w:val="009B7968"/>
    <w:rsid w:val="009C06E0"/>
    <w:rsid w:val="009E430E"/>
    <w:rsid w:val="009E6F93"/>
    <w:rsid w:val="00A0201B"/>
    <w:rsid w:val="00A37C62"/>
    <w:rsid w:val="00A42206"/>
    <w:rsid w:val="00A51B7D"/>
    <w:rsid w:val="00A64D80"/>
    <w:rsid w:val="00A65F7A"/>
    <w:rsid w:val="00A800BF"/>
    <w:rsid w:val="00A8328B"/>
    <w:rsid w:val="00AA0194"/>
    <w:rsid w:val="00AC7AF7"/>
    <w:rsid w:val="00AE2E9B"/>
    <w:rsid w:val="00AF10EF"/>
    <w:rsid w:val="00B01D63"/>
    <w:rsid w:val="00B17A1C"/>
    <w:rsid w:val="00B24BC9"/>
    <w:rsid w:val="00B27CDE"/>
    <w:rsid w:val="00B31E13"/>
    <w:rsid w:val="00B649FB"/>
    <w:rsid w:val="00B73C44"/>
    <w:rsid w:val="00B839ED"/>
    <w:rsid w:val="00B86323"/>
    <w:rsid w:val="00B97081"/>
    <w:rsid w:val="00BA1607"/>
    <w:rsid w:val="00BA29E2"/>
    <w:rsid w:val="00BB0D12"/>
    <w:rsid w:val="00BB5B61"/>
    <w:rsid w:val="00BE2F64"/>
    <w:rsid w:val="00BE6225"/>
    <w:rsid w:val="00BE6452"/>
    <w:rsid w:val="00BF34B2"/>
    <w:rsid w:val="00C26CF0"/>
    <w:rsid w:val="00C4748C"/>
    <w:rsid w:val="00C5729C"/>
    <w:rsid w:val="00C71EA9"/>
    <w:rsid w:val="00C81D1F"/>
    <w:rsid w:val="00CB4930"/>
    <w:rsid w:val="00CC4F49"/>
    <w:rsid w:val="00CD7DB0"/>
    <w:rsid w:val="00CE66BF"/>
    <w:rsid w:val="00CE6A17"/>
    <w:rsid w:val="00D07D16"/>
    <w:rsid w:val="00D20ADB"/>
    <w:rsid w:val="00D33772"/>
    <w:rsid w:val="00D52F7D"/>
    <w:rsid w:val="00D748A5"/>
    <w:rsid w:val="00D74E79"/>
    <w:rsid w:val="00DA77D7"/>
    <w:rsid w:val="00DB1813"/>
    <w:rsid w:val="00DB3E21"/>
    <w:rsid w:val="00DB546A"/>
    <w:rsid w:val="00DB7189"/>
    <w:rsid w:val="00DE62BB"/>
    <w:rsid w:val="00E3319A"/>
    <w:rsid w:val="00E459CF"/>
    <w:rsid w:val="00E53A96"/>
    <w:rsid w:val="00E5498C"/>
    <w:rsid w:val="00E70EC2"/>
    <w:rsid w:val="00E90B31"/>
    <w:rsid w:val="00E93C22"/>
    <w:rsid w:val="00EA09B5"/>
    <w:rsid w:val="00EA0ABD"/>
    <w:rsid w:val="00EA58C6"/>
    <w:rsid w:val="00EC1302"/>
    <w:rsid w:val="00EC6AA6"/>
    <w:rsid w:val="00ED44BD"/>
    <w:rsid w:val="00EF6A90"/>
    <w:rsid w:val="00F07F8A"/>
    <w:rsid w:val="00F103E9"/>
    <w:rsid w:val="00F116BD"/>
    <w:rsid w:val="00F21D36"/>
    <w:rsid w:val="00F30FA9"/>
    <w:rsid w:val="00F6137D"/>
    <w:rsid w:val="00F62985"/>
    <w:rsid w:val="00F6551D"/>
    <w:rsid w:val="00F65F3C"/>
    <w:rsid w:val="00FA0091"/>
    <w:rsid w:val="00FA46E7"/>
    <w:rsid w:val="00FB4302"/>
    <w:rsid w:val="00FE569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D273"/>
  <w15:docId w15:val="{EE2F30D8-1949-49AD-9120-17BD816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041"/>
    <w:pPr>
      <w:spacing w:after="0" w:line="240" w:lineRule="auto"/>
    </w:pPr>
    <w:rPr>
      <w:rFonts w:ascii="Calibri" w:eastAsia="SimSun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chn off31</cp:lastModifiedBy>
  <cp:revision>2</cp:revision>
  <dcterms:created xsi:type="dcterms:W3CDTF">2020-08-25T13:58:00Z</dcterms:created>
  <dcterms:modified xsi:type="dcterms:W3CDTF">2020-08-26T03:33:00Z</dcterms:modified>
</cp:coreProperties>
</file>