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BB" w:rsidRDefault="00763FBB" w:rsidP="002D6A8E">
      <w:pPr>
        <w:spacing w:line="360" w:lineRule="auto"/>
        <w:rPr>
          <w:rFonts w:ascii="Arial" w:eastAsia="Times New Roman" w:hAnsi="Arial" w:cs="Arial"/>
          <w:bCs/>
          <w:sz w:val="20"/>
          <w:szCs w:val="20"/>
        </w:rPr>
      </w:pPr>
      <w:r>
        <w:rPr>
          <w:rFonts w:ascii="Arial" w:eastAsia="Times New Roman" w:hAnsi="Arial" w:cs="Arial"/>
          <w:bCs/>
          <w:sz w:val="20"/>
          <w:szCs w:val="20"/>
        </w:rPr>
        <w:t>S1</w:t>
      </w:r>
      <w:r w:rsidRPr="00D972DB">
        <w:rPr>
          <w:rFonts w:ascii="Arial" w:eastAsia="Times New Roman" w:hAnsi="Arial" w:cs="Arial"/>
          <w:bCs/>
          <w:sz w:val="20"/>
          <w:szCs w:val="20"/>
        </w:rPr>
        <w:t xml:space="preserve"> </w:t>
      </w:r>
      <w:r>
        <w:rPr>
          <w:rFonts w:ascii="Arial" w:eastAsia="Times New Roman" w:hAnsi="Arial" w:cs="Arial"/>
          <w:bCs/>
          <w:sz w:val="20"/>
          <w:szCs w:val="20"/>
        </w:rPr>
        <w:t>Table</w:t>
      </w:r>
      <w:r w:rsidRPr="00D972DB">
        <w:rPr>
          <w:rFonts w:ascii="Arial" w:eastAsia="Times New Roman" w:hAnsi="Arial" w:cs="Arial"/>
          <w:bCs/>
          <w:sz w:val="20"/>
          <w:szCs w:val="20"/>
        </w:rPr>
        <w:t xml:space="preserve">. </w:t>
      </w:r>
    </w:p>
    <w:tbl>
      <w:tblPr>
        <w:tblStyle w:val="TableGrid"/>
        <w:tblW w:w="0" w:type="auto"/>
        <w:tblLook w:val="04A0" w:firstRow="1" w:lastRow="0" w:firstColumn="1" w:lastColumn="0" w:noHBand="0" w:noVBand="1"/>
      </w:tblPr>
      <w:tblGrid>
        <w:gridCol w:w="9010"/>
      </w:tblGrid>
      <w:tr w:rsidR="00763FBB" w:rsidRPr="001626DA" w:rsidTr="009F5DC8">
        <w:trPr>
          <w:trHeight w:val="152"/>
        </w:trPr>
        <w:tc>
          <w:tcPr>
            <w:tcW w:w="9010" w:type="dxa"/>
            <w:shd w:val="clear" w:color="auto" w:fill="D9D9D9" w:themeFill="background1" w:themeFillShade="D9"/>
          </w:tcPr>
          <w:p w:rsidR="00763FBB" w:rsidRPr="001626DA" w:rsidRDefault="00763FBB" w:rsidP="002D6A8E">
            <w:pPr>
              <w:spacing w:line="360" w:lineRule="auto"/>
              <w:rPr>
                <w:rFonts w:ascii="Arial" w:eastAsia="Times New Roman" w:hAnsi="Arial" w:cs="Arial"/>
                <w:b/>
                <w:bCs/>
                <w:sz w:val="20"/>
                <w:szCs w:val="20"/>
              </w:rPr>
            </w:pPr>
            <w:r w:rsidRPr="001626DA">
              <w:rPr>
                <w:rFonts w:ascii="Arial" w:eastAsia="Times New Roman" w:hAnsi="Arial" w:cs="Arial"/>
                <w:b/>
                <w:color w:val="000000" w:themeColor="text1"/>
                <w:sz w:val="20"/>
                <w:szCs w:val="20"/>
              </w:rPr>
              <w:t>What does the concept of “validity” of indicators mean to various stakeholders?</w:t>
            </w:r>
          </w:p>
        </w:tc>
      </w:tr>
      <w:tr w:rsidR="00763FBB" w:rsidTr="009F5DC8">
        <w:tc>
          <w:tcPr>
            <w:tcW w:w="9010" w:type="dxa"/>
          </w:tcPr>
          <w:p w:rsidR="00763FBB" w:rsidRPr="001626DA" w:rsidRDefault="00763FBB" w:rsidP="002D6A8E">
            <w:pPr>
              <w:spacing w:line="360" w:lineRule="auto"/>
              <w:rPr>
                <w:rFonts w:ascii="Arial" w:eastAsia="Times New Roman" w:hAnsi="Arial" w:cs="Arial"/>
                <w:sz w:val="20"/>
                <w:szCs w:val="20"/>
              </w:rPr>
            </w:pPr>
            <w:r w:rsidRPr="001626DA">
              <w:rPr>
                <w:rFonts w:ascii="Arial" w:eastAsia="Times New Roman" w:hAnsi="Arial" w:cs="Arial"/>
                <w:sz w:val="20"/>
                <w:szCs w:val="20"/>
              </w:rPr>
              <w:t>The meaning of indicator validity means different things to different people, including by different users, languages, and disciplinary backgrounds.</w:t>
            </w:r>
          </w:p>
          <w:p w:rsidR="00763FBB" w:rsidRPr="001626DA" w:rsidRDefault="00763FBB" w:rsidP="002D6A8E">
            <w:pPr>
              <w:spacing w:line="360" w:lineRule="auto"/>
              <w:rPr>
                <w:rFonts w:ascii="Arial" w:eastAsia="Times New Roman" w:hAnsi="Arial" w:cs="Arial"/>
                <w:sz w:val="20"/>
                <w:szCs w:val="20"/>
              </w:rPr>
            </w:pPr>
          </w:p>
          <w:p w:rsidR="00763FBB" w:rsidRPr="001626DA" w:rsidRDefault="00763FBB" w:rsidP="002D6A8E">
            <w:pPr>
              <w:spacing w:line="360" w:lineRule="auto"/>
              <w:rPr>
                <w:rFonts w:ascii="Arial" w:eastAsia="Times New Roman" w:hAnsi="Arial" w:cs="Arial"/>
                <w:sz w:val="20"/>
                <w:szCs w:val="20"/>
              </w:rPr>
            </w:pPr>
            <w:r w:rsidRPr="001626DA">
              <w:rPr>
                <w:rFonts w:ascii="Arial" w:eastAsia="Times New Roman" w:hAnsi="Arial" w:cs="Arial"/>
                <w:sz w:val="20"/>
                <w:szCs w:val="20"/>
              </w:rPr>
              <w:t>Three most common understandings of indicator validity mentioned were:</w:t>
            </w:r>
          </w:p>
          <w:p w:rsidR="00763FBB" w:rsidRPr="001626DA" w:rsidRDefault="00763FBB" w:rsidP="002D6A8E">
            <w:pPr>
              <w:numPr>
                <w:ilvl w:val="0"/>
                <w:numId w:val="1"/>
              </w:numPr>
              <w:spacing w:line="360" w:lineRule="auto"/>
              <w:ind w:left="317" w:hanging="284"/>
              <w:contextualSpacing/>
              <w:rPr>
                <w:rFonts w:ascii="Arial" w:eastAsia="Times New Roman" w:hAnsi="Arial" w:cs="Arial"/>
                <w:color w:val="000000" w:themeColor="text1"/>
                <w:sz w:val="20"/>
                <w:szCs w:val="20"/>
              </w:rPr>
            </w:pPr>
            <w:r w:rsidRPr="001626DA">
              <w:rPr>
                <w:rFonts w:ascii="Arial" w:eastAsia="Times New Roman" w:hAnsi="Arial" w:cs="Arial"/>
                <w:color w:val="000000" w:themeColor="text1"/>
                <w:sz w:val="20"/>
                <w:szCs w:val="20"/>
              </w:rPr>
              <w:t>The extent to which an indicator is meaningful to progress, leads to change, is worth the measurement effort.</w:t>
            </w:r>
          </w:p>
          <w:p w:rsidR="00763FBB" w:rsidRPr="001626DA" w:rsidRDefault="00763FBB" w:rsidP="002D6A8E">
            <w:pPr>
              <w:spacing w:line="360" w:lineRule="auto"/>
              <w:ind w:left="317"/>
              <w:contextualSpacing/>
              <w:rPr>
                <w:rFonts w:ascii="Arial" w:eastAsia="Times New Roman" w:hAnsi="Arial" w:cs="Arial"/>
                <w:color w:val="000000" w:themeColor="text1"/>
                <w:sz w:val="20"/>
                <w:szCs w:val="20"/>
              </w:rPr>
            </w:pPr>
          </w:p>
          <w:p w:rsidR="00763FBB" w:rsidRPr="0033625B" w:rsidRDefault="00763FBB" w:rsidP="002D6A8E">
            <w:pPr>
              <w:numPr>
                <w:ilvl w:val="0"/>
                <w:numId w:val="1"/>
              </w:numPr>
              <w:spacing w:line="360" w:lineRule="auto"/>
              <w:ind w:left="317" w:hanging="284"/>
              <w:contextualSpacing/>
              <w:rPr>
                <w:rFonts w:ascii="Arial" w:eastAsia="Times New Roman" w:hAnsi="Arial" w:cs="Arial"/>
                <w:sz w:val="20"/>
                <w:szCs w:val="20"/>
              </w:rPr>
            </w:pPr>
            <w:r w:rsidRPr="001626DA">
              <w:rPr>
                <w:rFonts w:ascii="Arial" w:eastAsia="Times New Roman" w:hAnsi="Arial" w:cs="Arial"/>
                <w:color w:val="000000" w:themeColor="text1"/>
                <w:sz w:val="20"/>
                <w:szCs w:val="20"/>
              </w:rPr>
              <w:t xml:space="preserve">The extent to which the measurement of </w:t>
            </w:r>
            <w:r>
              <w:rPr>
                <w:rFonts w:ascii="Arial" w:eastAsia="Times New Roman" w:hAnsi="Arial" w:cs="Arial"/>
                <w:color w:val="000000" w:themeColor="text1"/>
                <w:sz w:val="20"/>
                <w:szCs w:val="20"/>
              </w:rPr>
              <w:t>an</w:t>
            </w:r>
            <w:r w:rsidRPr="001626DA">
              <w:rPr>
                <w:rFonts w:ascii="Arial" w:eastAsia="Times New Roman" w:hAnsi="Arial" w:cs="Arial"/>
                <w:color w:val="000000" w:themeColor="text1"/>
                <w:sz w:val="20"/>
                <w:szCs w:val="20"/>
              </w:rPr>
              <w:t xml:space="preserve"> indicator corresponds to the construct of interest and is </w:t>
            </w:r>
            <w:r w:rsidRPr="001626DA">
              <w:rPr>
                <w:rFonts w:ascii="Arial" w:hAnsi="Arial" w:cs="Arial"/>
                <w:sz w:val="20"/>
                <w:szCs w:val="20"/>
              </w:rPr>
              <w:t>a good representation of the real world.</w:t>
            </w:r>
            <w:r w:rsidRPr="001626DA">
              <w:rPr>
                <w:rFonts w:ascii="Arial" w:hAnsi="Arial" w:cs="Arial"/>
                <w:color w:val="000000" w:themeColor="text1"/>
                <w:sz w:val="20"/>
                <w:szCs w:val="20"/>
              </w:rPr>
              <w:t xml:space="preserve"> If an indicator is being used as a proxy for a construct that is too difficult or expensive to measure, this should be explicitly recognised in the production and interpretation of such indicator. The underlying relationship between the proxy and the concept needs to be clear.</w:t>
            </w:r>
          </w:p>
          <w:p w:rsidR="00763FBB" w:rsidRDefault="00763FBB" w:rsidP="002D6A8E">
            <w:pPr>
              <w:pStyle w:val="ListParagraph"/>
              <w:spacing w:line="360" w:lineRule="auto"/>
              <w:rPr>
                <w:rFonts w:ascii="Arial" w:eastAsia="Times New Roman" w:hAnsi="Arial" w:cs="Arial"/>
                <w:color w:val="000000" w:themeColor="text1"/>
                <w:sz w:val="20"/>
                <w:szCs w:val="20"/>
              </w:rPr>
            </w:pPr>
          </w:p>
          <w:p w:rsidR="00763FBB" w:rsidRPr="0033625B" w:rsidRDefault="00763FBB" w:rsidP="002D6A8E">
            <w:pPr>
              <w:numPr>
                <w:ilvl w:val="0"/>
                <w:numId w:val="1"/>
              </w:numPr>
              <w:spacing w:line="360" w:lineRule="auto"/>
              <w:ind w:left="317" w:hanging="284"/>
              <w:contextualSpacing/>
              <w:rPr>
                <w:rFonts w:ascii="Arial" w:eastAsia="Times New Roman" w:hAnsi="Arial" w:cs="Arial"/>
                <w:sz w:val="20"/>
                <w:szCs w:val="20"/>
              </w:rPr>
            </w:pPr>
            <w:r w:rsidRPr="0033625B">
              <w:rPr>
                <w:rFonts w:ascii="Arial" w:eastAsia="Times New Roman" w:hAnsi="Arial" w:cs="Arial"/>
                <w:color w:val="000000" w:themeColor="text1"/>
                <w:sz w:val="20"/>
                <w:szCs w:val="20"/>
              </w:rPr>
              <w:t>Assessment of indicator performance against an objective gold standard. Can be seen as t</w:t>
            </w:r>
            <w:r w:rsidRPr="0033625B">
              <w:rPr>
                <w:rFonts w:ascii="Arial" w:hAnsi="Arial" w:cs="Arial"/>
                <w:color w:val="000000" w:themeColor="text1"/>
                <w:sz w:val="20"/>
                <w:szCs w:val="20"/>
              </w:rPr>
              <w:t xml:space="preserve">he narrowest, most technical, definition of indicator validity, but it </w:t>
            </w:r>
            <w:r>
              <w:rPr>
                <w:rFonts w:ascii="Arial" w:hAnsi="Arial" w:cs="Arial"/>
                <w:color w:val="000000" w:themeColor="text1"/>
                <w:sz w:val="20"/>
                <w:szCs w:val="20"/>
              </w:rPr>
              <w:t>wa</w:t>
            </w:r>
            <w:r w:rsidRPr="0033625B">
              <w:rPr>
                <w:rFonts w:ascii="Arial" w:hAnsi="Arial" w:cs="Arial"/>
                <w:color w:val="000000" w:themeColor="text1"/>
                <w:sz w:val="20"/>
                <w:szCs w:val="20"/>
              </w:rPr>
              <w:t>s perhaps the most commonly shared understanding of validity among the various stakeholders.</w:t>
            </w:r>
          </w:p>
        </w:tc>
      </w:tr>
      <w:tr w:rsidR="00763FBB" w:rsidRPr="001626DA" w:rsidTr="009F5DC8">
        <w:tc>
          <w:tcPr>
            <w:tcW w:w="9010" w:type="dxa"/>
            <w:shd w:val="clear" w:color="auto" w:fill="D9D9D9" w:themeFill="background1" w:themeFillShade="D9"/>
          </w:tcPr>
          <w:p w:rsidR="00763FBB" w:rsidRPr="001626DA" w:rsidRDefault="00763FBB" w:rsidP="002D6A8E">
            <w:pPr>
              <w:spacing w:line="360" w:lineRule="auto"/>
              <w:rPr>
                <w:rFonts w:ascii="Arial" w:eastAsia="Times New Roman" w:hAnsi="Arial" w:cs="Arial"/>
                <w:b/>
                <w:bCs/>
                <w:sz w:val="20"/>
                <w:szCs w:val="20"/>
              </w:rPr>
            </w:pPr>
            <w:r w:rsidRPr="001626DA">
              <w:rPr>
                <w:rFonts w:ascii="Arial" w:eastAsia="Times New Roman" w:hAnsi="Arial" w:cs="Arial"/>
                <w:b/>
                <w:color w:val="000000" w:themeColor="text1"/>
                <w:sz w:val="20"/>
                <w:szCs w:val="20"/>
              </w:rPr>
              <w:t>What types of approaches are considered useful in assessing indicator validity?</w:t>
            </w:r>
          </w:p>
        </w:tc>
      </w:tr>
      <w:tr w:rsidR="00763FBB" w:rsidTr="009F5DC8">
        <w:tc>
          <w:tcPr>
            <w:tcW w:w="9010" w:type="dxa"/>
          </w:tcPr>
          <w:p w:rsidR="00763FBB" w:rsidRPr="001626DA" w:rsidRDefault="00763FBB" w:rsidP="002D6A8E">
            <w:pPr>
              <w:numPr>
                <w:ilvl w:val="0"/>
                <w:numId w:val="2"/>
              </w:numPr>
              <w:spacing w:line="360" w:lineRule="auto"/>
              <w:ind w:left="317" w:hanging="317"/>
              <w:contextualSpacing/>
              <w:rPr>
                <w:rFonts w:ascii="Arial" w:eastAsia="Times New Roman" w:hAnsi="Arial" w:cs="Arial"/>
                <w:color w:val="000000" w:themeColor="text1"/>
                <w:sz w:val="20"/>
                <w:szCs w:val="20"/>
              </w:rPr>
            </w:pPr>
            <w:r w:rsidRPr="001626DA">
              <w:rPr>
                <w:rFonts w:ascii="Arial" w:eastAsia="Times New Roman" w:hAnsi="Arial" w:cs="Arial"/>
                <w:color w:val="000000" w:themeColor="text1"/>
                <w:sz w:val="20"/>
                <w:szCs w:val="20"/>
              </w:rPr>
              <w:t>Key informants mentioned a shift over time in the methods used to assess indicator validity from a focus on methods such as internal consistency, external consistency, reliability, and cognitive interviewing, toward a focus on diagnostic assessment of validity using a gold standard comp</w:t>
            </w:r>
            <w:bookmarkStart w:id="0" w:name="_GoBack"/>
            <w:bookmarkEnd w:id="0"/>
            <w:r w:rsidRPr="001626DA">
              <w:rPr>
                <w:rFonts w:ascii="Arial" w:eastAsia="Times New Roman" w:hAnsi="Arial" w:cs="Arial"/>
                <w:color w:val="000000" w:themeColor="text1"/>
                <w:sz w:val="20"/>
                <w:szCs w:val="20"/>
              </w:rPr>
              <w:t>arison. Such diagnostic-style validity studies predominantly assess</w:t>
            </w:r>
            <w:r w:rsidRPr="001626DA">
              <w:rPr>
                <w:rFonts w:ascii="Arial" w:hAnsi="Arial" w:cs="Arial"/>
                <w:color w:val="000000" w:themeColor="text1"/>
                <w:sz w:val="20"/>
                <w:szCs w:val="20"/>
              </w:rPr>
              <w:t xml:space="preserve"> maternal and </w:t>
            </w:r>
            <w:proofErr w:type="spellStart"/>
            <w:r w:rsidRPr="001626DA">
              <w:rPr>
                <w:rFonts w:ascii="Arial" w:hAnsi="Arial" w:cs="Arial"/>
                <w:color w:val="000000" w:themeColor="text1"/>
                <w:sz w:val="20"/>
                <w:szCs w:val="20"/>
              </w:rPr>
              <w:t>newborn</w:t>
            </w:r>
            <w:proofErr w:type="spellEnd"/>
            <w:r w:rsidRPr="001626DA">
              <w:rPr>
                <w:rFonts w:ascii="Arial" w:hAnsi="Arial" w:cs="Arial"/>
                <w:color w:val="000000" w:themeColor="text1"/>
                <w:sz w:val="20"/>
                <w:szCs w:val="20"/>
              </w:rPr>
              <w:t xml:space="preserve"> health indicators derived from population-level surveys. Work on indicators capturing reproductive morbidities and obstetric complications using diagnostic-style validation comparing women’s recall to a gold standard, which showed poor diagnostic validity of these indicators over 20 years ago, was an exception to this trend. Overall, key informants welcomed the increased attention to and funding </w:t>
            </w:r>
            <w:r>
              <w:rPr>
                <w:rFonts w:ascii="Arial" w:hAnsi="Arial" w:cs="Arial"/>
                <w:color w:val="000000" w:themeColor="text1"/>
                <w:sz w:val="20"/>
                <w:szCs w:val="20"/>
              </w:rPr>
              <w:t>of</w:t>
            </w:r>
            <w:r w:rsidRPr="001626DA">
              <w:rPr>
                <w:rFonts w:ascii="Arial" w:hAnsi="Arial" w:cs="Arial"/>
                <w:color w:val="000000" w:themeColor="text1"/>
                <w:sz w:val="20"/>
                <w:szCs w:val="20"/>
              </w:rPr>
              <w:t xml:space="preserve"> assessment of diagnostic/criterion validity, but noted that continued research on other types of validity, including those related to meaning and meaningfulness, should not be neglected. Additionally, several respondents expressed the need for results of more routine elements of survey question development and testing, such as cognitive interviews, to be published more consistently for other researchers and stakeholders to use.</w:t>
            </w:r>
          </w:p>
          <w:p w:rsidR="00763FBB" w:rsidRPr="001626DA" w:rsidRDefault="00763FBB" w:rsidP="002D6A8E">
            <w:pPr>
              <w:spacing w:line="360" w:lineRule="auto"/>
              <w:ind w:left="317" w:hanging="317"/>
              <w:rPr>
                <w:rFonts w:ascii="Arial" w:eastAsia="Times New Roman" w:hAnsi="Arial" w:cs="Arial"/>
                <w:color w:val="000000" w:themeColor="text1"/>
                <w:sz w:val="20"/>
                <w:szCs w:val="20"/>
              </w:rPr>
            </w:pPr>
          </w:p>
          <w:p w:rsidR="00763FBB" w:rsidRPr="001626DA" w:rsidRDefault="00763FBB" w:rsidP="002D6A8E">
            <w:pPr>
              <w:numPr>
                <w:ilvl w:val="0"/>
                <w:numId w:val="2"/>
              </w:numPr>
              <w:spacing w:line="360" w:lineRule="auto"/>
              <w:ind w:left="317" w:hanging="317"/>
              <w:contextualSpacing/>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Key informants highlighted r</w:t>
            </w:r>
            <w:r w:rsidRPr="001626DA">
              <w:rPr>
                <w:rFonts w:ascii="Arial" w:eastAsia="Times New Roman" w:hAnsi="Arial" w:cs="Arial"/>
                <w:color w:val="000000" w:themeColor="text1"/>
                <w:sz w:val="20"/>
                <w:szCs w:val="20"/>
              </w:rPr>
              <w:t xml:space="preserve">ecent development and use of new indicators, such as those capturing maternal and </w:t>
            </w:r>
            <w:proofErr w:type="spellStart"/>
            <w:r w:rsidRPr="001626DA">
              <w:rPr>
                <w:rFonts w:ascii="Arial" w:eastAsia="Times New Roman" w:hAnsi="Arial" w:cs="Arial"/>
                <w:color w:val="000000" w:themeColor="text1"/>
                <w:sz w:val="20"/>
                <w:szCs w:val="20"/>
              </w:rPr>
              <w:t>newborn</w:t>
            </w:r>
            <w:proofErr w:type="spellEnd"/>
            <w:r w:rsidRPr="001626DA">
              <w:rPr>
                <w:rFonts w:ascii="Arial" w:eastAsia="Times New Roman" w:hAnsi="Arial" w:cs="Arial"/>
                <w:color w:val="000000" w:themeColor="text1"/>
                <w:sz w:val="20"/>
                <w:szCs w:val="20"/>
              </w:rPr>
              <w:t xml:space="preserve"> health financing, policies, and health systems. The production of these indicators f</w:t>
            </w:r>
            <w:r w:rsidRPr="001626DA">
              <w:rPr>
                <w:rFonts w:ascii="Arial" w:hAnsi="Arial" w:cs="Arial"/>
                <w:color w:val="000000" w:themeColor="text1"/>
                <w:sz w:val="20"/>
                <w:szCs w:val="20"/>
              </w:rPr>
              <w:t>aces additional challenges with inaccurate, sub-optimally disaggregated, or non-existent data sources. Some respondents opined that the efforts to understand the accuracy of these indicators are not in fact, in a strict sense, validation studies. Rather, they preferred to use the terms verification or triangulation.</w:t>
            </w:r>
          </w:p>
          <w:p w:rsidR="00763FBB" w:rsidRDefault="00763FBB" w:rsidP="002D6A8E">
            <w:pPr>
              <w:pStyle w:val="ListParagraph"/>
              <w:spacing w:line="360" w:lineRule="auto"/>
              <w:rPr>
                <w:rFonts w:ascii="Arial" w:eastAsia="Times New Roman" w:hAnsi="Arial" w:cs="Arial"/>
                <w:color w:val="000000" w:themeColor="text1"/>
                <w:sz w:val="20"/>
                <w:szCs w:val="20"/>
              </w:rPr>
            </w:pPr>
          </w:p>
          <w:p w:rsidR="00763FBB" w:rsidRPr="001626DA" w:rsidRDefault="00763FBB" w:rsidP="002D6A8E">
            <w:pPr>
              <w:numPr>
                <w:ilvl w:val="0"/>
                <w:numId w:val="2"/>
              </w:numPr>
              <w:spacing w:line="360" w:lineRule="auto"/>
              <w:ind w:left="317" w:hanging="317"/>
              <w:contextualSpacing/>
              <w:rPr>
                <w:rFonts w:ascii="Arial" w:eastAsia="Times New Roman" w:hAnsi="Arial" w:cs="Arial"/>
                <w:color w:val="000000" w:themeColor="text1"/>
                <w:sz w:val="20"/>
                <w:szCs w:val="20"/>
              </w:rPr>
            </w:pPr>
            <w:r w:rsidRPr="001626DA">
              <w:rPr>
                <w:rFonts w:ascii="Arial" w:eastAsia="Times New Roman" w:hAnsi="Arial" w:cs="Arial"/>
                <w:color w:val="000000" w:themeColor="text1"/>
                <w:sz w:val="20"/>
                <w:szCs w:val="20"/>
              </w:rPr>
              <w:t xml:space="preserve">A shift away from predominantly measuring maternal and </w:t>
            </w:r>
            <w:proofErr w:type="spellStart"/>
            <w:r w:rsidRPr="001626DA">
              <w:rPr>
                <w:rFonts w:ascii="Arial" w:eastAsia="Times New Roman" w:hAnsi="Arial" w:cs="Arial"/>
                <w:color w:val="000000" w:themeColor="text1"/>
                <w:sz w:val="20"/>
                <w:szCs w:val="20"/>
              </w:rPr>
              <w:t>newborn</w:t>
            </w:r>
            <w:proofErr w:type="spellEnd"/>
            <w:r w:rsidRPr="001626DA">
              <w:rPr>
                <w:rFonts w:ascii="Arial" w:eastAsia="Times New Roman" w:hAnsi="Arial" w:cs="Arial"/>
                <w:color w:val="000000" w:themeColor="text1"/>
                <w:sz w:val="20"/>
                <w:szCs w:val="20"/>
              </w:rPr>
              <w:t xml:space="preserve"> care </w:t>
            </w:r>
            <w:r w:rsidRPr="001626DA">
              <w:rPr>
                <w:rFonts w:ascii="Arial" w:eastAsia="Times New Roman" w:hAnsi="Arial" w:cs="Arial"/>
                <w:i/>
                <w:color w:val="000000" w:themeColor="text1"/>
                <w:sz w:val="20"/>
                <w:szCs w:val="20"/>
              </w:rPr>
              <w:t>contacts</w:t>
            </w:r>
            <w:r w:rsidRPr="001626DA">
              <w:rPr>
                <w:rFonts w:ascii="Arial" w:eastAsia="Times New Roman" w:hAnsi="Arial" w:cs="Arial"/>
                <w:color w:val="000000" w:themeColor="text1"/>
                <w:sz w:val="20"/>
                <w:szCs w:val="20"/>
              </w:rPr>
              <w:t xml:space="preserve"> toward incorporating elements of care </w:t>
            </w:r>
            <w:r w:rsidRPr="001626DA">
              <w:rPr>
                <w:rFonts w:ascii="Arial" w:eastAsia="Times New Roman" w:hAnsi="Arial" w:cs="Arial"/>
                <w:i/>
                <w:color w:val="000000" w:themeColor="text1"/>
                <w:sz w:val="20"/>
                <w:szCs w:val="20"/>
              </w:rPr>
              <w:t>content</w:t>
            </w:r>
            <w:r w:rsidRPr="001626DA">
              <w:rPr>
                <w:rFonts w:ascii="Arial" w:eastAsia="Times New Roman" w:hAnsi="Arial" w:cs="Arial"/>
                <w:color w:val="000000" w:themeColor="text1"/>
                <w:sz w:val="20"/>
                <w:szCs w:val="20"/>
              </w:rPr>
              <w:t xml:space="preserve"> and </w:t>
            </w:r>
            <w:r w:rsidRPr="001626DA">
              <w:rPr>
                <w:rFonts w:ascii="Arial" w:eastAsia="Times New Roman" w:hAnsi="Arial" w:cs="Arial"/>
                <w:i/>
                <w:color w:val="000000" w:themeColor="text1"/>
                <w:sz w:val="20"/>
                <w:szCs w:val="20"/>
              </w:rPr>
              <w:t>quality</w:t>
            </w:r>
            <w:r w:rsidRPr="001626DA">
              <w:rPr>
                <w:rFonts w:ascii="Arial" w:eastAsia="Times New Roman" w:hAnsi="Arial" w:cs="Arial"/>
                <w:color w:val="000000" w:themeColor="text1"/>
                <w:sz w:val="20"/>
                <w:szCs w:val="20"/>
              </w:rPr>
              <w:t xml:space="preserve">. </w:t>
            </w:r>
            <w:r w:rsidRPr="001626DA">
              <w:rPr>
                <w:rFonts w:ascii="Arial" w:hAnsi="Arial" w:cs="Arial"/>
                <w:color w:val="000000" w:themeColor="text1"/>
                <w:sz w:val="20"/>
                <w:szCs w:val="20"/>
              </w:rPr>
              <w:t xml:space="preserve">Studies attempting to adjust indicators of access to care with the receipt of actual evidence-based interventions, or effective coverage, have explored several methods (e.g., individual-record linkage, population-level adjustment) and data sources (e.g., facility surveys, routinely collected facility data, women’s recall of receipt of care content). Key informants also mentioned a </w:t>
            </w:r>
            <w:r w:rsidRPr="001626DA">
              <w:rPr>
                <w:rFonts w:ascii="Arial" w:eastAsia="Times New Roman" w:hAnsi="Arial" w:cs="Arial"/>
                <w:color w:val="000000" w:themeColor="text1"/>
                <w:sz w:val="20"/>
                <w:szCs w:val="20"/>
              </w:rPr>
              <w:t xml:space="preserve">related phenomenon of a diminishing focus on population-based surveys as a source of indicator data and increasing attention to exploring the quality and usefulness of routinely collected facility-based data. </w:t>
            </w:r>
            <w:r w:rsidRPr="001626DA">
              <w:rPr>
                <w:rFonts w:ascii="Arial" w:hAnsi="Arial" w:cs="Arial"/>
                <w:color w:val="000000" w:themeColor="text1"/>
                <w:sz w:val="20"/>
                <w:szCs w:val="20"/>
              </w:rPr>
              <w:t xml:space="preserve">Such focus was seen as being important for improving data quality and its use by facilities, district, regional and national users. Key informants also </w:t>
            </w:r>
            <w:r w:rsidRPr="001626DA">
              <w:rPr>
                <w:rFonts w:ascii="Arial" w:hAnsi="Arial" w:cs="Arial"/>
                <w:bCs/>
                <w:color w:val="000000" w:themeColor="text1"/>
                <w:sz w:val="20"/>
                <w:szCs w:val="20"/>
              </w:rPr>
              <w:t>advocated for further validation work focusing on indicators of patient-centred care, such as satisfaction and respectful care</w:t>
            </w:r>
            <w:r>
              <w:rPr>
                <w:rFonts w:ascii="Arial" w:hAnsi="Arial" w:cs="Arial"/>
                <w:bCs/>
                <w:color w:val="000000" w:themeColor="text1"/>
                <w:sz w:val="20"/>
                <w:szCs w:val="20"/>
              </w:rPr>
              <w:t xml:space="preserve"> from women’s perspective</w:t>
            </w:r>
            <w:r w:rsidRPr="001626DA">
              <w:rPr>
                <w:rFonts w:ascii="Arial" w:hAnsi="Arial" w:cs="Arial"/>
                <w:bCs/>
                <w:color w:val="000000" w:themeColor="text1"/>
                <w:sz w:val="20"/>
                <w:szCs w:val="20"/>
              </w:rPr>
              <w:t>, while acknowledging that standard gold-standard diagnostic validity assessments are not suitable to understanding the performance of such indicators.</w:t>
            </w:r>
          </w:p>
        </w:tc>
      </w:tr>
    </w:tbl>
    <w:p w:rsidR="00763FBB" w:rsidRPr="00D972DB" w:rsidRDefault="00763FBB" w:rsidP="002D6A8E">
      <w:pPr>
        <w:spacing w:after="160" w:line="360" w:lineRule="auto"/>
        <w:rPr>
          <w:rFonts w:ascii="Arial" w:eastAsia="Times New Roman" w:hAnsi="Arial" w:cs="Arial"/>
          <w:bCs/>
          <w:sz w:val="20"/>
          <w:szCs w:val="20"/>
        </w:rPr>
      </w:pPr>
    </w:p>
    <w:p w:rsidR="00FC7A76" w:rsidRDefault="00FC7A76" w:rsidP="002D6A8E">
      <w:pPr>
        <w:spacing w:line="360" w:lineRule="auto"/>
      </w:pPr>
    </w:p>
    <w:sectPr w:rsidR="00FC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5F8E"/>
    <w:multiLevelType w:val="hybridMultilevel"/>
    <w:tmpl w:val="A55073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DD25B3F"/>
    <w:multiLevelType w:val="hybridMultilevel"/>
    <w:tmpl w:val="EF0429BE"/>
    <w:lvl w:ilvl="0" w:tplc="311EAD9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D8"/>
    <w:rsid w:val="00220DD8"/>
    <w:rsid w:val="002D6A8E"/>
    <w:rsid w:val="00763FBB"/>
    <w:rsid w:val="00FC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A858-8051-4EC0-A1A2-573533A9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titel"/>
    <w:basedOn w:val="Normal"/>
    <w:link w:val="ListParagraphChar"/>
    <w:uiPriority w:val="34"/>
    <w:qFormat/>
    <w:rsid w:val="00763FBB"/>
    <w:pPr>
      <w:ind w:left="720"/>
      <w:contextualSpacing/>
    </w:pPr>
  </w:style>
  <w:style w:type="character" w:customStyle="1" w:styleId="ListParagraphChar">
    <w:name w:val="List Paragraph Char"/>
    <w:aliases w:val="Table/Figure titel Char"/>
    <w:basedOn w:val="DefaultParagraphFont"/>
    <w:link w:val="ListParagraph"/>
    <w:uiPriority w:val="34"/>
    <w:rsid w:val="00763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Benova</dc:creator>
  <cp:keywords/>
  <dc:description/>
  <cp:lastModifiedBy>Lenka Benova</cp:lastModifiedBy>
  <cp:revision>3</cp:revision>
  <dcterms:created xsi:type="dcterms:W3CDTF">2019-10-19T13:25:00Z</dcterms:created>
  <dcterms:modified xsi:type="dcterms:W3CDTF">2019-10-19T13:26:00Z</dcterms:modified>
</cp:coreProperties>
</file>