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25DB1" w14:textId="77777777" w:rsidR="001F0AB7" w:rsidRPr="00E71220" w:rsidRDefault="00776949" w:rsidP="00776949">
      <w:pPr>
        <w:spacing w:line="480" w:lineRule="auto"/>
        <w:rPr>
          <w:rFonts w:ascii="Times New Roman" w:hAnsi="Times New Roman" w:cs="Times New Roman"/>
          <w:b/>
          <w:sz w:val="36"/>
          <w:szCs w:val="36"/>
        </w:rPr>
      </w:pPr>
      <w:r w:rsidRPr="00E71220">
        <w:rPr>
          <w:rFonts w:ascii="Times New Roman" w:hAnsi="Times New Roman" w:cs="Times New Roman"/>
          <w:b/>
          <w:sz w:val="36"/>
          <w:szCs w:val="36"/>
        </w:rPr>
        <w:t>Supporting Information</w:t>
      </w:r>
    </w:p>
    <w:p w14:paraId="0C7A3D4E" w14:textId="77777777" w:rsidR="00364DD7" w:rsidRPr="00E71220" w:rsidRDefault="00364DD7" w:rsidP="00364DD7">
      <w:pPr>
        <w:spacing w:line="480" w:lineRule="auto"/>
        <w:rPr>
          <w:rFonts w:ascii="Times New Roman" w:hAnsi="Times New Roman" w:cs="Times New Roman"/>
          <w:b/>
          <w:sz w:val="32"/>
          <w:szCs w:val="32"/>
        </w:rPr>
      </w:pPr>
      <w:bookmarkStart w:id="0" w:name="_GoBack"/>
      <w:bookmarkEnd w:id="0"/>
      <w:r w:rsidRPr="00E71220">
        <w:rPr>
          <w:rFonts w:ascii="Times New Roman" w:hAnsi="Times New Roman" w:cs="Times New Roman"/>
          <w:b/>
          <w:sz w:val="32"/>
          <w:szCs w:val="32"/>
        </w:rPr>
        <w:t>Materials and methods</w:t>
      </w:r>
    </w:p>
    <w:p w14:paraId="488E95E1" w14:textId="77777777" w:rsidR="00364DD7" w:rsidRPr="00E71220" w:rsidRDefault="00364DD7" w:rsidP="00364DD7">
      <w:pPr>
        <w:spacing w:line="480" w:lineRule="auto"/>
        <w:rPr>
          <w:rFonts w:ascii="Times New Roman" w:hAnsi="Times New Roman" w:cs="Times New Roman"/>
          <w:b/>
          <w:bCs/>
          <w:color w:val="000000" w:themeColor="text1"/>
        </w:rPr>
      </w:pPr>
      <w:proofErr w:type="gramStart"/>
      <w:r w:rsidRPr="00E71220">
        <w:rPr>
          <w:rFonts w:ascii="Times New Roman" w:hAnsi="Times New Roman" w:cs="Times New Roman"/>
          <w:b/>
          <w:bCs/>
          <w:color w:val="000000" w:themeColor="text1"/>
        </w:rPr>
        <w:t>cDNA</w:t>
      </w:r>
      <w:proofErr w:type="gramEnd"/>
      <w:r w:rsidRPr="00E71220">
        <w:rPr>
          <w:rFonts w:ascii="Times New Roman" w:hAnsi="Times New Roman" w:cs="Times New Roman"/>
          <w:b/>
          <w:bCs/>
          <w:color w:val="000000" w:themeColor="text1"/>
        </w:rPr>
        <w:t xml:space="preserve"> labeling and hybridization</w:t>
      </w:r>
    </w:p>
    <w:p w14:paraId="2118A997" w14:textId="77777777" w:rsidR="00364DD7" w:rsidRPr="00E71220" w:rsidRDefault="00364DD7" w:rsidP="00364DD7">
      <w:pPr>
        <w:spacing w:line="480" w:lineRule="auto"/>
        <w:ind w:firstLine="720"/>
        <w:rPr>
          <w:rFonts w:ascii="Times New Roman" w:hAnsi="Times New Roman" w:cs="Times New Roman"/>
          <w:color w:val="000000" w:themeColor="text1"/>
        </w:rPr>
      </w:pPr>
      <w:r w:rsidRPr="00E71220">
        <w:rPr>
          <w:rFonts w:ascii="Times New Roman" w:hAnsi="Times New Roman" w:cs="Times New Roman"/>
          <w:color w:val="000000" w:themeColor="text1"/>
        </w:rPr>
        <w:t xml:space="preserve">cDNA was labeled at the Roy J. Carver Center for Genomics (The University of Iowa, USA) using the Agilent </w:t>
      </w:r>
      <w:proofErr w:type="spellStart"/>
      <w:r w:rsidRPr="00E71220">
        <w:rPr>
          <w:rFonts w:ascii="Times New Roman" w:hAnsi="Times New Roman" w:cs="Times New Roman"/>
          <w:color w:val="000000" w:themeColor="text1"/>
        </w:rPr>
        <w:t>SureTag</w:t>
      </w:r>
      <w:proofErr w:type="spellEnd"/>
      <w:r w:rsidRPr="00E71220">
        <w:rPr>
          <w:rFonts w:ascii="Times New Roman" w:hAnsi="Times New Roman" w:cs="Times New Roman"/>
          <w:color w:val="000000" w:themeColor="text1"/>
        </w:rPr>
        <w:t xml:space="preserve"> DNA Labeling Kit (Cat# 5190-3400) and by following a protocol based on Agilent Oligonucleotide Array‐Based CGH for Genomic DNA Analysis: Enzymatic Labeling for Blood, Cells, or Tissues (Version 7.3 March 2014). For each sample, 0.5 µg of cDNA was diluted </w:t>
      </w:r>
      <w:proofErr w:type="gramStart"/>
      <w:r w:rsidRPr="00E71220">
        <w:rPr>
          <w:rFonts w:ascii="Times New Roman" w:hAnsi="Times New Roman" w:cs="Times New Roman"/>
          <w:color w:val="000000" w:themeColor="text1"/>
        </w:rPr>
        <w:t>to 19.2 ng/µl (26.0 µl total)</w:t>
      </w:r>
      <w:proofErr w:type="gramEnd"/>
      <w:r w:rsidRPr="00E71220">
        <w:rPr>
          <w:rFonts w:ascii="Times New Roman" w:hAnsi="Times New Roman" w:cs="Times New Roman"/>
          <w:color w:val="000000" w:themeColor="text1"/>
        </w:rPr>
        <w:t xml:space="preserve">, denatured and annealed with 5.0 µl of random primers. The resulting 31.0 µl sample was incubated at 95° C for 5 min, then immediately placed on ice for 5 min, and then centrifuged at 6K </w:t>
      </w:r>
      <w:r w:rsidRPr="00E71220">
        <w:rPr>
          <w:rFonts w:ascii="Times New Roman" w:hAnsi="Times New Roman" w:cs="Times New Roman"/>
          <w:color w:val="000000"/>
        </w:rPr>
        <w:t>×</w:t>
      </w:r>
      <w:r w:rsidRPr="00E71220">
        <w:rPr>
          <w:rFonts w:ascii="Times New Roman" w:hAnsi="Times New Roman" w:cs="Times New Roman"/>
          <w:color w:val="000000" w:themeColor="text1"/>
        </w:rPr>
        <w:t xml:space="preserve"> g for 1 min. Nineteen µl of Labeling Master Mix was prepared (10.0 µl of 5X Reaction Buffer, 5.0 µl of 10x dNTP, 3.0 µl cyanine, 1.0 µl Exo-</w:t>
      </w:r>
      <w:proofErr w:type="spellStart"/>
      <w:r w:rsidRPr="00E71220">
        <w:rPr>
          <w:rFonts w:ascii="Times New Roman" w:hAnsi="Times New Roman" w:cs="Times New Roman"/>
          <w:color w:val="000000" w:themeColor="text1"/>
        </w:rPr>
        <w:t>Klenow</w:t>
      </w:r>
      <w:proofErr w:type="spellEnd"/>
      <w:r w:rsidRPr="00E71220">
        <w:rPr>
          <w:rFonts w:ascii="Times New Roman" w:hAnsi="Times New Roman" w:cs="Times New Roman"/>
          <w:color w:val="000000" w:themeColor="text1"/>
        </w:rPr>
        <w:t xml:space="preserve"> fragment) and then added into the sample. The sample was briefly centrifuged, then incubated at 37° C for 2 h followed by incubation at 65° C for 10 min and then transferred on ice. Labeled cDNA was then purified using the Agilent </w:t>
      </w:r>
      <w:proofErr w:type="spellStart"/>
      <w:r w:rsidRPr="00E71220">
        <w:rPr>
          <w:rFonts w:ascii="Times New Roman" w:hAnsi="Times New Roman" w:cs="Times New Roman"/>
          <w:color w:val="000000" w:themeColor="text1"/>
        </w:rPr>
        <w:t>SureTag</w:t>
      </w:r>
      <w:proofErr w:type="spellEnd"/>
      <w:r w:rsidRPr="00E71220">
        <w:rPr>
          <w:rFonts w:ascii="Times New Roman" w:hAnsi="Times New Roman" w:cs="Times New Roman"/>
          <w:color w:val="000000" w:themeColor="text1"/>
        </w:rPr>
        <w:t xml:space="preserve"> DNA Labeling Kit, which included purification columns. A Nanodrop spectrophotometer was used to check that the yield and specific activity of Cy3 were within expected ranges. Cy3-labeled cDNA was hybridized using a Gene Expression Hybridization Kit (Cat# 5188‐5242) and following the protocol from “One-Color Microarray-Based Gene Expression Analysis: Low Input Quick Amp Labeling (Version 6.7, September 2014).”  For each Cy3-labeled sample, 3.0 µg of DNA was taken, and water added to bring the total volume to 44.00 µl. To each sample, 66.0 µl of hybridization master mix was added (11.0 µl 10x GE blocking agent, 55.0 µl 2x Hi-RPM </w:t>
      </w:r>
      <w:proofErr w:type="spellStart"/>
      <w:r w:rsidRPr="00E71220">
        <w:rPr>
          <w:rFonts w:ascii="Times New Roman" w:hAnsi="Times New Roman" w:cs="Times New Roman"/>
          <w:color w:val="000000" w:themeColor="text1"/>
        </w:rPr>
        <w:t>Hyb</w:t>
      </w:r>
      <w:proofErr w:type="spellEnd"/>
      <w:r w:rsidRPr="00E71220">
        <w:rPr>
          <w:rFonts w:ascii="Times New Roman" w:hAnsi="Times New Roman" w:cs="Times New Roman"/>
          <w:color w:val="000000" w:themeColor="text1"/>
        </w:rPr>
        <w:t xml:space="preserve"> Buffer) for a total volume of 110 µl. The sample was mixed, incubated at 95° C for 3 min, placed on ice, and then briefly centrifuged. From each sample, 100 µl was taken and loaded onto one of </w:t>
      </w:r>
      <w:r w:rsidRPr="00E71220">
        <w:rPr>
          <w:rFonts w:ascii="Times New Roman" w:hAnsi="Times New Roman" w:cs="Times New Roman"/>
          <w:color w:val="000000" w:themeColor="text1"/>
        </w:rPr>
        <w:lastRenderedPageBreak/>
        <w:t>the 4 arrays on a MicroTOOLs microarray slide. Arrays were hybridized at 65° C for ~18 h. After hybridization, arrays were first washed for 1 min in room temperature Gene Expression Wash Buffer 1 and then washed for 1 min in 37° C Gene Expression Wash Buffer 2 (Gene Expression Wash Buffer Kit, Cat# 5188‐5327).</w:t>
      </w:r>
    </w:p>
    <w:p w14:paraId="4A2EB8F5" w14:textId="77777777" w:rsidR="00364DD7" w:rsidRPr="00E71220" w:rsidRDefault="00364DD7" w:rsidP="00364DD7">
      <w:pPr>
        <w:spacing w:line="480" w:lineRule="auto"/>
        <w:rPr>
          <w:rFonts w:ascii="Times New Roman" w:hAnsi="Times New Roman" w:cs="Times New Roman"/>
          <w:b/>
          <w:bCs/>
          <w:iCs/>
        </w:rPr>
      </w:pPr>
      <w:r w:rsidRPr="00E71220">
        <w:rPr>
          <w:rFonts w:ascii="Times New Roman" w:hAnsi="Times New Roman" w:cs="Times New Roman"/>
          <w:b/>
          <w:bCs/>
          <w:iCs/>
          <w:color w:val="000000" w:themeColor="text1"/>
        </w:rPr>
        <w:br/>
      </w:r>
      <w:r w:rsidRPr="00E71220">
        <w:rPr>
          <w:rFonts w:ascii="Times New Roman" w:hAnsi="Times New Roman" w:cs="Times New Roman"/>
          <w:b/>
          <w:bCs/>
          <w:iCs/>
        </w:rPr>
        <w:t>Impact of changes in phylogroup transcript relative abundances</w:t>
      </w:r>
    </w:p>
    <w:p w14:paraId="7D7A6432" w14:textId="77777777" w:rsidR="00364DD7" w:rsidRPr="00E71220" w:rsidRDefault="00364DD7" w:rsidP="00364DD7">
      <w:pPr>
        <w:spacing w:line="480" w:lineRule="auto"/>
        <w:ind w:firstLine="720"/>
        <w:rPr>
          <w:rFonts w:ascii="Times New Roman" w:hAnsi="Times New Roman" w:cs="Times New Roman"/>
        </w:rPr>
      </w:pPr>
      <w:r w:rsidRPr="00E71220">
        <w:rPr>
          <w:rFonts w:ascii="Times New Roman" w:hAnsi="Times New Roman" w:cs="Times New Roman"/>
        </w:rPr>
        <w:t xml:space="preserve">For gene sets that were significantly differentially expressed in the EGSEA analysis, we performed an additional check to see if the differential expression could be attributed solely to a change in the transcript relative abundance of the phylogroup in the two samples being compared. For example, we checked whether increases in HL </w:t>
      </w:r>
      <w:r w:rsidRPr="00E71220">
        <w:rPr>
          <w:rFonts w:ascii="Times New Roman" w:hAnsi="Times New Roman" w:cs="Times New Roman"/>
          <w:i/>
          <w:iCs/>
        </w:rPr>
        <w:t>Prochlorococcus</w:t>
      </w:r>
      <w:r w:rsidRPr="00E71220">
        <w:rPr>
          <w:rFonts w:ascii="Times New Roman" w:hAnsi="Times New Roman" w:cs="Times New Roman"/>
        </w:rPr>
        <w:t xml:space="preserve"> photosynthesis transcripts in NH</w:t>
      </w:r>
      <w:r w:rsidRPr="00E71220">
        <w:rPr>
          <w:rFonts w:ascii="Times New Roman" w:hAnsi="Times New Roman" w:cs="Times New Roman"/>
          <w:vertAlign w:val="subscript"/>
        </w:rPr>
        <w:t>4</w:t>
      </w:r>
      <w:r w:rsidRPr="00E71220">
        <w:rPr>
          <w:rFonts w:ascii="Times New Roman" w:hAnsi="Times New Roman" w:cs="Times New Roman"/>
          <w:vertAlign w:val="superscript"/>
        </w:rPr>
        <w:t>+</w:t>
      </w:r>
      <w:r w:rsidRPr="00E71220">
        <w:rPr>
          <w:rFonts w:ascii="Times New Roman" w:hAnsi="Times New Roman" w:cs="Times New Roman"/>
        </w:rPr>
        <w:t xml:space="preserve"> vs. controls at T24 reflected an overall increase in transcripts from HL </w:t>
      </w:r>
      <w:r w:rsidRPr="00E71220">
        <w:rPr>
          <w:rFonts w:ascii="Times New Roman" w:hAnsi="Times New Roman" w:cs="Times New Roman"/>
          <w:i/>
          <w:iCs/>
        </w:rPr>
        <w:t>Prochlorococcus</w:t>
      </w:r>
      <w:r w:rsidRPr="00E71220">
        <w:rPr>
          <w:rFonts w:ascii="Times New Roman" w:hAnsi="Times New Roman" w:cs="Times New Roman"/>
        </w:rPr>
        <w:t>, perhaps due to an overall decrease in transcripts from all other phylogroups (S</w:t>
      </w:r>
      <w:r>
        <w:rPr>
          <w:rFonts w:ascii="Times New Roman" w:hAnsi="Times New Roman" w:cs="Times New Roman"/>
        </w:rPr>
        <w:t>1</w:t>
      </w:r>
      <w:r w:rsidRPr="00E71220">
        <w:rPr>
          <w:rFonts w:ascii="Times New Roman" w:hAnsi="Times New Roman" w:cs="Times New Roman"/>
        </w:rPr>
        <w:t xml:space="preserve"> Fig). Each phylogroup’s total transcript relative abundance varied little across the samples (S</w:t>
      </w:r>
      <w:r>
        <w:rPr>
          <w:rFonts w:ascii="Times New Roman" w:hAnsi="Times New Roman" w:cs="Times New Roman"/>
        </w:rPr>
        <w:t>1</w:t>
      </w:r>
      <w:r w:rsidRPr="00E71220">
        <w:rPr>
          <w:rFonts w:ascii="Times New Roman" w:hAnsi="Times New Roman" w:cs="Times New Roman"/>
        </w:rPr>
        <w:t xml:space="preserve"> Fig) and had fold changes that were always less than the transcript level fold changes for gene sets reported as differentially expressed, with the exception of eukaryote </w:t>
      </w:r>
      <w:proofErr w:type="spellStart"/>
      <w:r w:rsidRPr="00E71220">
        <w:rPr>
          <w:rFonts w:ascii="Times New Roman" w:hAnsi="Times New Roman" w:cs="Times New Roman"/>
          <w:i/>
        </w:rPr>
        <w:t>rbcL</w:t>
      </w:r>
      <w:proofErr w:type="spellEnd"/>
      <w:r w:rsidRPr="00E71220">
        <w:rPr>
          <w:rFonts w:ascii="Times New Roman" w:hAnsi="Times New Roman" w:cs="Times New Roman"/>
        </w:rPr>
        <w:t xml:space="preserve"> in FDW. However, our check is more useful for phylogroups with a broad set of genes on MicroTOOLs to anchor the total transcripts for the phylogroup, whereas eukaryotes are almost exclusively represented by </w:t>
      </w:r>
      <w:proofErr w:type="spellStart"/>
      <w:r w:rsidRPr="00E71220">
        <w:rPr>
          <w:rFonts w:ascii="Times New Roman" w:hAnsi="Times New Roman" w:cs="Times New Roman"/>
          <w:i/>
        </w:rPr>
        <w:t>rbcL</w:t>
      </w:r>
      <w:proofErr w:type="spellEnd"/>
      <w:r w:rsidRPr="00E71220">
        <w:rPr>
          <w:rFonts w:ascii="Times New Roman" w:hAnsi="Times New Roman" w:cs="Times New Roman"/>
        </w:rPr>
        <w:t>.</w:t>
      </w:r>
    </w:p>
    <w:p w14:paraId="5B62C028" w14:textId="77777777" w:rsidR="00364DD7" w:rsidRPr="00E71220" w:rsidRDefault="00364DD7" w:rsidP="00364DD7">
      <w:pPr>
        <w:spacing w:line="480" w:lineRule="auto"/>
        <w:rPr>
          <w:rFonts w:ascii="Times New Roman" w:hAnsi="Times New Roman" w:cs="Times New Roman"/>
        </w:rPr>
      </w:pPr>
    </w:p>
    <w:p w14:paraId="194A92DC" w14:textId="2C45293D" w:rsidR="001A650A" w:rsidRPr="001F2050" w:rsidRDefault="00364DD7" w:rsidP="001A650A">
      <w:pPr>
        <w:spacing w:line="480" w:lineRule="auto"/>
        <w:rPr>
          <w:rFonts w:ascii="Times New Roman" w:hAnsi="Times New Roman" w:cs="Times New Roman"/>
          <w:b/>
          <w:sz w:val="32"/>
          <w:szCs w:val="32"/>
        </w:rPr>
      </w:pPr>
      <w:r>
        <w:rPr>
          <w:rFonts w:ascii="Times New Roman" w:hAnsi="Times New Roman" w:cs="Times New Roman"/>
          <w:b/>
          <w:sz w:val="32"/>
          <w:szCs w:val="32"/>
        </w:rPr>
        <w:t>Results and discussion</w:t>
      </w:r>
    </w:p>
    <w:p w14:paraId="5CF0B7B8" w14:textId="77777777" w:rsidR="001A650A" w:rsidRPr="00E71220" w:rsidRDefault="001A650A" w:rsidP="001A650A">
      <w:pPr>
        <w:spacing w:line="480" w:lineRule="auto"/>
        <w:rPr>
          <w:rFonts w:ascii="Times New Roman" w:hAnsi="Times New Roman" w:cs="Times New Roman"/>
        </w:rPr>
      </w:pPr>
      <w:r w:rsidRPr="00E71220">
        <w:rPr>
          <w:rFonts w:ascii="Times New Roman" w:hAnsi="Times New Roman" w:cs="Times New Roman"/>
          <w:b/>
          <w:bCs/>
        </w:rPr>
        <w:t>Metatranscriptome interpretation based on NMDS clusters</w:t>
      </w:r>
    </w:p>
    <w:p w14:paraId="34601A92" w14:textId="3111A567" w:rsidR="001A650A" w:rsidRPr="00E71220" w:rsidRDefault="001A650A" w:rsidP="001A650A">
      <w:pPr>
        <w:spacing w:line="480" w:lineRule="auto"/>
        <w:rPr>
          <w:rFonts w:ascii="Times New Roman" w:hAnsi="Times New Roman" w:cs="Times New Roman"/>
        </w:rPr>
      </w:pPr>
      <w:r w:rsidRPr="00E71220">
        <w:rPr>
          <w:rFonts w:ascii="Times New Roman" w:hAnsi="Times New Roman" w:cs="Times New Roman"/>
        </w:rPr>
        <w:tab/>
        <w:t>NMDS clusters were strongly influenced by changes in transcript levels from HL</w:t>
      </w:r>
      <w:r w:rsidR="007D38A7">
        <w:rPr>
          <w:rFonts w:ascii="Times New Roman" w:hAnsi="Times New Roman" w:cs="Times New Roman"/>
        </w:rPr>
        <w:t xml:space="preserve"> </w:t>
      </w:r>
      <w:r w:rsidRPr="00E71220">
        <w:rPr>
          <w:rFonts w:ascii="Times New Roman" w:hAnsi="Times New Roman" w:cs="Times New Roman"/>
          <w:i/>
          <w:iCs/>
        </w:rPr>
        <w:t>Prochlorococcus</w:t>
      </w:r>
      <w:r w:rsidRPr="00E71220">
        <w:rPr>
          <w:rFonts w:ascii="Times New Roman" w:hAnsi="Times New Roman" w:cs="Times New Roman"/>
        </w:rPr>
        <w:t>, </w:t>
      </w:r>
      <w:r w:rsidRPr="00E71220">
        <w:rPr>
          <w:rFonts w:ascii="Times New Roman" w:hAnsi="Times New Roman" w:cs="Times New Roman"/>
          <w:i/>
          <w:iCs/>
        </w:rPr>
        <w:t>Synechococcus</w:t>
      </w:r>
      <w:r w:rsidRPr="00E71220">
        <w:rPr>
          <w:rFonts w:ascii="Times New Roman" w:hAnsi="Times New Roman" w:cs="Times New Roman"/>
        </w:rPr>
        <w:t xml:space="preserve">, and </w:t>
      </w:r>
      <w:r w:rsidR="00E9141D" w:rsidRPr="00E71220">
        <w:rPr>
          <w:rFonts w:ascii="Times New Roman" w:hAnsi="Times New Roman" w:cs="Times New Roman"/>
        </w:rPr>
        <w:t>photosynthetic eukaryotes (</w:t>
      </w:r>
      <w:r w:rsidRPr="00E71220">
        <w:rPr>
          <w:rFonts w:ascii="Times New Roman" w:hAnsi="Times New Roman" w:cs="Times New Roman"/>
        </w:rPr>
        <w:t>PE</w:t>
      </w:r>
      <w:r w:rsidR="00E9141D" w:rsidRPr="00E71220">
        <w:rPr>
          <w:rFonts w:ascii="Times New Roman" w:hAnsi="Times New Roman" w:cs="Times New Roman"/>
        </w:rPr>
        <w:t xml:space="preserve">; </w:t>
      </w:r>
      <w:r w:rsidRPr="00E71220">
        <w:rPr>
          <w:rFonts w:ascii="Times New Roman" w:hAnsi="Times New Roman" w:cs="Times New Roman"/>
        </w:rPr>
        <w:t>Fig</w:t>
      </w:r>
      <w:r w:rsidR="00CB542F" w:rsidRPr="00E71220">
        <w:rPr>
          <w:rFonts w:ascii="Times New Roman" w:hAnsi="Times New Roman" w:cs="Times New Roman"/>
        </w:rPr>
        <w:t xml:space="preserve"> 1</w:t>
      </w:r>
      <w:r w:rsidRPr="00E71220">
        <w:rPr>
          <w:rFonts w:ascii="Times New Roman" w:hAnsi="Times New Roman" w:cs="Times New Roman"/>
        </w:rPr>
        <w:t xml:space="preserve">) because these </w:t>
      </w:r>
      <w:r w:rsidRPr="00E71220">
        <w:rPr>
          <w:rFonts w:ascii="Times New Roman" w:hAnsi="Times New Roman" w:cs="Times New Roman"/>
        </w:rPr>
        <w:lastRenderedPageBreak/>
        <w:t xml:space="preserve">phylogroups are highly represented </w:t>
      </w:r>
      <w:r w:rsidR="00AE6B15" w:rsidRPr="00E71220">
        <w:rPr>
          <w:rFonts w:ascii="Times New Roman" w:hAnsi="Times New Roman" w:cs="Times New Roman"/>
        </w:rPr>
        <w:t>i</w:t>
      </w:r>
      <w:r w:rsidRPr="00E71220">
        <w:rPr>
          <w:rFonts w:ascii="Times New Roman" w:hAnsi="Times New Roman" w:cs="Times New Roman"/>
        </w:rPr>
        <w:t>n the MicroTOOLs microarray</w:t>
      </w:r>
      <w:r w:rsidR="00AE6B15" w:rsidRPr="00E71220">
        <w:rPr>
          <w:rFonts w:ascii="Times New Roman" w:hAnsi="Times New Roman" w:cs="Times New Roman"/>
        </w:rPr>
        <w:t xml:space="preserve"> design </w:t>
      </w:r>
      <w:r w:rsidR="00B7766A" w:rsidRPr="00E71220">
        <w:rPr>
          <w:rFonts w:ascii="Times New Roman" w:hAnsi="Times New Roman" w:cs="Times New Roman"/>
        </w:rPr>
        <w:fldChar w:fldCharType="begin"/>
      </w:r>
      <w:r w:rsidR="008127F5" w:rsidRPr="00E71220">
        <w:rPr>
          <w:rFonts w:ascii="Times New Roman" w:hAnsi="Times New Roman" w:cs="Times New Roman"/>
        </w:rPr>
        <w:instrText xml:space="preserve"> ADDIN ZOTERO_ITEM CSL_CITATION {"citationID":"GR2WdUPe","properties":{"formattedCitation":"[1]","plainCitation":"[1]","noteIndex":0},"citationItems":[{"id":7,"uris":["http://zotero.org/users/local/ZW2GSes4/items/9C46Z2GZ"],"uri":["http://zotero.org/users/local/ZW2GSes4/items/9C46Z2GZ"],"itemData":{"id":7,"type":"article-journal","abstract":"Metagenomic approaches have revealed unprecedented genetic diversity within microbial communities across vast expanses of the world's oceans. Linking this genetic diversity with key metabolic and cellular activities of microbial assemblages is a fundamental challenge. Here we report on a collaborative effort to design MicroTOOLs (Microbiological Targets for Ocean Observing Laboratories), a high-density oligonucleotide microarray that targets functional genes of diverse taxa in pelagic and coastal marine microbial communities. MicroTOOLs integrates nucleotide sequence information from disparate data types: genomes, PCR-amplicons, metagenomes, and metatranscriptomes. It targets 19 400 unique sequences over 145 different genes that are relevant to stress responses and microbial metabolism across the three domains of life and viruses. MicroTOOLs was used in a proof-of-concept experiment that compared the functional responses of microbial communities following Fe and P enrichments of surface water samples from the North Pacific Subtropical Gyre. We detected transcription of 68% of the gene targets across major taxonomic groups, and the pattern of transcription indicated relief from Fe limitation and transition to N limitation in some taxa. Prochlorococcus (eHLI), Synechococcus (sub-cluster 5.3) and Alphaproteobacteria SAR11 clade (HIMB59) showed the strongest responses to the Fe enrichment. In addition, members of uncharacterized lineages also responded. The MicroTOOLs microarray provides a robust tool for comprehensive characterization of major functional groups of microbes in the open ocean, and the design can be easily amended for specific environments and research questions.","container-title":"The ISME Journal","DOI":"10.1038/ismej.2014.1","ISSN":"1751-7362","issue":"7","journalAbbreviation":"ISME J","note":"PMID: 24477198\nPMCID: PMC4069398","page":"1476-1491","source":"PubMed Central","title":"A microarray for assessing transcription from pelagic marine microbial taxa","volume":"8","author":[{"family":"Shilova","given":"Irina N"},{"family":"Robidart","given":"Julie C"},{"family":"James Tripp","given":"H"},{"family":"Turk-Kubo","given":"Kendra"},{"family":"Wawrik","given":"Boris"},{"family":"Post","given":"Anton F"},{"family":"Thompson","given":"Anne W"},{"family":"Ward","given":"Bess"},{"family":"Hollibaugh","given":"James T"},{"family":"Millard","given":"Andy"},{"family":"Ostrowski","given":"Martin"},{"family":"J Scanlan","given":"David"},{"family":"Paerl","given":"Ryan W"},{"family":"Stuart","given":"Rhona"},{"family":"Zehr","given":"Jonathan P"}],"issued":{"date-parts":[["2014",7]]}}}],"schema":"https://github.com/citation-style-language/schema/raw/master/csl-citation.json"} </w:instrText>
      </w:r>
      <w:r w:rsidR="00B7766A" w:rsidRPr="00E71220">
        <w:rPr>
          <w:rFonts w:ascii="Times New Roman" w:hAnsi="Times New Roman" w:cs="Times New Roman"/>
        </w:rPr>
        <w:fldChar w:fldCharType="separate"/>
      </w:r>
      <w:r w:rsidR="00717C6F" w:rsidRPr="00E71220">
        <w:rPr>
          <w:rFonts w:ascii="Times New Roman" w:hAnsi="Times New Roman" w:cs="Times New Roman"/>
          <w:noProof/>
        </w:rPr>
        <w:t>[1]</w:t>
      </w:r>
      <w:r w:rsidR="00B7766A" w:rsidRPr="00E71220">
        <w:rPr>
          <w:rFonts w:ascii="Times New Roman" w:hAnsi="Times New Roman" w:cs="Times New Roman"/>
        </w:rPr>
        <w:fldChar w:fldCharType="end"/>
      </w:r>
      <w:r w:rsidRPr="00E71220">
        <w:rPr>
          <w:rFonts w:ascii="Times New Roman" w:hAnsi="Times New Roman" w:cs="Times New Roman"/>
        </w:rPr>
        <w:t xml:space="preserve">. Across T24 samples, the total proportion of transcripts attributed to each phylogroup was stable (max </w:t>
      </w:r>
      <w:proofErr w:type="spellStart"/>
      <w:r w:rsidRPr="00E71220">
        <w:rPr>
          <w:rFonts w:ascii="Times New Roman" w:hAnsi="Times New Roman" w:cs="Times New Roman"/>
        </w:rPr>
        <w:t>s.d.</w:t>
      </w:r>
      <w:proofErr w:type="spellEnd"/>
      <w:r w:rsidRPr="00E71220">
        <w:rPr>
          <w:rFonts w:ascii="Times New Roman" w:hAnsi="Times New Roman" w:cs="Times New Roman"/>
        </w:rPr>
        <w:t xml:space="preserve"> 0.05, for HL </w:t>
      </w:r>
      <w:r w:rsidRPr="00E71220">
        <w:rPr>
          <w:rFonts w:ascii="Times New Roman" w:hAnsi="Times New Roman" w:cs="Times New Roman"/>
          <w:i/>
          <w:iCs/>
        </w:rPr>
        <w:t>Prochlorococcus</w:t>
      </w:r>
      <w:r w:rsidRPr="00E71220">
        <w:rPr>
          <w:rFonts w:ascii="Times New Roman" w:hAnsi="Times New Roman" w:cs="Times New Roman"/>
        </w:rPr>
        <w:t xml:space="preserve">; </w:t>
      </w:r>
      <w:r w:rsidR="00A43F07" w:rsidRPr="00E71220">
        <w:rPr>
          <w:rFonts w:ascii="Times New Roman" w:hAnsi="Times New Roman" w:cs="Times New Roman"/>
        </w:rPr>
        <w:t>S</w:t>
      </w:r>
      <w:r w:rsidR="00DA6EAC">
        <w:rPr>
          <w:rFonts w:ascii="Times New Roman" w:hAnsi="Times New Roman" w:cs="Times New Roman"/>
        </w:rPr>
        <w:t>1</w:t>
      </w:r>
      <w:r w:rsidR="00A43F07" w:rsidRPr="00E71220">
        <w:rPr>
          <w:rFonts w:ascii="Times New Roman" w:hAnsi="Times New Roman" w:cs="Times New Roman"/>
        </w:rPr>
        <w:t xml:space="preserve"> </w:t>
      </w:r>
      <w:r w:rsidRPr="00E71220">
        <w:rPr>
          <w:rFonts w:ascii="Times New Roman" w:hAnsi="Times New Roman" w:cs="Times New Roman"/>
        </w:rPr>
        <w:t xml:space="preserve">Fig), as were relative abundances </w:t>
      </w:r>
      <w:r w:rsidR="009A3663" w:rsidRPr="00E71220">
        <w:rPr>
          <w:rFonts w:ascii="Times New Roman" w:hAnsi="Times New Roman" w:cs="Times New Roman"/>
        </w:rPr>
        <w:fldChar w:fldCharType="begin"/>
      </w:r>
      <w:r w:rsidR="008127F5" w:rsidRPr="00E71220">
        <w:rPr>
          <w:rFonts w:ascii="Times New Roman" w:hAnsi="Times New Roman" w:cs="Times New Roman"/>
        </w:rPr>
        <w:instrText xml:space="preserve"> ADDIN ZOTERO_ITEM CSL_CITATION {"citationID":"W9xn5y2y","properties":{"formattedCitation":"[2]","plainCitation":"[2]","noteIndex":0},"citationItems":[{"id":3,"uris":["http://zotero.org/users/local/ZW2GSes4/items/YND8UV3A"],"uri":["http://zotero.org/users/local/ZW2GSes4/items/YND8UV3A"],"itemData":{"id":3,"type":"article-journal","abstract":"Nitrogen (N) is the major limiting nutrient for phytoplankton growth and productivity in large parts of the world’s oceans. Differential preferences for speciﬁc N substrates may be important in controlling phytoplankton community composition. To date, there is limited information on how speciﬁc N substrates inﬂuence the composition of naturally occurring microbial communities. We investigated the effect of nitrate (NO23 ), ammonium (NH14 ), and urea on microbial and phytoplankton community composition (cell abundances and 16S rRNA gene proﬁling) and functioning (photosynthetic activity, carbon ﬁxation rates) in the oligotrophic waters of the North Paciﬁc Ocean. All N substrates tested signiﬁcantly stimulated phytoplankton growth and productivity. Urea resulted in the greatest (&gt;300%) increases in chlorophyll a (&lt;0.06 lg L21 and \u00180.19 lg L21 in the control and urea addition, respectively) and productivity (&lt;0.4 lmol C L21 d21 and \u00181.4 lmol C L21 d21 in the control and urea addition, respectively) at two experimental stations, largely due to increased abundances of Prochlorococcus (Cyanobacteria). Two abundant clades of Prochlorococcus, High Light I and II, demonstrated similar responses to urea, suggesting this substrate is likely an important N source for natural Prochlorococcus populations. In contrast, the heterotrophic community composition changed most in response to NH41. Finally, the time and magnitude of response to N amendments varied with geographic location, likely due to differences in microbial community composition and their nutrient status. Our results provide support for the hypothesis that changes in N supply would likely favor speciﬁc populations of phytoplankton in different oceanic regions and thus, affect both biogeochemical cycles and ecological processes.","container-title":"Limnology and Oceanography","DOI":"10.1002/lno.10590","ISSN":"00243590","issue":"6","journalAbbreviation":"Limnol. Oceanogr.","language":"en","page":"2550-2574","source":"DOI.org (Crossref)","title":"Differential effects of nitrate, ammonium, and urea as N sources for microbial communities in the North Pacific Ocean","title-short":"Differential effects of nitrate, ammonium, and urea as N sources for microbial communities in the North Pacific Ocean","volume":"62","author":[{"family":"Shilova","given":"I. N."},{"family":"Mills","given":"M. M."},{"family":"Robidart","given":"J. C."},{"family":"Turk-Kubo","given":"K. A."},{"family":"Björkman","given":"K. M."},{"family":"Kolber","given":"Z."},{"family":"Rapp","given":"I."},{"family":"Dijken","given":"G. L.","non-dropping-particle":"van"},{"family":"Church","given":"M. J."},{"family":"Arrigo","given":"K. R."},{"family":"Achterberg","given":"E. P."},{"family":"Zehr","given":"J. P."}],"issued":{"date-parts":[["2017",11]]}}}],"schema":"https://github.com/citation-style-language/schema/raw/master/csl-citation.json"} </w:instrText>
      </w:r>
      <w:r w:rsidR="009A3663" w:rsidRPr="00E71220">
        <w:rPr>
          <w:rFonts w:ascii="Times New Roman" w:hAnsi="Times New Roman" w:cs="Times New Roman"/>
        </w:rPr>
        <w:fldChar w:fldCharType="separate"/>
      </w:r>
      <w:r w:rsidR="00717C6F" w:rsidRPr="00E71220">
        <w:rPr>
          <w:rFonts w:ascii="Times New Roman" w:hAnsi="Times New Roman" w:cs="Times New Roman"/>
          <w:noProof/>
        </w:rPr>
        <w:t>[2]</w:t>
      </w:r>
      <w:r w:rsidR="009A3663" w:rsidRPr="00E71220">
        <w:rPr>
          <w:rFonts w:ascii="Times New Roman" w:hAnsi="Times New Roman" w:cs="Times New Roman"/>
        </w:rPr>
        <w:fldChar w:fldCharType="end"/>
      </w:r>
      <w:r w:rsidRPr="00E71220">
        <w:rPr>
          <w:rFonts w:ascii="Times New Roman" w:hAnsi="Times New Roman" w:cs="Times New Roman"/>
        </w:rPr>
        <w:t>.</w:t>
      </w:r>
      <w:r w:rsidR="00D36EE5" w:rsidRPr="00E71220">
        <w:rPr>
          <w:rFonts w:ascii="Times New Roman" w:hAnsi="Times New Roman" w:cs="Times New Roman"/>
        </w:rPr>
        <w:t xml:space="preserve"> </w:t>
      </w:r>
      <w:r w:rsidRPr="00E71220">
        <w:rPr>
          <w:rFonts w:ascii="Times New Roman" w:hAnsi="Times New Roman" w:cs="Times New Roman"/>
        </w:rPr>
        <w:t>Thus, the metatranscriptome</w:t>
      </w:r>
      <w:r w:rsidR="007D38A7">
        <w:rPr>
          <w:rFonts w:ascii="Times New Roman" w:hAnsi="Times New Roman" w:cs="Times New Roman"/>
        </w:rPr>
        <w:t xml:space="preserve"> </w:t>
      </w:r>
      <w:r w:rsidRPr="00E71220">
        <w:rPr>
          <w:rFonts w:ascii="Times New Roman" w:hAnsi="Times New Roman" w:cs="Times New Roman"/>
        </w:rPr>
        <w:t>positions in Fig</w:t>
      </w:r>
      <w:r w:rsidR="00495E0E" w:rsidRPr="00E71220">
        <w:rPr>
          <w:rFonts w:ascii="Times New Roman" w:hAnsi="Times New Roman" w:cs="Times New Roman"/>
        </w:rPr>
        <w:t xml:space="preserve"> 1</w:t>
      </w:r>
      <w:r w:rsidRPr="00E71220">
        <w:rPr>
          <w:rFonts w:ascii="Times New Roman" w:hAnsi="Times New Roman" w:cs="Times New Roman"/>
        </w:rPr>
        <w:t xml:space="preserve"> reflect changes in the distribution of transcripts within each of these phylogroups.</w:t>
      </w:r>
      <w:r w:rsidR="00D36EE5" w:rsidRPr="00E71220">
        <w:rPr>
          <w:rFonts w:ascii="Times New Roman" w:hAnsi="Times New Roman" w:cs="Times New Roman"/>
        </w:rPr>
        <w:t xml:space="preserve"> </w:t>
      </w:r>
      <w:r w:rsidRPr="00E71220">
        <w:rPr>
          <w:rFonts w:ascii="Times New Roman" w:hAnsi="Times New Roman" w:cs="Times New Roman"/>
        </w:rPr>
        <w:t xml:space="preserve">Note that heterotrophic bacteria were also abundant, and those with larger genomes (HNA) underwent large cell density increases in all treatments </w:t>
      </w:r>
      <w:r w:rsidR="00B7766A" w:rsidRPr="00E71220">
        <w:rPr>
          <w:rFonts w:ascii="Times New Roman" w:hAnsi="Times New Roman" w:cs="Times New Roman"/>
        </w:rPr>
        <w:fldChar w:fldCharType="begin"/>
      </w:r>
      <w:r w:rsidR="008127F5" w:rsidRPr="00E71220">
        <w:rPr>
          <w:rFonts w:ascii="Times New Roman" w:hAnsi="Times New Roman" w:cs="Times New Roman"/>
        </w:rPr>
        <w:instrText xml:space="preserve"> ADDIN ZOTERO_ITEM CSL_CITATION {"citationID":"C2OZs522","properties":{"formattedCitation":"[2]","plainCitation":"[2]","noteIndex":0},"citationItems":[{"id":3,"uris":["http://zotero.org/users/local/ZW2GSes4/items/YND8UV3A"],"uri":["http://zotero.org/users/local/ZW2GSes4/items/YND8UV3A"],"itemData":{"id":3,"type":"article-journal","abstract":"Nitrogen (N) is the major limiting nutrient for phytoplankton growth and productivity in large parts of the world’s oceans. Differential preferences for speciﬁc N substrates may be important in controlling phytoplankton community composition. To date, there is limited information on how speciﬁc N substrates inﬂuence the composition of naturally occurring microbial communities. We investigated the effect of nitrate (NO23 ), ammonium (NH14 ), and urea on microbial and phytoplankton community composition (cell abundances and 16S rRNA gene proﬁling) and functioning (photosynthetic activity, carbon ﬁxation rates) in the oligotrophic waters of the North Paciﬁc Ocean. All N substrates tested signiﬁcantly stimulated phytoplankton growth and productivity. Urea resulted in the greatest (&gt;300%) increases in chlorophyll a (&lt;0.06 lg L21 and \u00180.19 lg L21 in the control and urea addition, respectively) and productivity (&lt;0.4 lmol C L21 d21 and \u00181.4 lmol C L21 d21 in the control and urea addition, respectively) at two experimental stations, largely due to increased abundances of Prochlorococcus (Cyanobacteria). Two abundant clades of Prochlorococcus, High Light I and II, demonstrated similar responses to urea, suggesting this substrate is likely an important N source for natural Prochlorococcus populations. In contrast, the heterotrophic community composition changed most in response to NH41. Finally, the time and magnitude of response to N amendments varied with geographic location, likely due to differences in microbial community composition and their nutrient status. Our results provide support for the hypothesis that changes in N supply would likely favor speciﬁc populations of phytoplankton in different oceanic regions and thus, affect both biogeochemical cycles and ecological processes.","container-title":"Limnology and Oceanography","DOI":"10.1002/lno.10590","ISSN":"00243590","issue":"6","journalAbbreviation":"Limnol. Oceanogr.","language":"en","page":"2550-2574","source":"DOI.org (Crossref)","title":"Differential effects of nitrate, ammonium, and urea as N sources for microbial communities in the North Pacific Ocean","title-short":"Differential effects of nitrate, ammonium, and urea as N sources for microbial communities in the North Pacific Ocean","volume":"62","author":[{"family":"Shilova","given":"I. N."},{"family":"Mills","given":"M. M."},{"family":"Robidart","given":"J. C."},{"family":"Turk-Kubo","given":"K. A."},{"family":"Björkman","given":"K. M."},{"family":"Kolber","given":"Z."},{"family":"Rapp","given":"I."},{"family":"Dijken","given":"G. L.","non-dropping-particle":"van"},{"family":"Church","given":"M. J."},{"family":"Arrigo","given":"K. R."},{"family":"Achterberg","given":"E. P."},{"family":"Zehr","given":"J. P."}],"issued":{"date-parts":[["2017",11]]}}}],"schema":"https://github.com/citation-style-language/schema/raw/master/csl-citation.json"} </w:instrText>
      </w:r>
      <w:r w:rsidR="00B7766A" w:rsidRPr="00E71220">
        <w:rPr>
          <w:rFonts w:ascii="Times New Roman" w:hAnsi="Times New Roman" w:cs="Times New Roman"/>
        </w:rPr>
        <w:fldChar w:fldCharType="separate"/>
      </w:r>
      <w:r w:rsidR="00717C6F" w:rsidRPr="00E71220">
        <w:rPr>
          <w:rFonts w:ascii="Times New Roman" w:hAnsi="Times New Roman" w:cs="Times New Roman"/>
          <w:noProof/>
        </w:rPr>
        <w:t>[2]</w:t>
      </w:r>
      <w:r w:rsidR="00B7766A" w:rsidRPr="00E71220">
        <w:rPr>
          <w:rFonts w:ascii="Times New Roman" w:hAnsi="Times New Roman" w:cs="Times New Roman"/>
        </w:rPr>
        <w:fldChar w:fldCharType="end"/>
      </w:r>
      <w:r w:rsidRPr="00E71220">
        <w:rPr>
          <w:rFonts w:ascii="Times New Roman" w:hAnsi="Times New Roman" w:cs="Times New Roman"/>
        </w:rPr>
        <w:t xml:space="preserve">. However, heterotrophs have fewer MicroTOOLs targets and thus had limited influence in the NMDS analysis. In contrast, although PE </w:t>
      </w:r>
      <w:proofErr w:type="gramStart"/>
      <w:r w:rsidRPr="00E71220">
        <w:rPr>
          <w:rFonts w:ascii="Times New Roman" w:hAnsi="Times New Roman" w:cs="Times New Roman"/>
        </w:rPr>
        <w:t>are</w:t>
      </w:r>
      <w:proofErr w:type="gramEnd"/>
      <w:r w:rsidRPr="00E71220">
        <w:rPr>
          <w:rFonts w:ascii="Times New Roman" w:hAnsi="Times New Roman" w:cs="Times New Roman"/>
        </w:rPr>
        <w:t xml:space="preserve"> represented mainly by </w:t>
      </w:r>
      <w:proofErr w:type="spellStart"/>
      <w:r w:rsidRPr="00E71220">
        <w:rPr>
          <w:rFonts w:ascii="Times New Roman" w:hAnsi="Times New Roman" w:cs="Times New Roman"/>
          <w:i/>
          <w:iCs/>
        </w:rPr>
        <w:t>rbcL</w:t>
      </w:r>
      <w:proofErr w:type="spellEnd"/>
      <w:r w:rsidRPr="00E71220">
        <w:rPr>
          <w:rFonts w:ascii="Times New Roman" w:hAnsi="Times New Roman" w:cs="Times New Roman"/>
        </w:rPr>
        <w:t xml:space="preserve"> in </w:t>
      </w:r>
      <w:proofErr w:type="spellStart"/>
      <w:r w:rsidRPr="00E71220">
        <w:rPr>
          <w:rFonts w:ascii="Times New Roman" w:hAnsi="Times New Roman" w:cs="Times New Roman"/>
        </w:rPr>
        <w:t>MicroTOOLs</w:t>
      </w:r>
      <w:proofErr w:type="spellEnd"/>
      <w:r w:rsidRPr="00E71220">
        <w:rPr>
          <w:rFonts w:ascii="Times New Roman" w:hAnsi="Times New Roman" w:cs="Times New Roman"/>
        </w:rPr>
        <w:t>, there are many </w:t>
      </w:r>
      <w:proofErr w:type="spellStart"/>
      <w:r w:rsidRPr="00E71220">
        <w:rPr>
          <w:rFonts w:ascii="Times New Roman" w:hAnsi="Times New Roman" w:cs="Times New Roman"/>
          <w:i/>
          <w:iCs/>
        </w:rPr>
        <w:t>rbcL</w:t>
      </w:r>
      <w:proofErr w:type="spellEnd"/>
      <w:r w:rsidRPr="00E71220">
        <w:rPr>
          <w:rFonts w:ascii="Times New Roman" w:hAnsi="Times New Roman" w:cs="Times New Roman"/>
        </w:rPr>
        <w:t xml:space="preserve"> targets. </w:t>
      </w:r>
    </w:p>
    <w:p w14:paraId="65E82CE0" w14:textId="0D0325CE" w:rsidR="001A650A" w:rsidRPr="00E71220" w:rsidRDefault="001A650A" w:rsidP="001A650A">
      <w:pPr>
        <w:spacing w:line="480" w:lineRule="auto"/>
        <w:rPr>
          <w:rFonts w:ascii="Times New Roman" w:hAnsi="Times New Roman" w:cs="Times New Roman"/>
        </w:rPr>
      </w:pPr>
      <w:r w:rsidRPr="00E71220">
        <w:rPr>
          <w:rFonts w:ascii="Times New Roman" w:hAnsi="Times New Roman" w:cs="Times New Roman"/>
        </w:rPr>
        <w:tab/>
      </w:r>
      <w:r w:rsidR="00CC5D4E" w:rsidRPr="00E71220">
        <w:rPr>
          <w:rFonts w:ascii="Times New Roman" w:eastAsia="Times New Roman" w:hAnsi="Times New Roman" w:cs="Times New Roman"/>
        </w:rPr>
        <w:t xml:space="preserve">Although transcript level changes from N stress genes (described in the main text) indicated that the CCS surface phytoplankton community was N-limited, in comparison to the NSPG, the CCS community as detected with the microarray either was not N-starved or was co-limited by N and another nutrient. This is supported by </w:t>
      </w:r>
      <w:r w:rsidR="00CC5D4E" w:rsidRPr="00E71220">
        <w:rPr>
          <w:rFonts w:ascii="Times New Roman" w:hAnsi="Times New Roman" w:cs="Times New Roman"/>
        </w:rPr>
        <w:t>the</w:t>
      </w:r>
      <w:r w:rsidR="00A43F07" w:rsidRPr="00E71220">
        <w:rPr>
          <w:rFonts w:ascii="Times New Roman" w:hAnsi="Times New Roman" w:cs="Times New Roman"/>
        </w:rPr>
        <w:t xml:space="preserve"> </w:t>
      </w:r>
      <w:r w:rsidR="00A23536">
        <w:rPr>
          <w:rFonts w:ascii="Times New Roman" w:hAnsi="Times New Roman" w:cs="Times New Roman"/>
        </w:rPr>
        <w:t xml:space="preserve">significantly </w:t>
      </w:r>
      <w:r w:rsidR="00A43F07" w:rsidRPr="00E71220">
        <w:rPr>
          <w:rFonts w:ascii="Times New Roman" w:hAnsi="Times New Roman" w:cs="Times New Roman"/>
        </w:rPr>
        <w:t xml:space="preserve">tighter clustering of the CCS versus </w:t>
      </w:r>
      <w:r w:rsidR="001F1721" w:rsidRPr="00E71220">
        <w:rPr>
          <w:rFonts w:ascii="Times New Roman" w:hAnsi="Times New Roman" w:cs="Times New Roman"/>
        </w:rPr>
        <w:t xml:space="preserve">the </w:t>
      </w:r>
      <w:r w:rsidR="00A43F07" w:rsidRPr="00E71220">
        <w:rPr>
          <w:rFonts w:ascii="Times New Roman" w:hAnsi="Times New Roman" w:cs="Times New Roman"/>
        </w:rPr>
        <w:t>NPSG metatranscriptomes</w:t>
      </w:r>
      <w:r w:rsidR="00821A79" w:rsidRPr="00E71220">
        <w:rPr>
          <w:rFonts w:ascii="Times New Roman" w:hAnsi="Times New Roman" w:cs="Times New Roman"/>
        </w:rPr>
        <w:t xml:space="preserve"> </w:t>
      </w:r>
      <w:r w:rsidR="00A23536">
        <w:rPr>
          <w:rStyle w:val="Hyperlink0"/>
          <w:rFonts w:eastAsia="Calibri"/>
        </w:rPr>
        <w:t>(</w:t>
      </w:r>
      <w:r w:rsidR="00B5247F" w:rsidRPr="00B5247F">
        <w:rPr>
          <w:rStyle w:val="Hyperlink0"/>
          <w:rFonts w:eastAsia="Calibri"/>
        </w:rPr>
        <w:t xml:space="preserve">p~0 in a PERMDISP2 [3] analysis using the vegan R package function </w:t>
      </w:r>
      <w:proofErr w:type="spellStart"/>
      <w:r w:rsidR="00B5247F" w:rsidRPr="00B5247F">
        <w:rPr>
          <w:rStyle w:val="Hyperlink0"/>
          <w:rFonts w:eastAsia="Calibri"/>
        </w:rPr>
        <w:t>betadisper</w:t>
      </w:r>
      <w:proofErr w:type="spellEnd"/>
      <w:r w:rsidR="00B5247F" w:rsidRPr="00B5247F">
        <w:rPr>
          <w:rStyle w:val="Hyperlink0"/>
          <w:rFonts w:eastAsia="Calibri"/>
        </w:rPr>
        <w:t xml:space="preserve"> on Euclidean distances between samples followed by </w:t>
      </w:r>
      <w:r w:rsidR="00E85881" w:rsidRPr="0094770A">
        <w:rPr>
          <w:rStyle w:val="Hyperlink0"/>
          <w:rFonts w:eastAsia="Calibri"/>
        </w:rPr>
        <w:t>ANOVA</w:t>
      </w:r>
      <w:r w:rsidR="00A23536" w:rsidRPr="0094770A">
        <w:rPr>
          <w:rStyle w:val="Hyperlink0"/>
          <w:rFonts w:eastAsia="Calibri"/>
        </w:rPr>
        <w:t>)</w:t>
      </w:r>
      <w:r w:rsidR="00A23536">
        <w:rPr>
          <w:rStyle w:val="Hyperlink0"/>
          <w:rFonts w:eastAsia="Calibri"/>
        </w:rPr>
        <w:t xml:space="preserve"> </w:t>
      </w:r>
      <w:r w:rsidR="00176788">
        <w:rPr>
          <w:rFonts w:ascii="Times New Roman" w:hAnsi="Times New Roman" w:cs="Times New Roman"/>
        </w:rPr>
        <w:t>apparent in</w:t>
      </w:r>
      <w:r w:rsidR="00176788" w:rsidRPr="00E71220">
        <w:rPr>
          <w:rFonts w:ascii="Times New Roman" w:hAnsi="Times New Roman" w:cs="Times New Roman"/>
        </w:rPr>
        <w:t xml:space="preserve"> S</w:t>
      </w:r>
      <w:r w:rsidR="00146E9B">
        <w:rPr>
          <w:rFonts w:ascii="Times New Roman" w:hAnsi="Times New Roman" w:cs="Times New Roman"/>
        </w:rPr>
        <w:t>3</w:t>
      </w:r>
      <w:r w:rsidR="00176788" w:rsidRPr="00E71220">
        <w:rPr>
          <w:rFonts w:ascii="Times New Roman" w:hAnsi="Times New Roman" w:cs="Times New Roman"/>
        </w:rPr>
        <w:t xml:space="preserve"> Fig </w:t>
      </w:r>
      <w:r w:rsidR="00CC5D4E" w:rsidRPr="00E71220">
        <w:rPr>
          <w:rFonts w:ascii="Times New Roman" w:hAnsi="Times New Roman" w:cs="Times New Roman"/>
        </w:rPr>
        <w:t>and also</w:t>
      </w:r>
      <w:r w:rsidR="008F6E4C" w:rsidRPr="00E71220">
        <w:rPr>
          <w:rFonts w:ascii="Times New Roman" w:hAnsi="Times New Roman" w:cs="Times New Roman"/>
        </w:rPr>
        <w:t xml:space="preserve"> by the single-gene and EGSEA analyses (main text). </w:t>
      </w:r>
      <w:r w:rsidRPr="00E71220">
        <w:rPr>
          <w:rFonts w:ascii="Times New Roman" w:hAnsi="Times New Roman" w:cs="Times New Roman"/>
        </w:rPr>
        <w:t xml:space="preserve">An alternative explanation </w:t>
      </w:r>
      <w:r w:rsidR="008F6E4C" w:rsidRPr="00E71220">
        <w:rPr>
          <w:rFonts w:ascii="Times New Roman" w:hAnsi="Times New Roman" w:cs="Times New Roman"/>
        </w:rPr>
        <w:t xml:space="preserve">for the clustering differences </w:t>
      </w:r>
      <w:r w:rsidR="00283F7B" w:rsidRPr="00E71220">
        <w:rPr>
          <w:rFonts w:ascii="Times New Roman" w:hAnsi="Times New Roman" w:cs="Times New Roman"/>
        </w:rPr>
        <w:t xml:space="preserve">is that </w:t>
      </w:r>
      <w:r w:rsidRPr="00E71220">
        <w:rPr>
          <w:rFonts w:ascii="Times New Roman" w:hAnsi="Times New Roman" w:cs="Times New Roman"/>
        </w:rPr>
        <w:t xml:space="preserve">higher diversity in the CCS might have caused transcripts to be distributed </w:t>
      </w:r>
      <w:r w:rsidR="005E49C9" w:rsidRPr="00E71220">
        <w:rPr>
          <w:rFonts w:ascii="Times New Roman" w:hAnsi="Times New Roman" w:cs="Times New Roman"/>
        </w:rPr>
        <w:t xml:space="preserve">over </w:t>
      </w:r>
      <w:r w:rsidRPr="00E71220">
        <w:rPr>
          <w:rFonts w:ascii="Times New Roman" w:hAnsi="Times New Roman" w:cs="Times New Roman"/>
        </w:rPr>
        <w:t>more MicroTOOLs targets, and thus limited the influence of transcript</w:t>
      </w:r>
      <w:r w:rsidR="00A46A74" w:rsidRPr="00E71220">
        <w:rPr>
          <w:rFonts w:ascii="Times New Roman" w:hAnsi="Times New Roman" w:cs="Times New Roman"/>
        </w:rPr>
        <w:t>ional</w:t>
      </w:r>
      <w:r w:rsidRPr="00E71220">
        <w:rPr>
          <w:rFonts w:ascii="Times New Roman" w:hAnsi="Times New Roman" w:cs="Times New Roman"/>
        </w:rPr>
        <w:t xml:space="preserve"> changes from any single phylogroup in the CCS metatranscriptomes.</w:t>
      </w:r>
      <w:r w:rsidR="008607E6">
        <w:rPr>
          <w:rFonts w:ascii="Times New Roman" w:hAnsi="Times New Roman" w:cs="Times New Roman"/>
        </w:rPr>
        <w:t xml:space="preserve"> </w:t>
      </w:r>
      <w:r w:rsidRPr="00E71220">
        <w:rPr>
          <w:rFonts w:ascii="Times New Roman" w:hAnsi="Times New Roman" w:cs="Times New Roman"/>
        </w:rPr>
        <w:t>In particular,</w:t>
      </w:r>
      <w:r w:rsidR="00925DF2" w:rsidRPr="00E71220">
        <w:rPr>
          <w:rFonts w:ascii="Times New Roman" w:hAnsi="Times New Roman" w:cs="Times New Roman"/>
        </w:rPr>
        <w:t xml:space="preserve"> across CCS samples,</w:t>
      </w:r>
      <w:r w:rsidRPr="00E71220">
        <w:rPr>
          <w:rFonts w:ascii="Times New Roman" w:hAnsi="Times New Roman" w:cs="Times New Roman"/>
        </w:rPr>
        <w:t xml:space="preserve"> </w:t>
      </w:r>
      <w:r w:rsidRPr="00E71220">
        <w:rPr>
          <w:rFonts w:ascii="Times New Roman" w:hAnsi="Times New Roman" w:cs="Times New Roman"/>
          <w:i/>
          <w:iCs/>
        </w:rPr>
        <w:t>Prochlorococcus</w:t>
      </w:r>
      <w:r w:rsidR="00203740">
        <w:rPr>
          <w:rFonts w:ascii="Times New Roman" w:hAnsi="Times New Roman" w:cs="Times New Roman"/>
          <w:i/>
          <w:iCs/>
        </w:rPr>
        <w:t xml:space="preserve"> </w:t>
      </w:r>
      <w:r w:rsidRPr="00E71220">
        <w:rPr>
          <w:rFonts w:ascii="Times New Roman" w:hAnsi="Times New Roman" w:cs="Times New Roman"/>
        </w:rPr>
        <w:t>versus</w:t>
      </w:r>
      <w:r w:rsidR="00203740">
        <w:rPr>
          <w:rFonts w:ascii="Times New Roman" w:hAnsi="Times New Roman" w:cs="Times New Roman"/>
        </w:rPr>
        <w:t xml:space="preserve"> </w:t>
      </w:r>
      <w:r w:rsidRPr="00E71220">
        <w:rPr>
          <w:rFonts w:ascii="Times New Roman" w:hAnsi="Times New Roman" w:cs="Times New Roman"/>
          <w:i/>
          <w:iCs/>
        </w:rPr>
        <w:t>Synechococcus</w:t>
      </w:r>
      <w:r w:rsidR="00203740">
        <w:rPr>
          <w:rFonts w:ascii="Times New Roman" w:hAnsi="Times New Roman" w:cs="Times New Roman"/>
        </w:rPr>
        <w:t xml:space="preserve"> </w:t>
      </w:r>
      <w:r w:rsidRPr="00E71220">
        <w:rPr>
          <w:rFonts w:ascii="Times New Roman" w:hAnsi="Times New Roman" w:cs="Times New Roman"/>
        </w:rPr>
        <w:t>transcripts were ~1:1 (</w:t>
      </w:r>
      <w:r w:rsidR="00925DF2" w:rsidRPr="00E71220">
        <w:rPr>
          <w:rFonts w:ascii="Times New Roman" w:hAnsi="Times New Roman" w:cs="Times New Roman"/>
        </w:rPr>
        <w:t xml:space="preserve">the </w:t>
      </w:r>
      <w:r w:rsidRPr="00E71220">
        <w:rPr>
          <w:rFonts w:ascii="Times New Roman" w:hAnsi="Times New Roman" w:cs="Times New Roman"/>
        </w:rPr>
        <w:t xml:space="preserve">ratio of </w:t>
      </w:r>
      <w:r w:rsidR="00925DF2" w:rsidRPr="00E71220">
        <w:rPr>
          <w:rFonts w:ascii="Times New Roman" w:hAnsi="Times New Roman" w:cs="Times New Roman"/>
        </w:rPr>
        <w:t xml:space="preserve">the </w:t>
      </w:r>
      <w:r w:rsidRPr="00E71220">
        <w:rPr>
          <w:rFonts w:ascii="Times New Roman" w:hAnsi="Times New Roman" w:cs="Times New Roman"/>
        </w:rPr>
        <w:t>median</w:t>
      </w:r>
      <w:r w:rsidR="00925DF2" w:rsidRPr="00E71220">
        <w:rPr>
          <w:rFonts w:ascii="Times New Roman" w:hAnsi="Times New Roman" w:cs="Times New Roman"/>
        </w:rPr>
        <w:t>s</w:t>
      </w:r>
      <w:r w:rsidRPr="00E71220">
        <w:rPr>
          <w:rFonts w:ascii="Times New Roman" w:hAnsi="Times New Roman" w:cs="Times New Roman"/>
        </w:rPr>
        <w:t xml:space="preserve"> of each phylogroup proportion of transcripts) but ~2:1 across NPSG samples in the study by </w:t>
      </w:r>
      <w:proofErr w:type="spellStart"/>
      <w:r w:rsidRPr="00E71220">
        <w:rPr>
          <w:rFonts w:ascii="Times New Roman" w:hAnsi="Times New Roman" w:cs="Times New Roman"/>
        </w:rPr>
        <w:t>Robidart</w:t>
      </w:r>
      <w:proofErr w:type="spellEnd"/>
      <w:r w:rsidRPr="00E71220">
        <w:rPr>
          <w:rFonts w:ascii="Times New Roman" w:hAnsi="Times New Roman" w:cs="Times New Roman"/>
        </w:rPr>
        <w:t xml:space="preserve"> et al. </w:t>
      </w:r>
      <w:r w:rsidR="00FA521E" w:rsidRPr="00E71220">
        <w:rPr>
          <w:rFonts w:ascii="Times New Roman" w:hAnsi="Times New Roman" w:cs="Times New Roman"/>
        </w:rPr>
        <w:fldChar w:fldCharType="begin"/>
      </w:r>
      <w:r w:rsidR="00176788">
        <w:rPr>
          <w:rFonts w:ascii="Times New Roman" w:hAnsi="Times New Roman" w:cs="Times New Roman"/>
        </w:rPr>
        <w:instrText xml:space="preserve"> ADDIN ZOTERO_ITEM CSL_CITATION {"citationID":"zqpFBYF4","properties":{"formattedCitation":"[4]","plainCitation":"[4]","noteIndex":0},"citationItems":[{"id":73,"uris":["http://zotero.org/users/local/ZW2GSes4/items/DGBITWZI"],"uri":["http://zotero.org/users/local/ZW2GSes4/items/DGBITWZI"],"itemData":{"id":73,"type":"article-journal","abstract":"Modification of gene transcription is the first response of organisms to environmental changes and thus can reveal taxa-specific sensitivities to conditions, including nutrient availability. This study revealed differential sensitivities among critical members of the NPSG surface microbial community—Prochlorococcus, Synechococcus, eukaryotic phytoplankton, N2-fixing cyanobacteria, and viruses—to deep water mixing, with distinct effects due to deep water nutrients versus deep water particles and organisms. Transcriptional patterns in the mixing experiments were repeatable and for abundant taxa were consistent with patterns seen in previous studies. For example, the addition of deep water (filtered or not) stimulated transcription of viral photosynthetic genes. However, the sensitivity of MicroTOOLs also enabled us to detect transcriptional responses from less abundant but key members. A surprising example was the differential responses among N2-fixers to nutrient increases (an overall decrease in transcription) versus in the presence of deep water particles and organisms (when Trichodesmium and Crocosphaera transcription returned to nearly the control levels). It is well recognized that biological interactions impact biogeochemistry in the open ocean [56,57,58,59,60], and our mixing experiment points to the impact of environmental perturbations (chemistry, biology) in dictating which organisms thrive. Most importantly, the metatranscriptomic patterns from samples collected in situ show that, though undetectable using biogeochemical proxies for phytoplankton responses (Fig. 1), small-scale mixing events can stimulate the photosynthetic community at the periphery of eddies during the stratified summer months in the NPSG.","container-title":"The ISME Journal","DOI":"10.1038/s41396-018-0280-0","issue":"2","journalAbbreviation":"The ISME Journal","page":"374-387","source":"ResearchGate","title":"Effects of nutrient enrichment on surface microbial community gene expression in the oligotrophic North Pacific Subtropical Gyre","volume":"13","author":[{"family":"Robidart","given":"J. C."},{"family":"Magasin","given":"J. D."},{"family":"Shilova","given":"I. N."},{"family":"Turk-Kubo","given":"K. A."},{"family":"Wilson","given":"S. T."},{"family":"Karl","given":"D. M."},{"family":"Scholin","given":"C. A."},{"family":"Zehr","given":"J. P."}],"issued":{"date-parts":[["2018",9,1]]}}}],"schema":"https://github.com/citation-style-language/schema/raw/master/csl-citation.json"} </w:instrText>
      </w:r>
      <w:r w:rsidR="00FA521E" w:rsidRPr="00E71220">
        <w:rPr>
          <w:rFonts w:ascii="Times New Roman" w:hAnsi="Times New Roman" w:cs="Times New Roman"/>
        </w:rPr>
        <w:fldChar w:fldCharType="separate"/>
      </w:r>
      <w:r w:rsidR="00176788">
        <w:rPr>
          <w:rFonts w:ascii="Times New Roman" w:hAnsi="Times New Roman" w:cs="Times New Roman"/>
          <w:noProof/>
        </w:rPr>
        <w:t>[4]</w:t>
      </w:r>
      <w:r w:rsidR="00FA521E" w:rsidRPr="00E71220">
        <w:rPr>
          <w:rFonts w:ascii="Times New Roman" w:hAnsi="Times New Roman" w:cs="Times New Roman"/>
        </w:rPr>
        <w:fldChar w:fldCharType="end"/>
      </w:r>
      <w:r w:rsidRPr="00E71220">
        <w:rPr>
          <w:rFonts w:ascii="Times New Roman" w:hAnsi="Times New Roman" w:cs="Times New Roman"/>
        </w:rPr>
        <w:t xml:space="preserve">. </w:t>
      </w:r>
      <w:r w:rsidR="002C0F8C" w:rsidRPr="00E71220">
        <w:rPr>
          <w:rFonts w:ascii="Times New Roman" w:hAnsi="Times New Roman" w:cs="Times New Roman"/>
        </w:rPr>
        <w:t>Most likely, n</w:t>
      </w:r>
      <w:r w:rsidRPr="00E71220">
        <w:rPr>
          <w:rFonts w:ascii="Times New Roman" w:hAnsi="Times New Roman" w:cs="Times New Roman"/>
        </w:rPr>
        <w:t xml:space="preserve">utrient statuses and diversity </w:t>
      </w:r>
      <w:r w:rsidR="00E32DFA" w:rsidRPr="00E71220">
        <w:rPr>
          <w:rFonts w:ascii="Times New Roman" w:hAnsi="Times New Roman" w:cs="Times New Roman"/>
        </w:rPr>
        <w:t xml:space="preserve">both </w:t>
      </w:r>
      <w:r w:rsidRPr="00E71220">
        <w:rPr>
          <w:rFonts w:ascii="Times New Roman" w:hAnsi="Times New Roman" w:cs="Times New Roman"/>
        </w:rPr>
        <w:t>influenced the clustering differences between CCS and NPSG metatranscriptomes.</w:t>
      </w:r>
    </w:p>
    <w:p w14:paraId="170E856A" w14:textId="3918EE2C" w:rsidR="001A650A" w:rsidRPr="00E71220" w:rsidRDefault="001A650A" w:rsidP="001A650A">
      <w:pPr>
        <w:spacing w:line="480" w:lineRule="auto"/>
        <w:rPr>
          <w:rFonts w:ascii="Times New Roman" w:hAnsi="Times New Roman" w:cs="Times New Roman"/>
        </w:rPr>
      </w:pPr>
      <w:r w:rsidRPr="00E71220">
        <w:rPr>
          <w:rFonts w:ascii="Times New Roman" w:hAnsi="Times New Roman" w:cs="Times New Roman"/>
        </w:rPr>
        <w:lastRenderedPageBreak/>
        <w:tab/>
        <w:t xml:space="preserve">The high diversity of the microbial community at the CCS station also may have contributed to the higher variation among replicate metatranscriptomes, such as the outlier </w:t>
      </w:r>
      <w:proofErr w:type="spellStart"/>
      <w:r w:rsidRPr="00E71220">
        <w:rPr>
          <w:rFonts w:ascii="Times New Roman" w:hAnsi="Times New Roman" w:cs="Times New Roman"/>
        </w:rPr>
        <w:t>N+Fe</w:t>
      </w:r>
      <w:proofErr w:type="spellEnd"/>
      <w:r w:rsidRPr="00E71220">
        <w:rPr>
          <w:rFonts w:ascii="Times New Roman" w:hAnsi="Times New Roman" w:cs="Times New Roman"/>
        </w:rPr>
        <w:t xml:space="preserve"> sample</w:t>
      </w:r>
      <w:r w:rsidR="00E32DFA" w:rsidRPr="00E71220">
        <w:rPr>
          <w:rFonts w:ascii="Times New Roman" w:hAnsi="Times New Roman" w:cs="Times New Roman"/>
        </w:rPr>
        <w:t xml:space="preserve"> (Fig</w:t>
      </w:r>
      <w:r w:rsidR="00A2235D" w:rsidRPr="00E71220">
        <w:rPr>
          <w:rFonts w:ascii="Times New Roman" w:hAnsi="Times New Roman" w:cs="Times New Roman"/>
        </w:rPr>
        <w:t xml:space="preserve"> 1</w:t>
      </w:r>
      <w:r w:rsidR="00E32DFA" w:rsidRPr="00E71220">
        <w:rPr>
          <w:rFonts w:ascii="Times New Roman" w:hAnsi="Times New Roman" w:cs="Times New Roman"/>
        </w:rPr>
        <w:t>)</w:t>
      </w:r>
      <w:r w:rsidRPr="00E71220">
        <w:rPr>
          <w:rFonts w:ascii="Times New Roman" w:hAnsi="Times New Roman" w:cs="Times New Roman"/>
        </w:rPr>
        <w:t>. This sample had the smallest proportion of transcripts from viruses (6.7% vs. 11.6±1.5% for all samples) and, perhaps consequently, the largest proportion of transcripts from HL </w:t>
      </w:r>
      <w:r w:rsidRPr="00E71220">
        <w:rPr>
          <w:rFonts w:ascii="Times New Roman" w:hAnsi="Times New Roman" w:cs="Times New Roman"/>
          <w:i/>
          <w:iCs/>
        </w:rPr>
        <w:t>Prochlorococcus</w:t>
      </w:r>
      <w:r w:rsidRPr="00E71220">
        <w:rPr>
          <w:rFonts w:ascii="Times New Roman" w:hAnsi="Times New Roman" w:cs="Times New Roman"/>
        </w:rPr>
        <w:t xml:space="preserve"> (42.2% vs. 31.4±5.1% for all samples). It is possible that other replicates that clustered poorly (e.g. </w:t>
      </w:r>
      <w:r w:rsidR="00E32DFA" w:rsidRPr="00E71220">
        <w:rPr>
          <w:rFonts w:ascii="Times New Roman" w:hAnsi="Times New Roman" w:cs="Times New Roman"/>
        </w:rPr>
        <w:t xml:space="preserve">the outlier </w:t>
      </w:r>
      <w:r w:rsidRPr="00E71220">
        <w:rPr>
          <w:rFonts w:ascii="Times New Roman" w:hAnsi="Times New Roman" w:cs="Times New Roman"/>
        </w:rPr>
        <w:t xml:space="preserve">Fe sample) differed with respect to viruses or grazers not represented on MicroTOOLs. High variation among </w:t>
      </w:r>
      <w:r w:rsidR="00E32DFA" w:rsidRPr="00E71220">
        <w:rPr>
          <w:rFonts w:ascii="Times New Roman" w:hAnsi="Times New Roman" w:cs="Times New Roman"/>
        </w:rPr>
        <w:t xml:space="preserve">replicate </w:t>
      </w:r>
      <w:r w:rsidRPr="00E71220">
        <w:rPr>
          <w:rFonts w:ascii="Times New Roman" w:hAnsi="Times New Roman" w:cs="Times New Roman"/>
        </w:rPr>
        <w:t>metatranscriptome</w:t>
      </w:r>
      <w:r w:rsidR="00E32DFA" w:rsidRPr="00E71220">
        <w:rPr>
          <w:rFonts w:ascii="Times New Roman" w:hAnsi="Times New Roman" w:cs="Times New Roman"/>
        </w:rPr>
        <w:t>s</w:t>
      </w:r>
      <w:r w:rsidRPr="00E71220">
        <w:rPr>
          <w:rFonts w:ascii="Times New Roman" w:hAnsi="Times New Roman" w:cs="Times New Roman"/>
        </w:rPr>
        <w:t xml:space="preserve"> from coastal communit</w:t>
      </w:r>
      <w:r w:rsidR="00384303" w:rsidRPr="00E71220">
        <w:rPr>
          <w:rFonts w:ascii="Times New Roman" w:hAnsi="Times New Roman" w:cs="Times New Roman"/>
        </w:rPr>
        <w:t>i</w:t>
      </w:r>
      <w:r w:rsidRPr="00E71220">
        <w:rPr>
          <w:rFonts w:ascii="Times New Roman" w:hAnsi="Times New Roman" w:cs="Times New Roman"/>
        </w:rPr>
        <w:t xml:space="preserve">es in comparison to oligotrophic communities have been observed in other metatranscriptomic studies </w:t>
      </w:r>
      <w:r w:rsidR="00B7766A" w:rsidRPr="00E71220">
        <w:rPr>
          <w:rFonts w:ascii="Times New Roman" w:hAnsi="Times New Roman" w:cs="Times New Roman"/>
        </w:rPr>
        <w:fldChar w:fldCharType="begin"/>
      </w:r>
      <w:r w:rsidR="00176788">
        <w:rPr>
          <w:rFonts w:ascii="Times New Roman" w:hAnsi="Times New Roman" w:cs="Times New Roman"/>
        </w:rPr>
        <w:instrText xml:space="preserve"> ADDIN ZOTERO_ITEM CSL_CITATION {"citationID":"r0hw4X70","properties":{"formattedCitation":"[5,6]","plainCitation":"[5,6]","noteIndex":0},"citationItems":[{"id":229,"uris":["http://zotero.org/users/local/ZW2GSes4/items/JSYP5P8Q"],"uri":["http://zotero.org/users/local/ZW2GSes4/items/JSYP5P8Q"],"itemData":{"id":229,"type":"article-journal","abstract":"Metatranscriptomic analyses of microbial assemblages (&lt; 5 microm) from surface water at the Hawaiian Ocean Time-Series (HOT) revealed community-wide metabolic activities and day/night patterns of differential gene expression. Pyrosequencing produced 75 558 putative mRNA reads from a day transcriptome and 75 946 from a night transcriptome. Taxonomic binning of annotated mRNAs indicated that Cyanobacteria contributed a greater percentage of the transcripts (54% of annotated sequences) than expected based on abundance (35% of cell counts and 21% 16S rRNA of libraries), and may represent the most actively transcribing cells in this surface ocean community in both the day and night. Major heterotrophic taxa contributing to the community transcriptome included alpha-Proteobacteria (19% of annotated sequences, most of which were SAR11-related) and gamma-Proteobacteria (4%). The composition of transcript pools was consistent with models of prokaryotic gene expression, including operon-based transcription patterns and an abundance of genes predicted to be highly expressed. Metabolic activities that are shared by many microbial taxa (e.g. glycolysis, citric acid cycle, amino acid biosynthesis and transcription and translation machinery) were well represented among the community transcripts. There was an overabundance of transcripts for photosynthesis, C1 metabolism and oxidative phosphorylation in the day compared with night, and evidence that energy acquisition is coordinated with solar radiation levels for both autotrophic and heterotrophic microbes. In contrast, housekeeping activities such as amino acid biosynthesis, membrane synthesis and repair, and vitamin biosynthesis were overrepresented in the night transcriptome. Direct sequencing of these environmental transcripts has provided detailed information on metabolic and biogeochemical responses of a microbial community to solar forcing.","container-title":"Environmental Microbiology","DOI":"10.1111/j.1462-2920.2008.01863.x","ISSN":"1462-2920","issue":"6","journalAbbreviation":"Environ. Microbiol.","language":"eng","note":"PMID: 19207571","page":"1358-1375","source":"PubMed","title":"Comparative day/night metatranscriptomic analysis of microbial communities in the North Pacific Subtropical Gyre","volume":"11","author":[{"family":"Poretsky","given":"Rachel S."},{"family":"Hewson","given":"Ian"},{"family":"Sun","given":"Shulei"},{"family":"Allen","given":"Andrew E."},{"family":"Zehr","given":"Jonathan P."},{"family":"Moran","given":"Mary Ann"}],"issued":{"date-parts":[["2009",6]]}}},{"id":200,"uris":["http://zotero.org/users/local/ZW2GSes4/items/WXNYD6ZW"],"uri":["http://zotero.org/users/local/ZW2GSes4/items/WXNYD6ZW"],"itemData":{"id":200,"type":"article-journal","container-title":"Environmental Microbiology","DOI":"10.1111/j.1462-2920.2011.02598.x","ISSN":"14622912","issue":"1","language":"en","page":"191-206","source":"DOI.org (Crossref)","title":"Transcriptional responses of surface water marine microbial assemblages to deep-sea water amendment: microbial transcriptome responses to deep-water addition","title-short":"Transcriptional responses of surface water marine microbial assemblages to deep-sea water amendment","volume":"14","author":[{"family":"Shi","given":"Yanmei"},{"family":"McCarren","given":"Jay"},{"family":"DeLong","given":"Edward F."}],"issued":{"date-parts":[["2012",1]]}}}],"schema":"https://github.com/citation-style-language/schema/raw/master/csl-citation.json"} </w:instrText>
      </w:r>
      <w:r w:rsidR="00B7766A" w:rsidRPr="00E71220">
        <w:rPr>
          <w:rFonts w:ascii="Times New Roman" w:hAnsi="Times New Roman" w:cs="Times New Roman"/>
        </w:rPr>
        <w:fldChar w:fldCharType="separate"/>
      </w:r>
      <w:r w:rsidR="00176788">
        <w:rPr>
          <w:rFonts w:ascii="Times New Roman" w:hAnsi="Times New Roman" w:cs="Times New Roman"/>
          <w:noProof/>
        </w:rPr>
        <w:t>[5,6]</w:t>
      </w:r>
      <w:r w:rsidR="00B7766A" w:rsidRPr="00E71220">
        <w:rPr>
          <w:rFonts w:ascii="Times New Roman" w:hAnsi="Times New Roman" w:cs="Times New Roman"/>
        </w:rPr>
        <w:fldChar w:fldCharType="end"/>
      </w:r>
      <w:r w:rsidRPr="00E71220">
        <w:rPr>
          <w:rFonts w:ascii="Times New Roman" w:hAnsi="Times New Roman" w:cs="Times New Roman"/>
        </w:rPr>
        <w:t>.</w:t>
      </w:r>
      <w:r w:rsidR="00B41E40" w:rsidRPr="00E71220">
        <w:rPr>
          <w:rFonts w:ascii="Times New Roman" w:hAnsi="Times New Roman" w:cs="Times New Roman"/>
        </w:rPr>
        <w:br/>
      </w:r>
    </w:p>
    <w:p w14:paraId="22016FE9" w14:textId="2E70F7DD" w:rsidR="00B41E40" w:rsidRPr="00E71220" w:rsidRDefault="00B41E40" w:rsidP="001A650A">
      <w:pPr>
        <w:spacing w:line="480" w:lineRule="auto"/>
        <w:rPr>
          <w:rFonts w:ascii="Times New Roman" w:hAnsi="Times New Roman" w:cs="Times New Roman"/>
          <w:b/>
          <w:bCs/>
        </w:rPr>
      </w:pPr>
      <w:r w:rsidRPr="00E71220">
        <w:rPr>
          <w:rFonts w:ascii="Times New Roman" w:hAnsi="Times New Roman" w:cs="Times New Roman"/>
          <w:b/>
          <w:bCs/>
        </w:rPr>
        <w:t xml:space="preserve">Changes in ratios of </w:t>
      </w:r>
      <w:proofErr w:type="spellStart"/>
      <w:r w:rsidRPr="00E71220">
        <w:rPr>
          <w:rFonts w:ascii="Times New Roman" w:hAnsi="Times New Roman" w:cs="Times New Roman"/>
          <w:b/>
          <w:bCs/>
          <w:i/>
          <w:iCs/>
        </w:rPr>
        <w:t>rbcL</w:t>
      </w:r>
      <w:proofErr w:type="spellEnd"/>
      <w:r w:rsidRPr="00E71220">
        <w:rPr>
          <w:rFonts w:ascii="Times New Roman" w:hAnsi="Times New Roman" w:cs="Times New Roman"/>
          <w:b/>
          <w:bCs/>
        </w:rPr>
        <w:t xml:space="preserve"> to </w:t>
      </w:r>
      <w:proofErr w:type="spellStart"/>
      <w:r w:rsidRPr="00E71220">
        <w:rPr>
          <w:rFonts w:ascii="Times New Roman" w:hAnsi="Times New Roman" w:cs="Times New Roman"/>
          <w:b/>
          <w:bCs/>
          <w:i/>
          <w:iCs/>
        </w:rPr>
        <w:t>ntcA</w:t>
      </w:r>
      <w:proofErr w:type="spellEnd"/>
      <w:r w:rsidRPr="00E71220">
        <w:rPr>
          <w:rFonts w:ascii="Times New Roman" w:hAnsi="Times New Roman" w:cs="Times New Roman"/>
          <w:b/>
          <w:bCs/>
        </w:rPr>
        <w:t xml:space="preserve"> transcript</w:t>
      </w:r>
      <w:r w:rsidR="00A46A74" w:rsidRPr="00E71220">
        <w:rPr>
          <w:rFonts w:ascii="Times New Roman" w:hAnsi="Times New Roman" w:cs="Times New Roman"/>
          <w:b/>
          <w:bCs/>
        </w:rPr>
        <w:t xml:space="preserve"> level</w:t>
      </w:r>
      <w:r w:rsidRPr="00E71220">
        <w:rPr>
          <w:rFonts w:ascii="Times New Roman" w:hAnsi="Times New Roman" w:cs="Times New Roman"/>
          <w:b/>
          <w:bCs/>
        </w:rPr>
        <w:t xml:space="preserve">s in </w:t>
      </w:r>
      <w:r w:rsidRPr="00E71220">
        <w:rPr>
          <w:rFonts w:ascii="Times New Roman" w:hAnsi="Times New Roman" w:cs="Times New Roman"/>
          <w:b/>
          <w:bCs/>
          <w:i/>
          <w:iCs/>
        </w:rPr>
        <w:t>Prochlorococcus</w:t>
      </w:r>
      <w:r w:rsidRPr="00E71220">
        <w:rPr>
          <w:rFonts w:ascii="Times New Roman" w:hAnsi="Times New Roman" w:cs="Times New Roman"/>
          <w:b/>
          <w:bCs/>
        </w:rPr>
        <w:t xml:space="preserve"> and </w:t>
      </w:r>
      <w:r w:rsidRPr="00E71220">
        <w:rPr>
          <w:rFonts w:ascii="Times New Roman" w:hAnsi="Times New Roman" w:cs="Times New Roman"/>
          <w:b/>
          <w:bCs/>
          <w:i/>
          <w:iCs/>
        </w:rPr>
        <w:t>Synechococcus</w:t>
      </w:r>
    </w:p>
    <w:p w14:paraId="2320E689" w14:textId="4CCE0AF4" w:rsidR="001A650A" w:rsidRPr="00E71220" w:rsidRDefault="00B41E40" w:rsidP="00B41E40">
      <w:pPr>
        <w:pStyle w:val="Body"/>
        <w:spacing w:line="480" w:lineRule="auto"/>
        <w:ind w:firstLine="720"/>
        <w:rPr>
          <w:rFonts w:ascii="Times New Roman" w:hAnsi="Times New Roman"/>
        </w:rPr>
      </w:pPr>
      <w:r w:rsidRPr="00E71220">
        <w:rPr>
          <w:rFonts w:ascii="Times New Roman" w:hAnsi="Times New Roman"/>
        </w:rPr>
        <w:t xml:space="preserve">As a simple proxy for cellular needs of carbon (C) versus N, we examined relative transcript levels for </w:t>
      </w:r>
      <w:proofErr w:type="spellStart"/>
      <w:r w:rsidRPr="00E71220">
        <w:rPr>
          <w:rFonts w:ascii="Times New Roman" w:hAnsi="Times New Roman"/>
          <w:i/>
          <w:iCs/>
        </w:rPr>
        <w:t>rbcL</w:t>
      </w:r>
      <w:proofErr w:type="spellEnd"/>
      <w:r w:rsidRPr="00E71220">
        <w:rPr>
          <w:rFonts w:ascii="Times New Roman" w:hAnsi="Times New Roman"/>
          <w:lang w:val="sv-SE"/>
        </w:rPr>
        <w:t xml:space="preserve"> versus </w:t>
      </w:r>
      <w:proofErr w:type="spellStart"/>
      <w:r w:rsidRPr="00E71220">
        <w:rPr>
          <w:rFonts w:ascii="Times New Roman" w:hAnsi="Times New Roman"/>
          <w:i/>
          <w:iCs/>
        </w:rPr>
        <w:t>ntcA</w:t>
      </w:r>
      <w:proofErr w:type="spellEnd"/>
      <w:r w:rsidRPr="00E71220">
        <w:rPr>
          <w:rFonts w:ascii="Times New Roman" w:hAnsi="Times New Roman"/>
        </w:rPr>
        <w:t xml:space="preserve"> for the dominant HL strain MED4. We hypothesized that a high C</w:t>
      </w:r>
      <w:proofErr w:type="gramStart"/>
      <w:r w:rsidRPr="00E71220">
        <w:rPr>
          <w:rFonts w:ascii="Times New Roman" w:hAnsi="Times New Roman"/>
        </w:rPr>
        <w:t>:N</w:t>
      </w:r>
      <w:proofErr w:type="gramEnd"/>
      <w:r w:rsidRPr="00E71220">
        <w:rPr>
          <w:rFonts w:ascii="Times New Roman" w:hAnsi="Times New Roman"/>
        </w:rPr>
        <w:t xml:space="preserve"> ratio, indicating N limitation, would lead to increased transcription of </w:t>
      </w:r>
      <w:proofErr w:type="spellStart"/>
      <w:r w:rsidRPr="00E71220">
        <w:rPr>
          <w:rFonts w:ascii="Times New Roman" w:hAnsi="Times New Roman"/>
          <w:i/>
          <w:iCs/>
        </w:rPr>
        <w:t>ntcA</w:t>
      </w:r>
      <w:proofErr w:type="spellEnd"/>
      <w:r w:rsidRPr="00E71220">
        <w:rPr>
          <w:rFonts w:ascii="Times New Roman" w:hAnsi="Times New Roman"/>
        </w:rPr>
        <w:t xml:space="preserve"> to acquire N rather than to increased transcription of </w:t>
      </w:r>
      <w:proofErr w:type="spellStart"/>
      <w:r w:rsidRPr="00E71220">
        <w:rPr>
          <w:rFonts w:ascii="Times New Roman" w:hAnsi="Times New Roman"/>
          <w:i/>
          <w:iCs/>
        </w:rPr>
        <w:t>rbcL</w:t>
      </w:r>
      <w:proofErr w:type="spellEnd"/>
      <w:r w:rsidRPr="00E71220">
        <w:rPr>
          <w:rFonts w:ascii="Times New Roman" w:hAnsi="Times New Roman"/>
        </w:rPr>
        <w:t xml:space="preserve"> to fix CO</w:t>
      </w:r>
      <w:r w:rsidRPr="00E71220">
        <w:rPr>
          <w:rFonts w:ascii="Times New Roman" w:hAnsi="Times New Roman"/>
          <w:vertAlign w:val="subscript"/>
        </w:rPr>
        <w:t>2</w:t>
      </w:r>
      <w:r w:rsidRPr="00E71220">
        <w:rPr>
          <w:rFonts w:ascii="Times New Roman" w:hAnsi="Times New Roman"/>
        </w:rPr>
        <w:t xml:space="preserve">. The </w:t>
      </w:r>
      <w:proofErr w:type="spellStart"/>
      <w:r w:rsidRPr="00E71220">
        <w:rPr>
          <w:rFonts w:ascii="Times New Roman" w:hAnsi="Times New Roman"/>
          <w:i/>
          <w:iCs/>
        </w:rPr>
        <w:t>rbcL</w:t>
      </w:r>
      <w:proofErr w:type="spellEnd"/>
      <w:r w:rsidRPr="00E71220">
        <w:rPr>
          <w:rFonts w:ascii="Times New Roman" w:hAnsi="Times New Roman"/>
        </w:rPr>
        <w:t xml:space="preserve"> to </w:t>
      </w:r>
      <w:proofErr w:type="spellStart"/>
      <w:r w:rsidRPr="00E71220">
        <w:rPr>
          <w:rFonts w:ascii="Times New Roman" w:hAnsi="Times New Roman"/>
          <w:i/>
          <w:iCs/>
        </w:rPr>
        <w:t>ntcA</w:t>
      </w:r>
      <w:proofErr w:type="spellEnd"/>
      <w:r w:rsidRPr="00E71220">
        <w:rPr>
          <w:rFonts w:ascii="Times New Roman" w:hAnsi="Times New Roman"/>
          <w:lang w:val="it-IT"/>
        </w:rPr>
        <w:t xml:space="preserve"> ratio in </w:t>
      </w:r>
      <w:r w:rsidRPr="00E71220">
        <w:rPr>
          <w:rFonts w:ascii="Times New Roman" w:hAnsi="Times New Roman"/>
          <w:i/>
          <w:iCs/>
          <w:lang w:val="it-IT"/>
        </w:rPr>
        <w:t>Prochlorococcus</w:t>
      </w:r>
      <w:r w:rsidRPr="00E71220">
        <w:rPr>
          <w:rFonts w:ascii="Times New Roman" w:hAnsi="Times New Roman"/>
        </w:rPr>
        <w:t xml:space="preserve"> increased in all N treatments, and the highest increases were in the urea, NO</w:t>
      </w:r>
      <w:r w:rsidRPr="00E71220">
        <w:rPr>
          <w:rFonts w:ascii="Times New Roman" w:hAnsi="Times New Roman"/>
          <w:vertAlign w:val="subscript"/>
        </w:rPr>
        <w:t>3</w:t>
      </w:r>
      <w:r w:rsidRPr="00E71220">
        <w:rPr>
          <w:rFonts w:ascii="Times New Roman" w:hAnsi="Times New Roman"/>
          <w:vertAlign w:val="superscript"/>
        </w:rPr>
        <w:t>-</w:t>
      </w:r>
      <w:r w:rsidRPr="00E71220">
        <w:rPr>
          <w:rFonts w:ascii="Times New Roman" w:hAnsi="Times New Roman"/>
        </w:rPr>
        <w:t>, and NH</w:t>
      </w:r>
      <w:r w:rsidRPr="00E71220">
        <w:rPr>
          <w:rFonts w:ascii="Times New Roman" w:hAnsi="Times New Roman"/>
          <w:vertAlign w:val="subscript"/>
        </w:rPr>
        <w:t>4</w:t>
      </w:r>
      <w:r w:rsidRPr="00E71220">
        <w:rPr>
          <w:rFonts w:ascii="Times New Roman" w:hAnsi="Times New Roman"/>
          <w:vertAlign w:val="superscript"/>
        </w:rPr>
        <w:t xml:space="preserve">+ </w:t>
      </w:r>
      <w:r w:rsidRPr="00E71220">
        <w:rPr>
          <w:rFonts w:ascii="Times New Roman" w:hAnsi="Times New Roman"/>
        </w:rPr>
        <w:t xml:space="preserve">treatments in comparison to controls and all other treatments at T24 (not significant [p&gt;0.01] in Mann-Whitney U test, with just 2-3 replicate ratios in each comparison; </w:t>
      </w:r>
      <w:r w:rsidR="005D1EDA" w:rsidRPr="00E71220">
        <w:rPr>
          <w:rFonts w:ascii="Times New Roman" w:hAnsi="Times New Roman"/>
        </w:rPr>
        <w:t>S</w:t>
      </w:r>
      <w:r w:rsidR="00A86D56">
        <w:rPr>
          <w:rFonts w:ascii="Times New Roman" w:hAnsi="Times New Roman"/>
        </w:rPr>
        <w:t>4</w:t>
      </w:r>
      <w:r w:rsidR="005D1EDA" w:rsidRPr="00E71220">
        <w:rPr>
          <w:rFonts w:ascii="Times New Roman" w:hAnsi="Times New Roman"/>
        </w:rPr>
        <w:t xml:space="preserve"> </w:t>
      </w:r>
      <w:r w:rsidRPr="00E71220">
        <w:rPr>
          <w:rFonts w:ascii="Times New Roman" w:hAnsi="Times New Roman"/>
        </w:rPr>
        <w:t>Fig). The similar results in urea and NH</w:t>
      </w:r>
      <w:r w:rsidRPr="00E71220">
        <w:rPr>
          <w:rFonts w:ascii="Times New Roman" w:hAnsi="Times New Roman"/>
          <w:vertAlign w:val="subscript"/>
        </w:rPr>
        <w:t>4</w:t>
      </w:r>
      <w:r w:rsidRPr="00E71220">
        <w:rPr>
          <w:rFonts w:ascii="Times New Roman" w:hAnsi="Times New Roman"/>
          <w:vertAlign w:val="superscript"/>
        </w:rPr>
        <w:t xml:space="preserve">+ </w:t>
      </w:r>
      <w:r w:rsidRPr="00E71220">
        <w:rPr>
          <w:rFonts w:ascii="Times New Roman" w:hAnsi="Times New Roman"/>
        </w:rPr>
        <w:t>suggested that both substrates</w:t>
      </w:r>
      <w:r w:rsidRPr="00E71220">
        <w:rPr>
          <w:rFonts w:ascii="Times New Roman" w:hAnsi="Times New Roman"/>
          <w:vertAlign w:val="superscript"/>
        </w:rPr>
        <w:t xml:space="preserve"> </w:t>
      </w:r>
      <w:r w:rsidRPr="00E71220">
        <w:rPr>
          <w:rFonts w:ascii="Times New Roman" w:hAnsi="Times New Roman"/>
        </w:rPr>
        <w:t xml:space="preserve">provided enough N to shift the internal C-N balance in </w:t>
      </w:r>
      <w:r w:rsidRPr="00E71220">
        <w:rPr>
          <w:rFonts w:ascii="Times New Roman" w:hAnsi="Times New Roman"/>
          <w:i/>
          <w:iCs/>
          <w:lang w:val="it-IT"/>
        </w:rPr>
        <w:t>Prochlorococcus</w:t>
      </w:r>
      <w:r w:rsidRPr="00E71220">
        <w:rPr>
          <w:rFonts w:ascii="Times New Roman" w:hAnsi="Times New Roman"/>
        </w:rPr>
        <w:t xml:space="preserve"> MED4 within 24 hours.</w:t>
      </w:r>
    </w:p>
    <w:p w14:paraId="3D2392A1" w14:textId="1787188C" w:rsidR="001D4DFC" w:rsidRPr="00E71220" w:rsidRDefault="001D4DFC" w:rsidP="001D4DFC">
      <w:pPr>
        <w:pStyle w:val="Body"/>
        <w:spacing w:line="480" w:lineRule="auto"/>
        <w:ind w:firstLine="720"/>
        <w:rPr>
          <w:rFonts w:ascii="Times New Roman" w:eastAsia="Times New Roman" w:hAnsi="Times New Roman" w:cs="Times New Roman"/>
        </w:rPr>
      </w:pPr>
      <w:r w:rsidRPr="00E71220">
        <w:rPr>
          <w:rFonts w:ascii="Times New Roman" w:hAnsi="Times New Roman"/>
        </w:rPr>
        <w:t xml:space="preserve">The most abundant </w:t>
      </w:r>
      <w:r w:rsidRPr="00E71220">
        <w:rPr>
          <w:rFonts w:ascii="Times New Roman" w:hAnsi="Times New Roman"/>
          <w:i/>
          <w:iCs/>
          <w:lang w:val="it-IT"/>
        </w:rPr>
        <w:t>Synechococcus</w:t>
      </w:r>
      <w:r w:rsidRPr="00E71220">
        <w:rPr>
          <w:rFonts w:ascii="Times New Roman" w:hAnsi="Times New Roman"/>
        </w:rPr>
        <w:t xml:space="preserve"> strain CC9605 had small changes in the ratio of </w:t>
      </w:r>
      <w:proofErr w:type="spellStart"/>
      <w:r w:rsidRPr="00E71220">
        <w:rPr>
          <w:rFonts w:ascii="Times New Roman" w:hAnsi="Times New Roman"/>
          <w:i/>
          <w:iCs/>
        </w:rPr>
        <w:t>rbcL</w:t>
      </w:r>
      <w:proofErr w:type="spellEnd"/>
      <w:r w:rsidRPr="00E71220">
        <w:rPr>
          <w:rFonts w:ascii="Times New Roman" w:hAnsi="Times New Roman"/>
        </w:rPr>
        <w:t xml:space="preserve"> to </w:t>
      </w:r>
      <w:proofErr w:type="spellStart"/>
      <w:r w:rsidRPr="00E71220">
        <w:rPr>
          <w:rFonts w:ascii="Times New Roman" w:hAnsi="Times New Roman"/>
          <w:i/>
          <w:iCs/>
        </w:rPr>
        <w:t>ntcA</w:t>
      </w:r>
      <w:proofErr w:type="spellEnd"/>
      <w:r w:rsidRPr="00E71220">
        <w:rPr>
          <w:rFonts w:ascii="Times New Roman" w:hAnsi="Times New Roman"/>
        </w:rPr>
        <w:t xml:space="preserve"> in controls and all treatments at T24</w:t>
      </w:r>
      <w:r w:rsidRPr="00E71220">
        <w:rPr>
          <w:rFonts w:ascii="Times New Roman" w:hAnsi="Times New Roman"/>
          <w:vertAlign w:val="superscript"/>
        </w:rPr>
        <w:t xml:space="preserve"> </w:t>
      </w:r>
      <w:r w:rsidRPr="00E71220">
        <w:rPr>
          <w:rFonts w:ascii="Times New Roman" w:hAnsi="Times New Roman"/>
        </w:rPr>
        <w:t xml:space="preserve">(1.1±0.35) in comparison to </w:t>
      </w:r>
      <w:r w:rsidRPr="00E71220">
        <w:rPr>
          <w:rFonts w:ascii="Times New Roman" w:hAnsi="Times New Roman"/>
          <w:i/>
          <w:iCs/>
          <w:lang w:val="it-IT"/>
        </w:rPr>
        <w:t>Prochlorococcus</w:t>
      </w:r>
      <w:r w:rsidRPr="00E71220">
        <w:rPr>
          <w:rFonts w:ascii="Times New Roman" w:hAnsi="Times New Roman"/>
        </w:rPr>
        <w:t xml:space="preserve"> (4.6±3.8; </w:t>
      </w:r>
      <w:r w:rsidR="005D1EDA" w:rsidRPr="00E71220">
        <w:rPr>
          <w:rFonts w:ascii="Times New Roman" w:hAnsi="Times New Roman"/>
        </w:rPr>
        <w:t>S</w:t>
      </w:r>
      <w:r w:rsidR="00A86D56">
        <w:rPr>
          <w:rFonts w:ascii="Times New Roman" w:hAnsi="Times New Roman"/>
        </w:rPr>
        <w:t>4</w:t>
      </w:r>
      <w:r w:rsidR="005D1EDA" w:rsidRPr="00E71220">
        <w:rPr>
          <w:rFonts w:ascii="Times New Roman" w:hAnsi="Times New Roman"/>
        </w:rPr>
        <w:t xml:space="preserve"> </w:t>
      </w:r>
      <w:r w:rsidRPr="00E71220">
        <w:rPr>
          <w:rFonts w:ascii="Times New Roman" w:hAnsi="Times New Roman"/>
        </w:rPr>
        <w:t xml:space="preserve">Fig). For both genera, the most elevated ratios were observed in the treatments with </w:t>
      </w:r>
      <w:r w:rsidRPr="00E71220">
        <w:rPr>
          <w:rFonts w:ascii="Times New Roman" w:hAnsi="Times New Roman"/>
        </w:rPr>
        <w:lastRenderedPageBreak/>
        <w:t>NH</w:t>
      </w:r>
      <w:r w:rsidRPr="00E71220">
        <w:rPr>
          <w:rFonts w:ascii="Times New Roman" w:hAnsi="Times New Roman"/>
          <w:vertAlign w:val="subscript"/>
        </w:rPr>
        <w:t>4</w:t>
      </w:r>
      <w:r w:rsidRPr="00E71220">
        <w:rPr>
          <w:rFonts w:ascii="Times New Roman" w:hAnsi="Times New Roman"/>
          <w:vertAlign w:val="superscript"/>
        </w:rPr>
        <w:t>+</w:t>
      </w:r>
      <w:r w:rsidRPr="00E71220">
        <w:rPr>
          <w:rFonts w:ascii="Times New Roman" w:hAnsi="Times New Roman"/>
          <w:lang w:val="de-DE"/>
        </w:rPr>
        <w:t>, NO</w:t>
      </w:r>
      <w:r w:rsidRPr="00E71220">
        <w:rPr>
          <w:rFonts w:ascii="Times New Roman" w:hAnsi="Times New Roman"/>
          <w:vertAlign w:val="subscript"/>
        </w:rPr>
        <w:t>3</w:t>
      </w:r>
      <w:r w:rsidRPr="00E71220">
        <w:rPr>
          <w:rFonts w:ascii="Times New Roman" w:hAnsi="Times New Roman"/>
          <w:vertAlign w:val="superscript"/>
        </w:rPr>
        <w:t>-</w:t>
      </w:r>
      <w:r w:rsidRPr="00E71220">
        <w:rPr>
          <w:rFonts w:ascii="Times New Roman" w:hAnsi="Times New Roman"/>
        </w:rPr>
        <w:t xml:space="preserve">, and urea. In these treatments both </w:t>
      </w:r>
      <w:r w:rsidRPr="00E71220">
        <w:rPr>
          <w:rFonts w:ascii="Times New Roman" w:hAnsi="Times New Roman"/>
          <w:i/>
          <w:iCs/>
          <w:lang w:val="it-IT"/>
        </w:rPr>
        <w:t>Prochlorococcus</w:t>
      </w:r>
      <w:r w:rsidRPr="00E71220">
        <w:rPr>
          <w:rFonts w:ascii="Times New Roman" w:hAnsi="Times New Roman"/>
        </w:rPr>
        <w:t xml:space="preserve"> and </w:t>
      </w:r>
      <w:r w:rsidRPr="00E71220">
        <w:rPr>
          <w:rFonts w:ascii="Times New Roman" w:hAnsi="Times New Roman"/>
          <w:i/>
          <w:iCs/>
          <w:lang w:val="it-IT"/>
        </w:rPr>
        <w:t>Synechococcus</w:t>
      </w:r>
      <w:r w:rsidRPr="00E71220">
        <w:rPr>
          <w:rFonts w:ascii="Times New Roman" w:hAnsi="Times New Roman"/>
        </w:rPr>
        <w:t xml:space="preserve"> cell densities increased significantly but modestly by T48 in comparison to controls, except for NH</w:t>
      </w:r>
      <w:r w:rsidRPr="00E71220">
        <w:rPr>
          <w:rFonts w:ascii="Times New Roman" w:hAnsi="Times New Roman"/>
          <w:vertAlign w:val="subscript"/>
        </w:rPr>
        <w:t>4</w:t>
      </w:r>
      <w:r w:rsidRPr="00E71220">
        <w:rPr>
          <w:rFonts w:ascii="Times New Roman" w:hAnsi="Times New Roman"/>
          <w:vertAlign w:val="superscript"/>
        </w:rPr>
        <w:t>+</w:t>
      </w:r>
      <w:r w:rsidRPr="00E71220">
        <w:rPr>
          <w:rFonts w:ascii="Times New Roman" w:hAnsi="Times New Roman"/>
        </w:rPr>
        <w:t xml:space="preserve"> where </w:t>
      </w:r>
      <w:r w:rsidRPr="00E71220">
        <w:rPr>
          <w:rFonts w:ascii="Times New Roman" w:hAnsi="Times New Roman"/>
          <w:i/>
          <w:iCs/>
          <w:lang w:val="it-IT"/>
        </w:rPr>
        <w:t>Synechococcus</w:t>
      </w:r>
      <w:r w:rsidRPr="00E71220">
        <w:rPr>
          <w:rFonts w:ascii="Times New Roman" w:hAnsi="Times New Roman"/>
        </w:rPr>
        <w:t xml:space="preserve"> cell abundances decreased (Fig 2</w:t>
      </w:r>
      <w:r w:rsidR="00B32895" w:rsidRPr="00E71220">
        <w:rPr>
          <w:rFonts w:ascii="Times New Roman" w:hAnsi="Times New Roman"/>
        </w:rPr>
        <w:t>B</w:t>
      </w:r>
      <w:r w:rsidRPr="00E71220">
        <w:rPr>
          <w:rFonts w:ascii="Times New Roman" w:hAnsi="Times New Roman"/>
        </w:rPr>
        <w:t xml:space="preserve">). This suggests that </w:t>
      </w:r>
      <w:r w:rsidRPr="00E71220">
        <w:rPr>
          <w:rFonts w:ascii="Times New Roman" w:hAnsi="Times New Roman"/>
          <w:i/>
          <w:iCs/>
          <w:lang w:val="it-IT"/>
        </w:rPr>
        <w:t>Synechococcus</w:t>
      </w:r>
      <w:r w:rsidRPr="00E71220">
        <w:rPr>
          <w:rFonts w:ascii="Times New Roman" w:hAnsi="Times New Roman"/>
        </w:rPr>
        <w:t xml:space="preserve"> was at a disadvantage or used a different metabolic strategy compared to </w:t>
      </w:r>
      <w:r w:rsidRPr="00E71220">
        <w:rPr>
          <w:rFonts w:ascii="Times New Roman" w:hAnsi="Times New Roman"/>
          <w:i/>
          <w:iCs/>
          <w:lang w:val="it-IT"/>
        </w:rPr>
        <w:t>Prochlorococcus</w:t>
      </w:r>
      <w:r w:rsidRPr="00E71220">
        <w:rPr>
          <w:rFonts w:ascii="Times New Roman" w:hAnsi="Times New Roman"/>
        </w:rPr>
        <w:t xml:space="preserve"> in utilizing added NH</w:t>
      </w:r>
      <w:r w:rsidRPr="00E71220">
        <w:rPr>
          <w:rFonts w:ascii="Times New Roman" w:hAnsi="Times New Roman"/>
          <w:vertAlign w:val="subscript"/>
        </w:rPr>
        <w:t>4</w:t>
      </w:r>
      <w:r w:rsidRPr="00E71220">
        <w:rPr>
          <w:rFonts w:ascii="Times New Roman" w:hAnsi="Times New Roman"/>
          <w:vertAlign w:val="superscript"/>
        </w:rPr>
        <w:t>+</w:t>
      </w:r>
      <w:r w:rsidRPr="00E71220">
        <w:rPr>
          <w:rFonts w:ascii="Times New Roman" w:hAnsi="Times New Roman"/>
        </w:rPr>
        <w:t>.</w:t>
      </w:r>
    </w:p>
    <w:p w14:paraId="5836DE58" w14:textId="6D36EF71" w:rsidR="00B41E40" w:rsidRPr="00E71220" w:rsidRDefault="00B41E40" w:rsidP="001A650A">
      <w:pPr>
        <w:spacing w:line="480" w:lineRule="auto"/>
        <w:rPr>
          <w:rFonts w:ascii="Times New Roman" w:hAnsi="Times New Roman" w:cs="Times New Roman"/>
        </w:rPr>
      </w:pPr>
    </w:p>
    <w:p w14:paraId="6F8CA088" w14:textId="61F0B4F9" w:rsidR="000C4F2A" w:rsidRPr="00E71220" w:rsidRDefault="000C4F2A" w:rsidP="001A650A">
      <w:pPr>
        <w:spacing w:line="480" w:lineRule="auto"/>
        <w:rPr>
          <w:rFonts w:ascii="Times New Roman" w:hAnsi="Times New Roman" w:cs="Times New Roman"/>
          <w:b/>
          <w:bCs/>
        </w:rPr>
      </w:pPr>
      <w:r w:rsidRPr="00E71220">
        <w:rPr>
          <w:rFonts w:ascii="Times New Roman" w:hAnsi="Times New Roman" w:cs="Times New Roman"/>
          <w:b/>
          <w:bCs/>
        </w:rPr>
        <w:t xml:space="preserve">Transcriptionally active </w:t>
      </w:r>
      <w:r w:rsidRPr="00E71220">
        <w:rPr>
          <w:rFonts w:ascii="Times New Roman" w:hAnsi="Times New Roman" w:cs="Times New Roman"/>
          <w:b/>
          <w:bCs/>
          <w:i/>
          <w:iCs/>
        </w:rPr>
        <w:t>Prochlorococcus</w:t>
      </w:r>
      <w:r w:rsidRPr="00E71220">
        <w:rPr>
          <w:rFonts w:ascii="Times New Roman" w:hAnsi="Times New Roman" w:cs="Times New Roman"/>
          <w:b/>
          <w:bCs/>
        </w:rPr>
        <w:t xml:space="preserve"> strains and </w:t>
      </w:r>
      <w:proofErr w:type="spellStart"/>
      <w:r w:rsidRPr="00E71220">
        <w:rPr>
          <w:rFonts w:ascii="Times New Roman" w:hAnsi="Times New Roman" w:cs="Times New Roman"/>
          <w:b/>
          <w:bCs/>
        </w:rPr>
        <w:t>oligotypes</w:t>
      </w:r>
      <w:proofErr w:type="spellEnd"/>
      <w:r w:rsidRPr="00E71220">
        <w:rPr>
          <w:rFonts w:ascii="Times New Roman" w:hAnsi="Times New Roman" w:cs="Times New Roman"/>
          <w:b/>
          <w:bCs/>
        </w:rPr>
        <w:t xml:space="preserve"> detected by 16S-rRNA gene analysis </w:t>
      </w:r>
    </w:p>
    <w:p w14:paraId="0B05524E" w14:textId="318E8636" w:rsidR="000C4F2A" w:rsidRPr="00E71220" w:rsidRDefault="000C4F2A" w:rsidP="000525BB">
      <w:pPr>
        <w:pStyle w:val="Body"/>
        <w:spacing w:line="480" w:lineRule="auto"/>
        <w:ind w:firstLine="720"/>
        <w:rPr>
          <w:rFonts w:ascii="Times New Roman" w:eastAsia="Times New Roman" w:hAnsi="Times New Roman" w:cs="Times New Roman"/>
        </w:rPr>
      </w:pPr>
      <w:r w:rsidRPr="00E71220">
        <w:rPr>
          <w:rFonts w:ascii="Times New Roman" w:eastAsia="Times New Roman" w:hAnsi="Times New Roman" w:cs="Times New Roman"/>
        </w:rPr>
        <w:t xml:space="preserve">The subpopulations of </w:t>
      </w:r>
      <w:r w:rsidRPr="00E71220">
        <w:rPr>
          <w:rFonts w:ascii="Times New Roman" w:hAnsi="Times New Roman"/>
          <w:i/>
          <w:iCs/>
          <w:lang w:val="it-IT"/>
        </w:rPr>
        <w:t xml:space="preserve">Prochlorococcus </w:t>
      </w:r>
      <w:r w:rsidRPr="00E71220">
        <w:rPr>
          <w:rFonts w:ascii="Times New Roman" w:hAnsi="Times New Roman"/>
        </w:rPr>
        <w:t>MIT9515 and MIT9301 that had different responses to NO</w:t>
      </w:r>
      <w:r w:rsidRPr="00E71220">
        <w:rPr>
          <w:rFonts w:ascii="Times New Roman" w:hAnsi="Times New Roman"/>
          <w:vertAlign w:val="subscript"/>
        </w:rPr>
        <w:t>3</w:t>
      </w:r>
      <w:r w:rsidRPr="00E71220">
        <w:rPr>
          <w:rFonts w:ascii="Times New Roman" w:hAnsi="Times New Roman"/>
          <w:vertAlign w:val="superscript"/>
        </w:rPr>
        <w:t>-</w:t>
      </w:r>
      <w:r w:rsidRPr="00E71220">
        <w:rPr>
          <w:rFonts w:ascii="Times New Roman" w:hAnsi="Times New Roman"/>
        </w:rPr>
        <w:t xml:space="preserve"> might correspond to </w:t>
      </w:r>
      <w:proofErr w:type="spellStart"/>
      <w:r w:rsidRPr="00E71220">
        <w:rPr>
          <w:rFonts w:ascii="Times New Roman" w:hAnsi="Times New Roman"/>
        </w:rPr>
        <w:t>oligotypes</w:t>
      </w:r>
      <w:proofErr w:type="spellEnd"/>
      <w:r w:rsidRPr="00E71220">
        <w:rPr>
          <w:rFonts w:ascii="Times New Roman" w:hAnsi="Times New Roman"/>
        </w:rPr>
        <w:t xml:space="preserve"> defined by </w:t>
      </w:r>
      <w:proofErr w:type="spellStart"/>
      <w:r w:rsidRPr="00E71220">
        <w:rPr>
          <w:rFonts w:ascii="Times New Roman" w:hAnsi="Times New Roman"/>
        </w:rPr>
        <w:t>Shilova</w:t>
      </w:r>
      <w:proofErr w:type="spellEnd"/>
      <w:r w:rsidRPr="00E71220">
        <w:rPr>
          <w:rFonts w:ascii="Times New Roman" w:hAnsi="Times New Roman"/>
        </w:rPr>
        <w:t xml:space="preserve"> et al., </w:t>
      </w:r>
      <w:r w:rsidR="008127F5" w:rsidRPr="00E71220">
        <w:rPr>
          <w:rFonts w:ascii="Times New Roman" w:hAnsi="Times New Roman"/>
        </w:rPr>
        <w:fldChar w:fldCharType="begin"/>
      </w:r>
      <w:r w:rsidR="008127F5" w:rsidRPr="00E71220">
        <w:rPr>
          <w:rFonts w:ascii="Times New Roman" w:hAnsi="Times New Roman"/>
        </w:rPr>
        <w:instrText xml:space="preserve"> ADDIN ZOTERO_ITEM CSL_CITATION {"citationID":"bG56ruZf","properties":{"formattedCitation":"[2]","plainCitation":"[2]","noteIndex":0},"citationItems":[{"id":3,"uris":["http://zotero.org/users/local/ZW2GSes4/items/YND8UV3A"],"uri":["http://zotero.org/users/local/ZW2GSes4/items/YND8UV3A"],"itemData":{"id":3,"type":"article-journal","abstract":"Nitrogen (N) is the major limiting nutrient for phytoplankton growth and productivity in large parts of the world’s oceans. Differential preferences for speciﬁc N substrates may be important in controlling phytoplankton community composition. To date, there is limited information on how speciﬁc N substrates inﬂuence the composition of naturally occurring microbial communities. We investigated the effect of nitrate (NO23 ), ammonium (NH14 ), and urea on microbial and phytoplankton community composition (cell abundances and 16S rRNA gene proﬁling) and functioning (photosynthetic activity, carbon ﬁxation rates) in the oligotrophic waters of the North Paciﬁc Ocean. All N substrates tested signiﬁcantly stimulated phytoplankton growth and productivity. Urea resulted in the greatest (&gt;300%) increases in chlorophyll a (&lt;0.06 lg L21 and \u00180.19 lg L21 in the control and urea addition, respectively) and productivity (&lt;0.4 lmol C L21 d21 and \u00181.4 lmol C L21 d21 in the control and urea addition, respectively) at two experimental stations, largely due to increased abundances of Prochlorococcus (Cyanobacteria). Two abundant clades of Prochlorococcus, High Light I and II, demonstrated similar responses to urea, suggesting this substrate is likely an important N source for natural Prochlorococcus populations. In contrast, the heterotrophic community composition changed most in response to NH41. Finally, the time and magnitude of response to N amendments varied with geographic location, likely due to differences in microbial community composition and their nutrient status. Our results provide support for the hypothesis that changes in N supply would likely favor speciﬁc populations of phytoplankton in different oceanic regions and thus, affect both biogeochemical cycles and ecological processes.","container-title":"Limnology and Oceanography","DOI":"10.1002/lno.10590","ISSN":"00243590","issue":"6","journalAbbreviation":"Limnol. Oceanogr.","language":"en","page":"2550-2574","source":"DOI.org (Crossref)","title":"Differential effects of nitrate, ammonium, and urea as N sources for microbial communities in the North Pacific Ocean","title-short":"Differential effects of nitrate, ammonium, and urea as N sources for microbial communities in the North Pacific Ocean","volume":"62","author":[{"family":"Shilova","given":"I. N."},{"family":"Mills","given":"M. M."},{"family":"Robidart","given":"J. C."},{"family":"Turk-Kubo","given":"K. A."},{"family":"Björkman","given":"K. M."},{"family":"Kolber","given":"Z."},{"family":"Rapp","given":"I."},{"family":"Dijken","given":"G. L.","non-dropping-particle":"van"},{"family":"Church","given":"M. J."},{"family":"Arrigo","given":"K. R."},{"family":"Achterberg","given":"E. P."},{"family":"Zehr","given":"J. P."}],"issued":{"date-parts":[["2017",11]]}}}],"schema":"https://github.com/citation-style-language/schema/raw/master/csl-citation.json"} </w:instrText>
      </w:r>
      <w:r w:rsidR="008127F5" w:rsidRPr="00E71220">
        <w:rPr>
          <w:rFonts w:ascii="Times New Roman" w:hAnsi="Times New Roman"/>
        </w:rPr>
        <w:fldChar w:fldCharType="separate"/>
      </w:r>
      <w:r w:rsidR="008127F5" w:rsidRPr="00E71220">
        <w:rPr>
          <w:rFonts w:ascii="Times New Roman" w:hAnsi="Times New Roman"/>
          <w:noProof/>
        </w:rPr>
        <w:t>[2]</w:t>
      </w:r>
      <w:r w:rsidR="008127F5" w:rsidRPr="00E71220">
        <w:rPr>
          <w:rFonts w:ascii="Times New Roman" w:hAnsi="Times New Roman"/>
        </w:rPr>
        <w:fldChar w:fldCharType="end"/>
      </w:r>
      <w:r w:rsidRPr="00E71220">
        <w:rPr>
          <w:rFonts w:ascii="Times New Roman" w:hAnsi="Times New Roman"/>
        </w:rPr>
        <w:t xml:space="preserve"> based on 16S rRNA gene sequence analysis </w:t>
      </w:r>
      <w:r w:rsidR="008127F5" w:rsidRPr="00E71220">
        <w:rPr>
          <w:rFonts w:ascii="Times New Roman" w:hAnsi="Times New Roman"/>
        </w:rPr>
        <w:fldChar w:fldCharType="begin"/>
      </w:r>
      <w:r w:rsidR="00176788">
        <w:rPr>
          <w:rFonts w:ascii="Times New Roman" w:hAnsi="Times New Roman"/>
        </w:rPr>
        <w:instrText xml:space="preserve"> ADDIN ZOTERO_ITEM CSL_CITATION {"citationID":"mLflG7fm","properties":{"formattedCitation":"[2,7]","plainCitation":"[2,7]","noteIndex":0},"citationItems":[{"id":3,"uris":["http://zotero.org/users/local/ZW2GSes4/items/YND8UV3A"],"uri":["http://zotero.org/users/local/ZW2GSes4/items/YND8UV3A"],"itemData":{"id":3,"type":"article-journal","abstract":"Nitrogen (N) is the major limiting nutrient for phytoplankton growth and productivity in large parts of the world’s oceans. Differential preferences for speciﬁc N substrates may be important in controlling phytoplankton community composition. To date, there is limited information on how speciﬁc N substrates inﬂuence the composition of naturally occurring microbial communities. We investigated the effect of nitrate (NO23 ), ammonium (NH14 ), and urea on microbial and phytoplankton community composition (cell abundances and 16S rRNA gene proﬁling) and functioning (photosynthetic activity, carbon ﬁxation rates) in the oligotrophic waters of the North Paciﬁc Ocean. All N substrates tested signiﬁcantly stimulated phytoplankton growth and productivity. Urea resulted in the greatest (&gt;300%) increases in chlorophyll a (&lt;0.06 lg L21 and \u00180.19 lg L21 in the control and urea addition, respectively) and productivity (&lt;0.4 lmol C L21 d21 and \u00181.4 lmol C L21 d21 in the control and urea addition, respectively) at two experimental stations, largely due to increased abundances of Prochlorococcus (Cyanobacteria). Two abundant clades of Prochlorococcus, High Light I and II, demonstrated similar responses to urea, suggesting this substrate is likely an important N source for natural Prochlorococcus populations. In contrast, the heterotrophic community composition changed most in response to NH41. Finally, the time and magnitude of response to N amendments varied with geographic location, likely due to differences in microbial community composition and their nutrient status. Our results provide support for the hypothesis that changes in N supply would likely favor speciﬁc populations of phytoplankton in different oceanic regions and thus, affect both biogeochemical cycles and ecological processes.","container-title":"Limnology and Oceanography","DOI":"10.1002/lno.10590","ISSN":"00243590","issue":"6","journalAbbreviation":"Limnol. Oceanogr.","language":"en","page":"2550-2574","source":"DOI.org (Crossref)","title":"Differential effects of nitrate, ammonium, and urea as N sources for microbial communities in the North Pacific Ocean","title-short":"Differential effects of nitrate, ammonium, and urea as N sources for microbial communities in the North Pacific Ocean","volume":"62","author":[{"family":"Shilova","given":"I. N."},{"family":"Mills","given":"M. M."},{"family":"Robidart","given":"J. C."},{"family":"Turk-Kubo","given":"K. A."},{"family":"Björkman","given":"K. M."},{"family":"Kolber","given":"Z."},{"family":"Rapp","given":"I."},{"family":"Dijken","given":"G. L.","non-dropping-particle":"van"},{"family":"Church","given":"M. J."},{"family":"Arrigo","given":"K. R."},{"family":"Achterberg","given":"E. P."},{"family":"Zehr","given":"J. P."}],"issued":{"date-parts":[["2017",11]]}}},{"id":153,"uris":["http://zotero.org/users/local/ZW2GSes4/items/JZ4I32UD"],"uri":["http://zotero.org/users/local/ZW2GSes4/items/JZ4I32UD"],"itemData":{"id":153,"type":"article-journal","abstract":"Bacteria comprise the most diverse domain of life on Earth, where they occupy nearly every possible ecological niche and play key roles in biological and chemical processes. Studying the composition and ecology of bacterial ecosystems and understanding their function are of prime importance. High-throughput sequencing technologies enable nearly comprehensive descriptions of bacterial diversity through 16S ribosomal RNA gene amplicons. Analyses of these communities generally rely upon taxonomic assignments through reference data bases or clustering approaches using de facto sequence similarity thresholds to identify operational taxonomic units. However, these methods often fail to resolve ecologically meaningful differences between closely related organisms in complex microbial data sets. In this paper, we describe oligotyping, a novel supervised computational method that allows researchers to investigate the diversity of closely related but distinct bacterial organisms in final operational taxonomic units identified in environmental data sets through 16S ribosomal RNA gene data by the canonical approaches. Our analysis of two data sets from two different environments demonstrates the capacity of oligotyping at discriminating distinct microbial populations of ecological importance. Oligotyping can resolve the distribution of closely related organisms across environments and unveil previously overlooked ecological patterns for microbial communities. The URL http://oligotyping.org offers an open-source software pipeline for oligotyping.","container-title":"Methods in Ecology and Evolution","DOI":"10.1111/2041-210X.12114","ISSN":"2041-210X","issue":"12","language":"en","page":"1111-1119","source":"Wiley Online Library","title":"Oligotyping: differentiating between closely related microbial taxa using 16S rRNA gene data","title-short":"Oligotyping","volume":"4","author":[{"family":"Eren","given":"A. Murat"},{"family":"Maignien","given":"Loïs"},{"family":"Sul","given":"Woo Jun"},{"family":"Murphy","given":"Leslie G."},{"family":"Grim","given":"Sharon L."},{"family":"Morrison","given":"Hilary G."},{"family":"Sogin","given":"Mitchell L."}],"issued":{"date-parts":[["2013"]]}}}],"schema":"https://github.com/citation-style-language/schema/raw/master/csl-citation.json"} </w:instrText>
      </w:r>
      <w:r w:rsidR="008127F5" w:rsidRPr="00E71220">
        <w:rPr>
          <w:rFonts w:ascii="Times New Roman" w:hAnsi="Times New Roman"/>
        </w:rPr>
        <w:fldChar w:fldCharType="separate"/>
      </w:r>
      <w:r w:rsidR="00176788">
        <w:rPr>
          <w:rFonts w:ascii="Times New Roman" w:hAnsi="Times New Roman"/>
          <w:noProof/>
        </w:rPr>
        <w:t>[2,7]</w:t>
      </w:r>
      <w:r w:rsidR="008127F5" w:rsidRPr="00E71220">
        <w:rPr>
          <w:rFonts w:ascii="Times New Roman" w:hAnsi="Times New Roman"/>
        </w:rPr>
        <w:fldChar w:fldCharType="end"/>
      </w:r>
      <w:r w:rsidRPr="00E71220">
        <w:rPr>
          <w:rFonts w:ascii="Times New Roman" w:hAnsi="Times New Roman"/>
        </w:rPr>
        <w:t xml:space="preserve">. In T0 samples, two main </w:t>
      </w:r>
      <w:proofErr w:type="spellStart"/>
      <w:r w:rsidRPr="00E71220">
        <w:rPr>
          <w:rFonts w:ascii="Times New Roman" w:hAnsi="Times New Roman"/>
        </w:rPr>
        <w:t>oligotypes</w:t>
      </w:r>
      <w:proofErr w:type="spellEnd"/>
      <w:r w:rsidRPr="00E71220">
        <w:rPr>
          <w:rFonts w:ascii="Times New Roman" w:hAnsi="Times New Roman"/>
        </w:rPr>
        <w:t xml:space="preserve"> were identified for MIT9515 (10.72% and 1.42% of total </w:t>
      </w:r>
      <w:r w:rsidRPr="00E71220">
        <w:rPr>
          <w:rFonts w:ascii="Times New Roman" w:hAnsi="Times New Roman"/>
          <w:i/>
          <w:iCs/>
          <w:lang w:val="it-IT"/>
        </w:rPr>
        <w:t>Prochlorococcus</w:t>
      </w:r>
      <w:r w:rsidRPr="00E71220">
        <w:rPr>
          <w:rFonts w:ascii="Times New Roman" w:hAnsi="Times New Roman"/>
        </w:rPr>
        <w:t>) and also for MIT9301 (relative abundances of both ≤ 0.29% of </w:t>
      </w:r>
      <w:r w:rsidRPr="00E71220">
        <w:rPr>
          <w:rFonts w:ascii="Times New Roman" w:hAnsi="Times New Roman"/>
          <w:lang w:val="pt-PT"/>
        </w:rPr>
        <w:t xml:space="preserve">total </w:t>
      </w:r>
      <w:r w:rsidRPr="00E71220">
        <w:rPr>
          <w:rFonts w:ascii="Times New Roman" w:hAnsi="Times New Roman"/>
          <w:i/>
          <w:iCs/>
          <w:lang w:val="it-IT"/>
        </w:rPr>
        <w:t>Prochlorococcus</w:t>
      </w:r>
      <w:r w:rsidRPr="00E71220">
        <w:rPr>
          <w:rFonts w:ascii="Times New Roman" w:hAnsi="Times New Roman"/>
        </w:rPr>
        <w:t xml:space="preserve">). However, we have no genomic sequence data to link </w:t>
      </w:r>
      <w:proofErr w:type="spellStart"/>
      <w:r w:rsidRPr="00E71220">
        <w:rPr>
          <w:rFonts w:ascii="Times New Roman" w:hAnsi="Times New Roman"/>
        </w:rPr>
        <w:t>oligotypes</w:t>
      </w:r>
      <w:proofErr w:type="spellEnd"/>
      <w:r w:rsidRPr="00E71220">
        <w:rPr>
          <w:rFonts w:ascii="Times New Roman" w:hAnsi="Times New Roman"/>
        </w:rPr>
        <w:t xml:space="preserve"> to the PS genes, and it is possible that the detected PS transcripts from these natural populations were similar to MIT9515 and MIT9301 only with respect to these genes.</w:t>
      </w:r>
    </w:p>
    <w:p w14:paraId="260729F7" w14:textId="55C91F40" w:rsidR="000001A2" w:rsidRPr="00E71220" w:rsidRDefault="00413F7C" w:rsidP="001A650A">
      <w:pPr>
        <w:spacing w:line="480" w:lineRule="auto"/>
        <w:rPr>
          <w:rFonts w:ascii="Times New Roman" w:hAnsi="Times New Roman" w:cs="Times New Roman"/>
          <w:i/>
          <w:iCs/>
        </w:rPr>
      </w:pPr>
      <w:r w:rsidRPr="00E71220">
        <w:rPr>
          <w:rFonts w:ascii="Times New Roman" w:hAnsi="Times New Roman" w:cs="Times New Roman"/>
          <w:b/>
          <w:bCs/>
          <w:i/>
          <w:iCs/>
        </w:rPr>
        <w:t>Prochlorococcus</w:t>
      </w:r>
      <w:r w:rsidRPr="00E71220">
        <w:rPr>
          <w:rFonts w:ascii="Times New Roman" w:hAnsi="Times New Roman" w:cs="Times New Roman"/>
          <w:b/>
          <w:bCs/>
          <w:iCs/>
        </w:rPr>
        <w:t xml:space="preserve"> responses from o</w:t>
      </w:r>
      <w:r w:rsidR="00836C27" w:rsidRPr="00E71220">
        <w:rPr>
          <w:rFonts w:ascii="Times New Roman" w:hAnsi="Times New Roman" w:cs="Times New Roman"/>
          <w:b/>
          <w:bCs/>
          <w:iCs/>
        </w:rPr>
        <w:t>ther stress gene</w:t>
      </w:r>
      <w:r w:rsidRPr="00E71220">
        <w:rPr>
          <w:rFonts w:ascii="Times New Roman" w:hAnsi="Times New Roman" w:cs="Times New Roman"/>
          <w:b/>
          <w:bCs/>
          <w:iCs/>
        </w:rPr>
        <w:t>s</w:t>
      </w:r>
    </w:p>
    <w:p w14:paraId="448BC7D5" w14:textId="41BA87F0" w:rsidR="001772B7" w:rsidRPr="00E71220" w:rsidRDefault="001A650A" w:rsidP="000525BB">
      <w:pPr>
        <w:spacing w:line="480" w:lineRule="auto"/>
        <w:ind w:firstLine="720"/>
        <w:rPr>
          <w:rFonts w:ascii="Times New Roman" w:hAnsi="Times New Roman" w:cs="Times New Roman"/>
          <w:b/>
          <w:bCs/>
          <w:i/>
          <w:iCs/>
        </w:rPr>
      </w:pPr>
      <w:r w:rsidRPr="00E71220">
        <w:rPr>
          <w:rFonts w:ascii="Times New Roman" w:hAnsi="Times New Roman" w:cs="Times New Roman"/>
        </w:rPr>
        <w:t>Several</w:t>
      </w:r>
      <w:r w:rsidR="00D1610D" w:rsidRPr="00E71220">
        <w:rPr>
          <w:rFonts w:ascii="Times New Roman" w:hAnsi="Times New Roman" w:cs="Times New Roman"/>
        </w:rPr>
        <w:t xml:space="preserve"> </w:t>
      </w:r>
      <w:r w:rsidRPr="00E71220">
        <w:rPr>
          <w:rFonts w:ascii="Times New Roman" w:hAnsi="Times New Roman" w:cs="Times New Roman"/>
          <w:i/>
          <w:iCs/>
        </w:rPr>
        <w:t>Prochlorococcus</w:t>
      </w:r>
      <w:r w:rsidRPr="00E71220">
        <w:rPr>
          <w:rFonts w:ascii="Times New Roman" w:hAnsi="Times New Roman" w:cs="Times New Roman"/>
        </w:rPr>
        <w:t xml:space="preserve"> </w:t>
      </w:r>
      <w:r w:rsidR="0045311C" w:rsidRPr="00E71220">
        <w:rPr>
          <w:rFonts w:ascii="Times New Roman" w:hAnsi="Times New Roman" w:cs="Times New Roman"/>
        </w:rPr>
        <w:t>genes associated with reactive oxygen species and light stress responded to the treatments</w:t>
      </w:r>
      <w:r w:rsidRPr="00E71220">
        <w:rPr>
          <w:rFonts w:ascii="Times New Roman" w:hAnsi="Times New Roman" w:cs="Times New Roman"/>
        </w:rPr>
        <w:t xml:space="preserve">. In the </w:t>
      </w:r>
      <w:r w:rsidR="00837383" w:rsidRPr="00E71220">
        <w:rPr>
          <w:rFonts w:ascii="Times New Roman" w:hAnsi="Times New Roman" w:cs="Times New Roman"/>
          <w:color w:val="000000"/>
        </w:rPr>
        <w:t>NO</w:t>
      </w:r>
      <w:r w:rsidR="00837383" w:rsidRPr="00E71220">
        <w:rPr>
          <w:rFonts w:ascii="Times New Roman" w:hAnsi="Times New Roman" w:cs="Times New Roman"/>
          <w:color w:val="000000"/>
          <w:vertAlign w:val="subscript"/>
        </w:rPr>
        <w:t>3</w:t>
      </w:r>
      <w:r w:rsidR="00837383" w:rsidRPr="00E71220">
        <w:rPr>
          <w:rFonts w:ascii="Times New Roman" w:hAnsi="Times New Roman" w:cs="Times New Roman"/>
          <w:color w:val="000000"/>
          <w:vertAlign w:val="superscript"/>
        </w:rPr>
        <w:t>-</w:t>
      </w:r>
      <w:r w:rsidRPr="00E71220">
        <w:rPr>
          <w:rFonts w:ascii="Times New Roman" w:hAnsi="Times New Roman" w:cs="Times New Roman"/>
        </w:rPr>
        <w:t xml:space="preserve"> and FDW treatments, transcript levels from </w:t>
      </w:r>
      <w:r w:rsidR="008A2AC7" w:rsidRPr="00E71220">
        <w:rPr>
          <w:rFonts w:ascii="Times New Roman" w:hAnsi="Times New Roman" w:cs="Times New Roman"/>
        </w:rPr>
        <w:t xml:space="preserve">genes that encode </w:t>
      </w:r>
      <w:proofErr w:type="spellStart"/>
      <w:r w:rsidRPr="00E71220">
        <w:rPr>
          <w:rFonts w:ascii="Times New Roman" w:hAnsi="Times New Roman" w:cs="Times New Roman"/>
        </w:rPr>
        <w:t>NiSOD</w:t>
      </w:r>
      <w:proofErr w:type="spellEnd"/>
      <w:r w:rsidRPr="00E71220">
        <w:rPr>
          <w:rFonts w:ascii="Times New Roman" w:hAnsi="Times New Roman" w:cs="Times New Roman"/>
        </w:rPr>
        <w:t xml:space="preserve">, a putative nickel-containing superoxide dismutase precursor, decreased for HL strains (DE for MED4 and MIT9515; </w:t>
      </w:r>
      <w:r w:rsidR="00A204DF" w:rsidRPr="00E71220">
        <w:rPr>
          <w:rFonts w:ascii="Times New Roman" w:hAnsi="Times New Roman" w:cs="Times New Roman"/>
        </w:rPr>
        <w:t>S</w:t>
      </w:r>
      <w:r w:rsidR="006B42C1" w:rsidRPr="00E71220">
        <w:rPr>
          <w:rFonts w:ascii="Times New Roman" w:hAnsi="Times New Roman" w:cs="Times New Roman"/>
        </w:rPr>
        <w:t>6</w:t>
      </w:r>
      <w:r w:rsidR="00B20BA9" w:rsidRPr="00E71220">
        <w:rPr>
          <w:rFonts w:ascii="Times New Roman" w:hAnsi="Times New Roman" w:cs="Times New Roman"/>
        </w:rPr>
        <w:t xml:space="preserve"> </w:t>
      </w:r>
      <w:r w:rsidR="00A204DF" w:rsidRPr="00E71220">
        <w:rPr>
          <w:rFonts w:ascii="Times New Roman" w:hAnsi="Times New Roman" w:cs="Times New Roman"/>
        </w:rPr>
        <w:t>Fig</w:t>
      </w:r>
      <w:r w:rsidRPr="00E71220">
        <w:rPr>
          <w:rFonts w:ascii="Times New Roman" w:hAnsi="Times New Roman" w:cs="Times New Roman"/>
        </w:rPr>
        <w:t xml:space="preserve">) but increased for LL strains (DE for CCMP1375 and MIT9313; </w:t>
      </w:r>
      <w:r w:rsidR="00A204DF" w:rsidRPr="00E71220">
        <w:rPr>
          <w:rFonts w:ascii="Times New Roman" w:hAnsi="Times New Roman" w:cs="Times New Roman"/>
        </w:rPr>
        <w:t>S</w:t>
      </w:r>
      <w:r w:rsidR="006B42C1" w:rsidRPr="00E71220">
        <w:rPr>
          <w:rFonts w:ascii="Times New Roman" w:hAnsi="Times New Roman" w:cs="Times New Roman"/>
        </w:rPr>
        <w:t>7</w:t>
      </w:r>
      <w:r w:rsidR="00CC2F25" w:rsidRPr="00E71220">
        <w:rPr>
          <w:rFonts w:ascii="Times New Roman" w:hAnsi="Times New Roman" w:cs="Times New Roman"/>
        </w:rPr>
        <w:t xml:space="preserve"> </w:t>
      </w:r>
      <w:r w:rsidRPr="00E71220">
        <w:rPr>
          <w:rFonts w:ascii="Times New Roman" w:hAnsi="Times New Roman" w:cs="Times New Roman"/>
        </w:rPr>
        <w:t xml:space="preserve">Fig). </w:t>
      </w:r>
      <w:r w:rsidR="0045311C" w:rsidRPr="00E71220">
        <w:rPr>
          <w:rFonts w:ascii="Times New Roman" w:hAnsi="Times New Roman" w:cs="Times New Roman"/>
        </w:rPr>
        <w:t>EGSEA corroborate</w:t>
      </w:r>
      <w:r w:rsidR="004168C6" w:rsidRPr="00E71220">
        <w:rPr>
          <w:rFonts w:ascii="Times New Roman" w:hAnsi="Times New Roman" w:cs="Times New Roman"/>
        </w:rPr>
        <w:t>d</w:t>
      </w:r>
      <w:r w:rsidR="0045311C" w:rsidRPr="00E71220">
        <w:rPr>
          <w:rFonts w:ascii="Times New Roman" w:hAnsi="Times New Roman" w:cs="Times New Roman"/>
        </w:rPr>
        <w:t xml:space="preserve"> the </w:t>
      </w:r>
      <w:proofErr w:type="spellStart"/>
      <w:r w:rsidRPr="00E71220">
        <w:rPr>
          <w:rFonts w:ascii="Times New Roman" w:hAnsi="Times New Roman" w:cs="Times New Roman"/>
        </w:rPr>
        <w:t>NiSOD</w:t>
      </w:r>
      <w:proofErr w:type="spellEnd"/>
      <w:r w:rsidRPr="00E71220">
        <w:rPr>
          <w:rFonts w:ascii="Times New Roman" w:hAnsi="Times New Roman" w:cs="Times New Roman"/>
        </w:rPr>
        <w:t xml:space="preserve"> </w:t>
      </w:r>
      <w:r w:rsidR="008A2AC7" w:rsidRPr="00E71220">
        <w:rPr>
          <w:rFonts w:ascii="Times New Roman" w:hAnsi="Times New Roman" w:cs="Times New Roman"/>
        </w:rPr>
        <w:t xml:space="preserve">gene </w:t>
      </w:r>
      <w:r w:rsidRPr="00E71220">
        <w:rPr>
          <w:rFonts w:ascii="Times New Roman" w:hAnsi="Times New Roman" w:cs="Times New Roman"/>
        </w:rPr>
        <w:t>increases from LL strains in response to FDW</w:t>
      </w:r>
      <w:r w:rsidR="00B13E4A" w:rsidRPr="00E71220">
        <w:rPr>
          <w:rFonts w:ascii="Times New Roman" w:hAnsi="Times New Roman" w:cs="Times New Roman"/>
        </w:rPr>
        <w:t xml:space="preserve">. EGSEA also indicated that </w:t>
      </w:r>
      <w:r w:rsidRPr="00E71220">
        <w:rPr>
          <w:rFonts w:ascii="Times New Roman" w:hAnsi="Times New Roman" w:cs="Times New Roman"/>
        </w:rPr>
        <w:t xml:space="preserve">HL </w:t>
      </w:r>
      <w:r w:rsidRPr="00E71220">
        <w:rPr>
          <w:rFonts w:ascii="Times New Roman" w:hAnsi="Times New Roman" w:cs="Times New Roman"/>
          <w:i/>
          <w:iCs/>
        </w:rPr>
        <w:t>Prochlorococcus</w:t>
      </w:r>
      <w:r w:rsidRPr="00E71220">
        <w:rPr>
          <w:rFonts w:ascii="Times New Roman" w:hAnsi="Times New Roman" w:cs="Times New Roman"/>
        </w:rPr>
        <w:t xml:space="preserve"> genes associated with light </w:t>
      </w:r>
      <w:r w:rsidRPr="00E71220">
        <w:rPr>
          <w:rFonts w:ascii="Times New Roman" w:hAnsi="Times New Roman" w:cs="Times New Roman"/>
        </w:rPr>
        <w:lastRenderedPageBreak/>
        <w:t>stress (UV damage or subsequent DNA repair) decreased in all treatments</w:t>
      </w:r>
      <w:r w:rsidR="008A3173" w:rsidRPr="00E71220">
        <w:rPr>
          <w:rFonts w:ascii="Times New Roman" w:hAnsi="Times New Roman" w:cs="Times New Roman"/>
        </w:rPr>
        <w:t>,</w:t>
      </w:r>
      <w:r w:rsidRPr="00E71220">
        <w:rPr>
          <w:rFonts w:ascii="Times New Roman" w:hAnsi="Times New Roman" w:cs="Times New Roman"/>
        </w:rPr>
        <w:t xml:space="preserve"> except </w:t>
      </w:r>
      <w:r w:rsidR="008A3173" w:rsidRPr="00E71220">
        <w:rPr>
          <w:rFonts w:ascii="Times New Roman" w:hAnsi="Times New Roman" w:cs="Times New Roman"/>
        </w:rPr>
        <w:t xml:space="preserve">they increased in </w:t>
      </w:r>
      <w:proofErr w:type="spellStart"/>
      <w:r w:rsidR="00D1610D" w:rsidRPr="00E71220">
        <w:rPr>
          <w:rFonts w:ascii="Times New Roman" w:hAnsi="Times New Roman" w:cs="Times New Roman"/>
        </w:rPr>
        <w:t>N+Fe</w:t>
      </w:r>
      <w:proofErr w:type="spellEnd"/>
      <w:r w:rsidRPr="00E71220">
        <w:rPr>
          <w:rFonts w:ascii="Times New Roman" w:hAnsi="Times New Roman" w:cs="Times New Roman"/>
        </w:rPr>
        <w:t xml:space="preserve">. These genes included </w:t>
      </w:r>
      <w:proofErr w:type="spellStart"/>
      <w:r w:rsidRPr="00E71220">
        <w:rPr>
          <w:rFonts w:ascii="Times New Roman" w:hAnsi="Times New Roman" w:cs="Times New Roman"/>
          <w:i/>
          <w:iCs/>
        </w:rPr>
        <w:t>phrB</w:t>
      </w:r>
      <w:proofErr w:type="spellEnd"/>
      <w:r w:rsidRPr="00E71220">
        <w:rPr>
          <w:rFonts w:ascii="Times New Roman" w:hAnsi="Times New Roman" w:cs="Times New Roman"/>
        </w:rPr>
        <w:t xml:space="preserve"> which encodes a DNA photolyase, </w:t>
      </w:r>
      <w:proofErr w:type="spellStart"/>
      <w:r w:rsidRPr="00E71220">
        <w:rPr>
          <w:rFonts w:ascii="Times New Roman" w:hAnsi="Times New Roman" w:cs="Times New Roman"/>
          <w:i/>
          <w:iCs/>
        </w:rPr>
        <w:t>nudix</w:t>
      </w:r>
      <w:proofErr w:type="spellEnd"/>
      <w:r w:rsidRPr="00E71220">
        <w:rPr>
          <w:rFonts w:ascii="Times New Roman" w:hAnsi="Times New Roman" w:cs="Times New Roman"/>
        </w:rPr>
        <w:t xml:space="preserve"> which encodes </w:t>
      </w:r>
      <w:proofErr w:type="spellStart"/>
      <w:r w:rsidRPr="00E71220">
        <w:rPr>
          <w:rFonts w:ascii="Times New Roman" w:hAnsi="Times New Roman" w:cs="Times New Roman"/>
        </w:rPr>
        <w:t>nudix</w:t>
      </w:r>
      <w:proofErr w:type="spellEnd"/>
      <w:r w:rsidRPr="00E71220">
        <w:rPr>
          <w:rFonts w:ascii="Times New Roman" w:hAnsi="Times New Roman" w:cs="Times New Roman"/>
        </w:rPr>
        <w:t xml:space="preserve"> hydroxylase, and </w:t>
      </w:r>
      <w:r w:rsidRPr="00E71220">
        <w:rPr>
          <w:rFonts w:ascii="Times New Roman" w:hAnsi="Times New Roman" w:cs="Times New Roman"/>
          <w:i/>
          <w:iCs/>
        </w:rPr>
        <w:t>pmm1359</w:t>
      </w:r>
      <w:r w:rsidRPr="00E71220">
        <w:rPr>
          <w:rFonts w:ascii="Times New Roman" w:hAnsi="Times New Roman" w:cs="Times New Roman"/>
        </w:rPr>
        <w:t xml:space="preserve"> whose function is not known (but highly light-responsive, </w:t>
      </w:r>
      <w:r w:rsidR="008B1D83" w:rsidRPr="00E71220">
        <w:rPr>
          <w:rFonts w:ascii="Times New Roman" w:hAnsi="Times New Roman" w:cs="Times New Roman"/>
        </w:rPr>
        <w:fldChar w:fldCharType="begin"/>
      </w:r>
      <w:r w:rsidR="00176788">
        <w:rPr>
          <w:rFonts w:ascii="Times New Roman" w:hAnsi="Times New Roman" w:cs="Times New Roman"/>
        </w:rPr>
        <w:instrText xml:space="preserve"> ADDIN ZOTERO_ITEM CSL_CITATION {"citationID":"K6tKIW0p","properties":{"formattedCitation":"[8]","plainCitation":"[8]","noteIndex":0},"citationItems":[{"id":447,"uris":["http://zotero.org/users/local/ZW2GSes4/items/56V55ZAQ"],"uri":["http://zotero.org/users/local/ZW2GSes4/items/56V55ZAQ"],"itemData":{"id":447,"type":"article-journal","abstract":"Prochlorococcus contributes significantly to ocean primary productivity. The link between primary productivity and iron in specific ocean regions is well established and iron limitation of Prochlorococcus cell division rates in these regions has been shown. However, the extent of ecotypic variation in iron metabolism among Prochlorococcus and the molecular basis for differences is not understood. Here, we examine the growth and transcriptional response of Prochlorococcus strains, MED4 and MIT9313, to changing iron concentrations. During steady state, MIT9313 sustains growth at an order-of-magnitude lower iron concentration than MED4. To explore this difference, we measured the whole-genome transcriptional response of each strain to abrupt iron starvation and rescue. Only four of the 1159 orthologs of MED4 and MIT9313 were differentially expressed in response to iron in both strains. However, in each strain, the expression of over a hundred additional genes changed, many of which are in labile genomic regions, suggesting a role for lateral gene transfer in establishing diversity of iron metabolism among Prochlorococcus. Furthermore, we found that MED4 lacks three genes near the iron-deficiency-induced gene (idiA) that are present and induced by iron stress in MIT9313. These genes are interesting targets for studying the adaptation of natural Prochlorococcus assemblages to local iron conditions as they show more diversity than other genomic regions in environmental metagenomic databases.","container-title":"The ISME Journal","DOI":"10.1038/ismej.2011.49","ISSN":"1751-7362","issue":"10","journalAbbreviation":"ISME J","note":"PMID: 21562599\nPMCID: PMC3176520","page":"1580-1594","source":"PubMed Central","title":"Transcriptome response of high- and low-light-adapted &lt;i&gt;Prochlorococcus&lt;/i&gt; strains to changing iron availability","volume":"5","author":[{"family":"Thompson","given":"Anne W"},{"family":"Huang","given":"Katherine"},{"family":"Saito","given":"Mak A"},{"family":"Chisholm","given":"Sallie W"}],"issued":{"date-parts":[["2011",10]]}}}],"schema":"https://github.com/citation-style-language/schema/raw/master/csl-citation.json"} </w:instrText>
      </w:r>
      <w:r w:rsidR="008B1D83" w:rsidRPr="00E71220">
        <w:rPr>
          <w:rFonts w:ascii="Times New Roman" w:hAnsi="Times New Roman" w:cs="Times New Roman"/>
        </w:rPr>
        <w:fldChar w:fldCharType="separate"/>
      </w:r>
      <w:r w:rsidR="00176788">
        <w:rPr>
          <w:rFonts w:ascii="Times New Roman" w:hAnsi="Times New Roman" w:cs="Times New Roman"/>
          <w:noProof/>
        </w:rPr>
        <w:t>[8]</w:t>
      </w:r>
      <w:r w:rsidR="008B1D83" w:rsidRPr="00E71220">
        <w:rPr>
          <w:rFonts w:ascii="Times New Roman" w:hAnsi="Times New Roman" w:cs="Times New Roman"/>
        </w:rPr>
        <w:fldChar w:fldCharType="end"/>
      </w:r>
      <w:r w:rsidRPr="00E71220">
        <w:rPr>
          <w:rFonts w:ascii="Times New Roman" w:hAnsi="Times New Roman" w:cs="Times New Roman"/>
        </w:rPr>
        <w:t xml:space="preserve">. </w:t>
      </w:r>
      <w:r w:rsidR="00385B53" w:rsidRPr="00E71220">
        <w:rPr>
          <w:rFonts w:ascii="Times New Roman" w:hAnsi="Times New Roman" w:cs="Times New Roman"/>
        </w:rPr>
        <w:t>S</w:t>
      </w:r>
      <w:r w:rsidR="006B42C1" w:rsidRPr="00E71220">
        <w:rPr>
          <w:rFonts w:ascii="Times New Roman" w:hAnsi="Times New Roman" w:cs="Times New Roman"/>
        </w:rPr>
        <w:t>8</w:t>
      </w:r>
      <w:r w:rsidR="00385B53" w:rsidRPr="00E71220">
        <w:rPr>
          <w:rFonts w:ascii="Times New Roman" w:hAnsi="Times New Roman" w:cs="Times New Roman"/>
        </w:rPr>
        <w:t xml:space="preserve"> Fig illustrates for </w:t>
      </w:r>
      <w:proofErr w:type="spellStart"/>
      <w:r w:rsidR="00385B53" w:rsidRPr="00E71220">
        <w:rPr>
          <w:rFonts w:ascii="Times New Roman" w:hAnsi="Times New Roman" w:cs="Times New Roman"/>
          <w:i/>
        </w:rPr>
        <w:t>phrB</w:t>
      </w:r>
      <w:proofErr w:type="spellEnd"/>
      <w:r w:rsidR="00385B53" w:rsidRPr="00E71220">
        <w:rPr>
          <w:rFonts w:ascii="Times New Roman" w:hAnsi="Times New Roman" w:cs="Times New Roman"/>
        </w:rPr>
        <w:t xml:space="preserve"> and </w:t>
      </w:r>
      <w:proofErr w:type="spellStart"/>
      <w:r w:rsidR="00385B53" w:rsidRPr="00E71220">
        <w:rPr>
          <w:rFonts w:ascii="Times New Roman" w:hAnsi="Times New Roman" w:cs="Times New Roman"/>
          <w:i/>
        </w:rPr>
        <w:t>nudix</w:t>
      </w:r>
      <w:proofErr w:type="spellEnd"/>
      <w:r w:rsidR="00385B53" w:rsidRPr="00E71220">
        <w:rPr>
          <w:rFonts w:ascii="Times New Roman" w:hAnsi="Times New Roman" w:cs="Times New Roman"/>
        </w:rPr>
        <w:t xml:space="preserve"> targets for MED4 the EGSEA result, with most targets having lower transcript levels relative to controls at T24 for all treatments except </w:t>
      </w:r>
      <w:proofErr w:type="spellStart"/>
      <w:r w:rsidR="00385B53" w:rsidRPr="00E71220">
        <w:rPr>
          <w:rFonts w:ascii="Times New Roman" w:hAnsi="Times New Roman" w:cs="Times New Roman"/>
        </w:rPr>
        <w:t>N+Fe</w:t>
      </w:r>
      <w:proofErr w:type="spellEnd"/>
      <w:r w:rsidR="00385B53" w:rsidRPr="00E71220">
        <w:rPr>
          <w:rFonts w:ascii="Times New Roman" w:hAnsi="Times New Roman" w:cs="Times New Roman"/>
        </w:rPr>
        <w:t>.</w:t>
      </w:r>
    </w:p>
    <w:p w14:paraId="1C351E7E" w14:textId="77777777" w:rsidR="001772B7" w:rsidRPr="00E71220" w:rsidRDefault="001772B7" w:rsidP="001A650A">
      <w:pPr>
        <w:spacing w:line="480" w:lineRule="auto"/>
        <w:rPr>
          <w:rFonts w:ascii="Times New Roman" w:hAnsi="Times New Roman" w:cs="Times New Roman"/>
          <w:b/>
          <w:bCs/>
          <w:i/>
          <w:iCs/>
        </w:rPr>
      </w:pPr>
    </w:p>
    <w:p w14:paraId="6A8DF5B4" w14:textId="459C6756" w:rsidR="001A650A" w:rsidRPr="00E71220" w:rsidRDefault="001A650A" w:rsidP="001A650A">
      <w:pPr>
        <w:spacing w:line="480" w:lineRule="auto"/>
        <w:rPr>
          <w:rFonts w:ascii="Times New Roman" w:hAnsi="Times New Roman" w:cs="Times New Roman"/>
          <w:b/>
          <w:bCs/>
          <w:iCs/>
        </w:rPr>
      </w:pPr>
      <w:r w:rsidRPr="00E71220">
        <w:rPr>
          <w:rFonts w:ascii="Times New Roman" w:hAnsi="Times New Roman" w:cs="Times New Roman"/>
          <w:b/>
          <w:bCs/>
          <w:i/>
          <w:iCs/>
        </w:rPr>
        <w:t>Synechococcus</w:t>
      </w:r>
      <w:r w:rsidR="00F36047" w:rsidRPr="00E71220">
        <w:rPr>
          <w:rFonts w:ascii="Times New Roman" w:hAnsi="Times New Roman" w:cs="Times New Roman"/>
          <w:b/>
          <w:bCs/>
          <w:iCs/>
        </w:rPr>
        <w:t xml:space="preserve"> responses from </w:t>
      </w:r>
      <w:r w:rsidR="009B128E" w:rsidRPr="00E71220">
        <w:rPr>
          <w:rFonts w:ascii="Times New Roman" w:hAnsi="Times New Roman" w:cs="Times New Roman"/>
          <w:b/>
          <w:bCs/>
          <w:iCs/>
        </w:rPr>
        <w:t xml:space="preserve">genes associated with </w:t>
      </w:r>
      <w:r w:rsidR="00F36047" w:rsidRPr="00E71220">
        <w:rPr>
          <w:rFonts w:ascii="Times New Roman" w:hAnsi="Times New Roman" w:cs="Times New Roman"/>
          <w:b/>
          <w:bCs/>
          <w:iCs/>
        </w:rPr>
        <w:t>P</w:t>
      </w:r>
      <w:r w:rsidR="009B128E" w:rsidRPr="00E71220">
        <w:rPr>
          <w:rFonts w:ascii="Times New Roman" w:hAnsi="Times New Roman" w:cs="Times New Roman"/>
          <w:b/>
          <w:bCs/>
          <w:iCs/>
        </w:rPr>
        <w:t>, Fe,</w:t>
      </w:r>
      <w:r w:rsidR="00F36047" w:rsidRPr="00E71220">
        <w:rPr>
          <w:rFonts w:ascii="Times New Roman" w:hAnsi="Times New Roman" w:cs="Times New Roman"/>
          <w:b/>
          <w:bCs/>
          <w:iCs/>
        </w:rPr>
        <w:t xml:space="preserve"> and other stres</w:t>
      </w:r>
      <w:r w:rsidR="009B128E" w:rsidRPr="00E71220">
        <w:rPr>
          <w:rFonts w:ascii="Times New Roman" w:hAnsi="Times New Roman" w:cs="Times New Roman"/>
          <w:b/>
          <w:bCs/>
          <w:iCs/>
        </w:rPr>
        <w:t>ses</w:t>
      </w:r>
    </w:p>
    <w:p w14:paraId="287FBBB4" w14:textId="527C82B8" w:rsidR="001A650A" w:rsidRPr="00E71220" w:rsidRDefault="00BE1ACE" w:rsidP="001A650A">
      <w:pPr>
        <w:spacing w:line="480" w:lineRule="auto"/>
        <w:rPr>
          <w:rFonts w:ascii="Times New Roman" w:hAnsi="Times New Roman" w:cs="Times New Roman"/>
        </w:rPr>
      </w:pPr>
      <w:r w:rsidRPr="00E71220">
        <w:rPr>
          <w:rFonts w:ascii="Times New Roman" w:hAnsi="Times New Roman" w:cs="Times New Roman"/>
          <w:bCs/>
          <w:iCs/>
        </w:rPr>
        <w:tab/>
      </w:r>
      <w:r w:rsidR="006C72CE" w:rsidRPr="00E71220">
        <w:rPr>
          <w:rFonts w:ascii="Times New Roman" w:hAnsi="Times New Roman" w:cs="Times New Roman"/>
          <w:bCs/>
          <w:iCs/>
        </w:rPr>
        <w:t xml:space="preserve">For some </w:t>
      </w:r>
      <w:r w:rsidR="00581446" w:rsidRPr="00E71220">
        <w:rPr>
          <w:rFonts w:ascii="Times New Roman" w:hAnsi="Times New Roman" w:cs="Times New Roman"/>
          <w:bCs/>
          <w:i/>
          <w:iCs/>
        </w:rPr>
        <w:t>Synechococcus</w:t>
      </w:r>
      <w:r w:rsidR="006C72CE" w:rsidRPr="00E71220">
        <w:rPr>
          <w:rFonts w:ascii="Times New Roman" w:hAnsi="Times New Roman" w:cs="Times New Roman"/>
          <w:bCs/>
          <w:iCs/>
        </w:rPr>
        <w:t xml:space="preserve">, </w:t>
      </w:r>
      <w:r w:rsidR="00581446" w:rsidRPr="00E71220">
        <w:rPr>
          <w:rFonts w:ascii="Times New Roman" w:hAnsi="Times New Roman" w:cs="Times New Roman"/>
          <w:bCs/>
          <w:iCs/>
        </w:rPr>
        <w:t>increases</w:t>
      </w:r>
      <w:r w:rsidR="00965DF3" w:rsidRPr="00E71220">
        <w:rPr>
          <w:rFonts w:ascii="Times New Roman" w:hAnsi="Times New Roman" w:cs="Times New Roman"/>
          <w:bCs/>
          <w:iCs/>
        </w:rPr>
        <w:t xml:space="preserve"> in </w:t>
      </w:r>
      <w:r w:rsidR="00581446" w:rsidRPr="00E71220">
        <w:rPr>
          <w:rFonts w:ascii="Times New Roman" w:hAnsi="Times New Roman" w:cs="Times New Roman"/>
          <w:bCs/>
          <w:iCs/>
        </w:rPr>
        <w:t xml:space="preserve">available </w:t>
      </w:r>
      <w:r w:rsidR="00965DF3" w:rsidRPr="00E71220">
        <w:rPr>
          <w:rFonts w:ascii="Times New Roman" w:hAnsi="Times New Roman" w:cs="Times New Roman"/>
          <w:bCs/>
          <w:iCs/>
        </w:rPr>
        <w:t xml:space="preserve">Fe may have </w:t>
      </w:r>
      <w:r w:rsidR="00581446" w:rsidRPr="00E71220">
        <w:rPr>
          <w:rFonts w:ascii="Times New Roman" w:hAnsi="Times New Roman" w:cs="Times New Roman"/>
          <w:bCs/>
          <w:iCs/>
        </w:rPr>
        <w:t xml:space="preserve">resulted in transcription increases for </w:t>
      </w:r>
      <w:r w:rsidR="00965DF3" w:rsidRPr="00E71220">
        <w:rPr>
          <w:rFonts w:ascii="Times New Roman" w:hAnsi="Times New Roman" w:cs="Times New Roman"/>
          <w:bCs/>
          <w:iCs/>
        </w:rPr>
        <w:t xml:space="preserve">genes associated with </w:t>
      </w:r>
      <w:r w:rsidR="006C72CE" w:rsidRPr="00E71220">
        <w:rPr>
          <w:rFonts w:ascii="Times New Roman" w:hAnsi="Times New Roman" w:cs="Times New Roman"/>
          <w:bCs/>
          <w:iCs/>
        </w:rPr>
        <w:t>P</w:t>
      </w:r>
      <w:r w:rsidR="00965DF3" w:rsidRPr="00E71220">
        <w:rPr>
          <w:rFonts w:ascii="Times New Roman" w:hAnsi="Times New Roman" w:cs="Times New Roman"/>
          <w:bCs/>
          <w:iCs/>
        </w:rPr>
        <w:t xml:space="preserve"> stress</w:t>
      </w:r>
      <w:r w:rsidR="00CE5533" w:rsidRPr="00E71220">
        <w:rPr>
          <w:rFonts w:ascii="Times New Roman" w:hAnsi="Times New Roman" w:cs="Times New Roman"/>
          <w:bCs/>
          <w:iCs/>
        </w:rPr>
        <w:t>. T</w:t>
      </w:r>
      <w:r w:rsidR="00693CB4" w:rsidRPr="00E71220">
        <w:rPr>
          <w:rFonts w:ascii="Times New Roman" w:hAnsi="Times New Roman" w:cs="Times New Roman"/>
          <w:bCs/>
          <w:iCs/>
        </w:rPr>
        <w:t xml:space="preserve">he </w:t>
      </w:r>
      <w:r w:rsidR="00CB2C06" w:rsidRPr="00E71220">
        <w:rPr>
          <w:rFonts w:ascii="Times New Roman" w:hAnsi="Times New Roman" w:cs="Times New Roman"/>
          <w:bCs/>
          <w:iCs/>
        </w:rPr>
        <w:t>EGSEA analys</w:t>
      </w:r>
      <w:r w:rsidR="00693CB4" w:rsidRPr="00E71220">
        <w:rPr>
          <w:rFonts w:ascii="Times New Roman" w:hAnsi="Times New Roman" w:cs="Times New Roman"/>
          <w:bCs/>
          <w:iCs/>
        </w:rPr>
        <w:t>is</w:t>
      </w:r>
      <w:r w:rsidR="00CE5533" w:rsidRPr="00E71220">
        <w:rPr>
          <w:rFonts w:ascii="Times New Roman" w:hAnsi="Times New Roman" w:cs="Times New Roman"/>
          <w:bCs/>
          <w:iCs/>
        </w:rPr>
        <w:t xml:space="preserve"> showed overall transcript level increases for</w:t>
      </w:r>
      <w:r w:rsidR="00CB2C06" w:rsidRPr="00E71220">
        <w:rPr>
          <w:rFonts w:ascii="Times New Roman" w:hAnsi="Times New Roman" w:cs="Times New Roman"/>
          <w:bCs/>
          <w:iCs/>
        </w:rPr>
        <w:t xml:space="preserve"> </w:t>
      </w:r>
      <w:r w:rsidR="00581446" w:rsidRPr="00E71220">
        <w:rPr>
          <w:rFonts w:ascii="Times New Roman" w:hAnsi="Times New Roman" w:cs="Times New Roman"/>
          <w:bCs/>
          <w:iCs/>
        </w:rPr>
        <w:t>P stress gene</w:t>
      </w:r>
      <w:r w:rsidR="00CE5533" w:rsidRPr="00E71220">
        <w:rPr>
          <w:rFonts w:ascii="Times New Roman" w:hAnsi="Times New Roman" w:cs="Times New Roman"/>
          <w:bCs/>
          <w:iCs/>
        </w:rPr>
        <w:t>s</w:t>
      </w:r>
      <w:r w:rsidR="00581446" w:rsidRPr="00E71220">
        <w:rPr>
          <w:rFonts w:ascii="Times New Roman" w:hAnsi="Times New Roman" w:cs="Times New Roman"/>
          <w:bCs/>
          <w:iCs/>
        </w:rPr>
        <w:t xml:space="preserve"> </w:t>
      </w:r>
      <w:r w:rsidR="00965DF3" w:rsidRPr="00E71220">
        <w:rPr>
          <w:rFonts w:ascii="Times New Roman" w:hAnsi="Times New Roman" w:cs="Times New Roman"/>
        </w:rPr>
        <w:t xml:space="preserve">in response to the addition of Fe, </w:t>
      </w:r>
      <w:proofErr w:type="spellStart"/>
      <w:r w:rsidR="00965DF3" w:rsidRPr="00E71220">
        <w:rPr>
          <w:rFonts w:ascii="Times New Roman" w:hAnsi="Times New Roman" w:cs="Times New Roman"/>
        </w:rPr>
        <w:t>N+Fe</w:t>
      </w:r>
      <w:proofErr w:type="spellEnd"/>
      <w:r w:rsidR="00965DF3" w:rsidRPr="00E71220">
        <w:rPr>
          <w:rFonts w:ascii="Times New Roman" w:hAnsi="Times New Roman" w:cs="Times New Roman"/>
        </w:rPr>
        <w:t>, and FDW (</w:t>
      </w:r>
      <w:r w:rsidR="00581446" w:rsidRPr="00E71220">
        <w:rPr>
          <w:rFonts w:ascii="Times New Roman" w:hAnsi="Times New Roman" w:cs="Times New Roman"/>
        </w:rPr>
        <w:t>with</w:t>
      </w:r>
      <w:r w:rsidR="00FD44D8" w:rsidRPr="00E71220">
        <w:rPr>
          <w:rFonts w:ascii="Times New Roman" w:hAnsi="Times New Roman" w:cs="Times New Roman"/>
        </w:rPr>
        <w:t xml:space="preserve"> an unknown </w:t>
      </w:r>
      <w:r w:rsidR="00965DF3" w:rsidRPr="00E71220">
        <w:rPr>
          <w:rFonts w:ascii="Times New Roman" w:hAnsi="Times New Roman" w:cs="Times New Roman"/>
        </w:rPr>
        <w:t xml:space="preserve">concentration of Fe) but not in </w:t>
      </w:r>
      <w:r w:rsidR="00581446" w:rsidRPr="00E71220">
        <w:rPr>
          <w:rFonts w:ascii="Times New Roman" w:hAnsi="Times New Roman" w:cs="Times New Roman"/>
        </w:rPr>
        <w:t xml:space="preserve">response to </w:t>
      </w:r>
      <w:r w:rsidR="00965DF3" w:rsidRPr="00E71220">
        <w:rPr>
          <w:rFonts w:ascii="Times New Roman" w:hAnsi="Times New Roman" w:cs="Times New Roman"/>
        </w:rPr>
        <w:t xml:space="preserve">treatments </w:t>
      </w:r>
      <w:r w:rsidR="006C72CE" w:rsidRPr="00E71220">
        <w:rPr>
          <w:rFonts w:ascii="Times New Roman" w:hAnsi="Times New Roman" w:cs="Times New Roman"/>
        </w:rPr>
        <w:t>that added</w:t>
      </w:r>
      <w:r w:rsidR="00FD44D8" w:rsidRPr="00E71220">
        <w:rPr>
          <w:rFonts w:ascii="Times New Roman" w:hAnsi="Times New Roman" w:cs="Times New Roman"/>
        </w:rPr>
        <w:t xml:space="preserve"> only </w:t>
      </w:r>
      <w:r w:rsidR="00965DF3" w:rsidRPr="00E71220">
        <w:rPr>
          <w:rFonts w:ascii="Times New Roman" w:hAnsi="Times New Roman" w:cs="Times New Roman"/>
        </w:rPr>
        <w:t>N (Fig</w:t>
      </w:r>
      <w:r w:rsidR="00DF55FD" w:rsidRPr="00E71220">
        <w:rPr>
          <w:rFonts w:ascii="Times New Roman" w:hAnsi="Times New Roman" w:cs="Times New Roman"/>
        </w:rPr>
        <w:t xml:space="preserve"> 2</w:t>
      </w:r>
      <w:r w:rsidR="00B32895" w:rsidRPr="00E71220">
        <w:rPr>
          <w:rFonts w:ascii="Times New Roman" w:hAnsi="Times New Roman" w:cs="Times New Roman"/>
        </w:rPr>
        <w:t>B</w:t>
      </w:r>
      <w:r w:rsidR="00965DF3" w:rsidRPr="00E71220">
        <w:rPr>
          <w:rFonts w:ascii="Times New Roman" w:hAnsi="Times New Roman" w:cs="Times New Roman"/>
        </w:rPr>
        <w:t>).</w:t>
      </w:r>
      <w:r w:rsidR="008717A1" w:rsidRPr="00E71220">
        <w:rPr>
          <w:rFonts w:ascii="Times New Roman" w:hAnsi="Times New Roman" w:cs="Times New Roman"/>
        </w:rPr>
        <w:t xml:space="preserve"> </w:t>
      </w:r>
      <w:r w:rsidR="00A6576F" w:rsidRPr="00E71220">
        <w:rPr>
          <w:rFonts w:ascii="Times New Roman" w:hAnsi="Times New Roman" w:cs="Times New Roman"/>
        </w:rPr>
        <w:t xml:space="preserve">However, the single-gene DE analysis </w:t>
      </w:r>
      <w:r w:rsidR="00581446" w:rsidRPr="00E71220">
        <w:rPr>
          <w:rFonts w:ascii="Times New Roman" w:hAnsi="Times New Roman" w:cs="Times New Roman"/>
        </w:rPr>
        <w:t xml:space="preserve">revealed </w:t>
      </w:r>
      <w:r w:rsidR="00150C7C" w:rsidRPr="00E71220">
        <w:rPr>
          <w:rFonts w:ascii="Times New Roman" w:hAnsi="Times New Roman" w:cs="Times New Roman"/>
        </w:rPr>
        <w:t>strain- and gene-specific</w:t>
      </w:r>
      <w:r w:rsidR="00581446" w:rsidRPr="00E71220">
        <w:rPr>
          <w:rFonts w:ascii="Times New Roman" w:hAnsi="Times New Roman" w:cs="Times New Roman"/>
        </w:rPr>
        <w:t xml:space="preserve"> </w:t>
      </w:r>
      <w:r w:rsidR="00A6576F" w:rsidRPr="00E71220">
        <w:rPr>
          <w:rFonts w:ascii="Times New Roman" w:hAnsi="Times New Roman" w:cs="Times New Roman"/>
        </w:rPr>
        <w:t>responses (</w:t>
      </w:r>
      <w:r w:rsidR="00FC1D75" w:rsidRPr="00E71220">
        <w:rPr>
          <w:rFonts w:ascii="Times New Roman" w:hAnsi="Times New Roman" w:cs="Times New Roman"/>
        </w:rPr>
        <w:t>S</w:t>
      </w:r>
      <w:r w:rsidR="006B42C1" w:rsidRPr="00E71220">
        <w:rPr>
          <w:rFonts w:ascii="Times New Roman" w:hAnsi="Times New Roman" w:cs="Times New Roman"/>
        </w:rPr>
        <w:t>9</w:t>
      </w:r>
      <w:r w:rsidR="00FC1D75" w:rsidRPr="00E71220">
        <w:rPr>
          <w:rFonts w:ascii="Times New Roman" w:hAnsi="Times New Roman" w:cs="Times New Roman"/>
        </w:rPr>
        <w:t xml:space="preserve"> </w:t>
      </w:r>
      <w:r w:rsidR="00A6576F" w:rsidRPr="00E71220">
        <w:rPr>
          <w:rFonts w:ascii="Times New Roman" w:hAnsi="Times New Roman" w:cs="Times New Roman"/>
        </w:rPr>
        <w:t xml:space="preserve">Fig). For example, </w:t>
      </w:r>
      <w:r w:rsidR="00150C7C" w:rsidRPr="00E71220">
        <w:rPr>
          <w:rFonts w:ascii="Times New Roman" w:hAnsi="Times New Roman" w:cs="Times New Roman"/>
        </w:rPr>
        <w:t>in the NO</w:t>
      </w:r>
      <w:r w:rsidR="00150C7C" w:rsidRPr="00E71220">
        <w:rPr>
          <w:rFonts w:ascii="Times New Roman" w:hAnsi="Times New Roman" w:cs="Times New Roman"/>
          <w:vertAlign w:val="subscript"/>
        </w:rPr>
        <w:t>3</w:t>
      </w:r>
      <w:r w:rsidR="00150C7C" w:rsidRPr="00E71220">
        <w:rPr>
          <w:rFonts w:ascii="Times New Roman" w:hAnsi="Times New Roman" w:cs="Times New Roman"/>
          <w:vertAlign w:val="superscript"/>
        </w:rPr>
        <w:t>-</w:t>
      </w:r>
      <w:r w:rsidR="00150C7C" w:rsidRPr="00E71220">
        <w:rPr>
          <w:rFonts w:ascii="Times New Roman" w:hAnsi="Times New Roman" w:cs="Times New Roman"/>
        </w:rPr>
        <w:t xml:space="preserve"> treatment, </w:t>
      </w:r>
      <w:proofErr w:type="spellStart"/>
      <w:r w:rsidR="00A6576F" w:rsidRPr="00E71220">
        <w:rPr>
          <w:rFonts w:ascii="Times New Roman" w:hAnsi="Times New Roman" w:cs="Times New Roman"/>
          <w:i/>
          <w:iCs/>
        </w:rPr>
        <w:t>psiP</w:t>
      </w:r>
      <w:proofErr w:type="spellEnd"/>
      <w:r w:rsidR="00A6576F" w:rsidRPr="00E71220">
        <w:rPr>
          <w:rFonts w:ascii="Times New Roman" w:hAnsi="Times New Roman" w:cs="Times New Roman"/>
        </w:rPr>
        <w:t xml:space="preserve"> (P-stress inducible protein) transcripts increased</w:t>
      </w:r>
      <w:r w:rsidR="00150C7C" w:rsidRPr="00E71220">
        <w:rPr>
          <w:rFonts w:ascii="Times New Roman" w:hAnsi="Times New Roman" w:cs="Times New Roman"/>
        </w:rPr>
        <w:t xml:space="preserve"> for strain WH8102 (clade III), but phosphate transporters (</w:t>
      </w:r>
      <w:r w:rsidR="00150C7C" w:rsidRPr="00E71220">
        <w:rPr>
          <w:rFonts w:ascii="Times New Roman" w:hAnsi="Times New Roman" w:cs="Times New Roman"/>
          <w:i/>
          <w:iCs/>
        </w:rPr>
        <w:t>pstS</w:t>
      </w:r>
      <w:r w:rsidR="00150C7C" w:rsidRPr="00E71220">
        <w:rPr>
          <w:rFonts w:ascii="Times New Roman" w:hAnsi="Times New Roman" w:cs="Times New Roman"/>
        </w:rPr>
        <w:t xml:space="preserve">) decreased for the dominant strain CC9902 and for RS9916. </w:t>
      </w:r>
      <w:r w:rsidR="00213C65" w:rsidRPr="00E71220">
        <w:rPr>
          <w:rFonts w:ascii="Times New Roman" w:hAnsi="Times New Roman" w:cs="Times New Roman"/>
        </w:rPr>
        <w:t xml:space="preserve">In the FDW treatment as well, WH8102 and RS9916 had opposite responses for, respectively, </w:t>
      </w:r>
      <w:proofErr w:type="spellStart"/>
      <w:r w:rsidR="00213C65" w:rsidRPr="00E71220">
        <w:rPr>
          <w:rFonts w:ascii="Times New Roman" w:hAnsi="Times New Roman" w:cs="Times New Roman"/>
          <w:i/>
        </w:rPr>
        <w:t>psiP</w:t>
      </w:r>
      <w:proofErr w:type="spellEnd"/>
      <w:r w:rsidR="00213C65" w:rsidRPr="00E71220">
        <w:rPr>
          <w:rFonts w:ascii="Times New Roman" w:hAnsi="Times New Roman" w:cs="Times New Roman"/>
        </w:rPr>
        <w:t xml:space="preserve"> (increased) and </w:t>
      </w:r>
      <w:proofErr w:type="spellStart"/>
      <w:r w:rsidR="00213C65" w:rsidRPr="00E71220">
        <w:rPr>
          <w:rFonts w:ascii="Times New Roman" w:hAnsi="Times New Roman" w:cs="Times New Roman"/>
          <w:i/>
        </w:rPr>
        <w:t>pstS</w:t>
      </w:r>
      <w:proofErr w:type="spellEnd"/>
      <w:r w:rsidR="00213C65" w:rsidRPr="00E71220">
        <w:rPr>
          <w:rFonts w:ascii="Times New Roman" w:hAnsi="Times New Roman" w:cs="Times New Roman"/>
        </w:rPr>
        <w:t xml:space="preserve"> (decreased).</w:t>
      </w:r>
    </w:p>
    <w:p w14:paraId="558D3DC3" w14:textId="1421C0D9" w:rsidR="001A650A" w:rsidRPr="00E71220" w:rsidRDefault="001A650A" w:rsidP="001A650A">
      <w:pPr>
        <w:spacing w:line="480" w:lineRule="auto"/>
        <w:rPr>
          <w:rFonts w:ascii="Times New Roman" w:hAnsi="Times New Roman" w:cs="Times New Roman"/>
        </w:rPr>
      </w:pPr>
      <w:r w:rsidRPr="00E71220">
        <w:rPr>
          <w:rFonts w:ascii="Times New Roman" w:hAnsi="Times New Roman" w:cs="Times New Roman"/>
        </w:rPr>
        <w:tab/>
      </w:r>
      <w:r w:rsidRPr="00E71220">
        <w:rPr>
          <w:rFonts w:ascii="Times New Roman" w:hAnsi="Times New Roman" w:cs="Times New Roman"/>
          <w:i/>
          <w:iCs/>
        </w:rPr>
        <w:t>Synechococcus</w:t>
      </w:r>
      <w:r w:rsidR="00F82882" w:rsidRPr="00E71220">
        <w:rPr>
          <w:rFonts w:ascii="Times New Roman" w:hAnsi="Times New Roman" w:cs="Times New Roman"/>
        </w:rPr>
        <w:t xml:space="preserve"> </w:t>
      </w:r>
      <w:r w:rsidRPr="00E71220">
        <w:rPr>
          <w:rFonts w:ascii="Times New Roman" w:hAnsi="Times New Roman" w:cs="Times New Roman"/>
        </w:rPr>
        <w:t xml:space="preserve">genes that are usually elevated during Fe limitation increased in response to FDW and </w:t>
      </w:r>
      <w:proofErr w:type="spellStart"/>
      <w:r w:rsidRPr="00E71220">
        <w:rPr>
          <w:rFonts w:ascii="Times New Roman" w:hAnsi="Times New Roman" w:cs="Times New Roman"/>
        </w:rPr>
        <w:t>N+Fe</w:t>
      </w:r>
      <w:proofErr w:type="spellEnd"/>
      <w:r w:rsidRPr="00E71220">
        <w:rPr>
          <w:rFonts w:ascii="Times New Roman" w:hAnsi="Times New Roman" w:cs="Times New Roman"/>
        </w:rPr>
        <w:t xml:space="preserve"> (Fig</w:t>
      </w:r>
      <w:r w:rsidR="00A2235D" w:rsidRPr="00E71220">
        <w:rPr>
          <w:rFonts w:ascii="Times New Roman" w:hAnsi="Times New Roman" w:cs="Times New Roman"/>
        </w:rPr>
        <w:t xml:space="preserve"> 2</w:t>
      </w:r>
      <w:r w:rsidR="00B32895" w:rsidRPr="00E71220">
        <w:rPr>
          <w:rFonts w:ascii="Times New Roman" w:hAnsi="Times New Roman" w:cs="Times New Roman"/>
        </w:rPr>
        <w:t>B</w:t>
      </w:r>
      <w:r w:rsidRPr="00E71220">
        <w:rPr>
          <w:rFonts w:ascii="Times New Roman" w:hAnsi="Times New Roman" w:cs="Times New Roman"/>
        </w:rPr>
        <w:t>)</w:t>
      </w:r>
      <w:r w:rsidR="007705C4" w:rsidRPr="00E71220">
        <w:rPr>
          <w:rFonts w:ascii="Times New Roman" w:hAnsi="Times New Roman" w:cs="Times New Roman"/>
        </w:rPr>
        <w:t>, but once</w:t>
      </w:r>
      <w:r w:rsidR="00F82882" w:rsidRPr="00E71220">
        <w:rPr>
          <w:rFonts w:ascii="Times New Roman" w:hAnsi="Times New Roman" w:cs="Times New Roman"/>
        </w:rPr>
        <w:t xml:space="preserve"> again, </w:t>
      </w:r>
      <w:r w:rsidRPr="00E71220">
        <w:rPr>
          <w:rFonts w:ascii="Times New Roman" w:hAnsi="Times New Roman" w:cs="Times New Roman"/>
        </w:rPr>
        <w:t>responses differed among strains a</w:t>
      </w:r>
      <w:r w:rsidR="00F82882" w:rsidRPr="00E71220">
        <w:rPr>
          <w:rFonts w:ascii="Times New Roman" w:hAnsi="Times New Roman" w:cs="Times New Roman"/>
        </w:rPr>
        <w:t>nd genes</w:t>
      </w:r>
      <w:r w:rsidR="004349EF" w:rsidRPr="00E71220">
        <w:rPr>
          <w:rFonts w:ascii="Times New Roman" w:hAnsi="Times New Roman" w:cs="Times New Roman"/>
        </w:rPr>
        <w:t xml:space="preserve"> </w:t>
      </w:r>
      <w:r w:rsidRPr="00E71220">
        <w:rPr>
          <w:rFonts w:ascii="Times New Roman" w:hAnsi="Times New Roman" w:cs="Times New Roman"/>
        </w:rPr>
        <w:t>(</w:t>
      </w:r>
      <w:r w:rsidR="004349EF" w:rsidRPr="00E71220">
        <w:rPr>
          <w:rFonts w:ascii="Times New Roman" w:hAnsi="Times New Roman" w:cs="Times New Roman"/>
        </w:rPr>
        <w:t>S</w:t>
      </w:r>
      <w:r w:rsidR="00C66602">
        <w:rPr>
          <w:rFonts w:ascii="Times New Roman" w:hAnsi="Times New Roman" w:cs="Times New Roman"/>
        </w:rPr>
        <w:t>5</w:t>
      </w:r>
      <w:r w:rsidR="004349EF" w:rsidRPr="00E71220">
        <w:rPr>
          <w:rFonts w:ascii="Times New Roman" w:hAnsi="Times New Roman" w:cs="Times New Roman"/>
        </w:rPr>
        <w:t xml:space="preserve"> </w:t>
      </w:r>
      <w:r w:rsidRPr="00E71220">
        <w:rPr>
          <w:rFonts w:ascii="Times New Roman" w:hAnsi="Times New Roman" w:cs="Times New Roman"/>
        </w:rPr>
        <w:t xml:space="preserve">Fig). In response to FDW, </w:t>
      </w:r>
      <w:r w:rsidR="007705C4" w:rsidRPr="00E71220">
        <w:rPr>
          <w:rFonts w:ascii="Times New Roman" w:hAnsi="Times New Roman" w:cs="Times New Roman"/>
        </w:rPr>
        <w:t xml:space="preserve">strain-specific </w:t>
      </w:r>
      <w:r w:rsidRPr="00E71220">
        <w:rPr>
          <w:rFonts w:ascii="Times New Roman" w:hAnsi="Times New Roman" w:cs="Times New Roman"/>
        </w:rPr>
        <w:t>EGSEA analys</w:t>
      </w:r>
      <w:r w:rsidR="00BC57BB" w:rsidRPr="00E71220">
        <w:rPr>
          <w:rFonts w:ascii="Times New Roman" w:hAnsi="Times New Roman" w:cs="Times New Roman"/>
        </w:rPr>
        <w:t>e</w:t>
      </w:r>
      <w:r w:rsidRPr="00E71220">
        <w:rPr>
          <w:rFonts w:ascii="Times New Roman" w:hAnsi="Times New Roman" w:cs="Times New Roman"/>
        </w:rPr>
        <w:t>s found that transcript</w:t>
      </w:r>
      <w:r w:rsidR="00BC57BB" w:rsidRPr="00E71220">
        <w:rPr>
          <w:rFonts w:ascii="Times New Roman" w:hAnsi="Times New Roman" w:cs="Times New Roman"/>
        </w:rPr>
        <w:t xml:space="preserve"> level</w:t>
      </w:r>
      <w:r w:rsidRPr="00E71220">
        <w:rPr>
          <w:rFonts w:ascii="Times New Roman" w:hAnsi="Times New Roman" w:cs="Times New Roman"/>
        </w:rPr>
        <w:t>s from Fe stress genes increased &gt;1.2× on average for strains CC9311 (</w:t>
      </w:r>
      <w:proofErr w:type="spellStart"/>
      <w:r w:rsidRPr="00E71220">
        <w:rPr>
          <w:rFonts w:ascii="Times New Roman" w:hAnsi="Times New Roman" w:cs="Times New Roman"/>
          <w:i/>
          <w:iCs/>
        </w:rPr>
        <w:t>dpsA</w:t>
      </w:r>
      <w:proofErr w:type="spellEnd"/>
      <w:r w:rsidRPr="00E71220">
        <w:rPr>
          <w:rFonts w:ascii="Times New Roman" w:hAnsi="Times New Roman" w:cs="Times New Roman"/>
        </w:rPr>
        <w:t xml:space="preserve"> was DE), RCC307, WH7803, and CC9902. However, for CC9902 one </w:t>
      </w:r>
      <w:r w:rsidRPr="00E71220">
        <w:rPr>
          <w:rFonts w:ascii="Times New Roman" w:hAnsi="Times New Roman" w:cs="Times New Roman"/>
          <w:i/>
          <w:iCs/>
        </w:rPr>
        <w:t>fur</w:t>
      </w:r>
      <w:r w:rsidRPr="00E71220">
        <w:rPr>
          <w:rFonts w:ascii="Times New Roman" w:hAnsi="Times New Roman" w:cs="Times New Roman"/>
        </w:rPr>
        <w:t xml:space="preserve"> target decreased DE in response to FDW</w:t>
      </w:r>
      <w:r w:rsidR="00BC57BB" w:rsidRPr="00E71220">
        <w:rPr>
          <w:rFonts w:ascii="Times New Roman" w:hAnsi="Times New Roman" w:cs="Times New Roman"/>
        </w:rPr>
        <w:t xml:space="preserve"> (S</w:t>
      </w:r>
      <w:r w:rsidR="00C66602">
        <w:rPr>
          <w:rFonts w:ascii="Times New Roman" w:hAnsi="Times New Roman" w:cs="Times New Roman"/>
        </w:rPr>
        <w:t>5</w:t>
      </w:r>
      <w:r w:rsidR="00BC57BB" w:rsidRPr="00E71220">
        <w:rPr>
          <w:rFonts w:ascii="Times New Roman" w:hAnsi="Times New Roman" w:cs="Times New Roman"/>
        </w:rPr>
        <w:t xml:space="preserve"> Fig)</w:t>
      </w:r>
      <w:r w:rsidRPr="00E71220">
        <w:rPr>
          <w:rFonts w:ascii="Times New Roman" w:hAnsi="Times New Roman" w:cs="Times New Roman"/>
        </w:rPr>
        <w:t>. This same target also decreased DE in response to NO</w:t>
      </w:r>
      <w:r w:rsidRPr="00E71220">
        <w:rPr>
          <w:rFonts w:ascii="Times New Roman" w:hAnsi="Times New Roman" w:cs="Times New Roman"/>
          <w:vertAlign w:val="subscript"/>
        </w:rPr>
        <w:t>3</w:t>
      </w:r>
      <w:r w:rsidRPr="00E71220">
        <w:rPr>
          <w:rFonts w:ascii="Times New Roman" w:hAnsi="Times New Roman" w:cs="Times New Roman"/>
          <w:vertAlign w:val="superscript"/>
        </w:rPr>
        <w:t>-</w:t>
      </w:r>
      <w:r w:rsidRPr="00E71220">
        <w:rPr>
          <w:rFonts w:ascii="Times New Roman" w:hAnsi="Times New Roman" w:cs="Times New Roman"/>
        </w:rPr>
        <w:t xml:space="preserve">, along with a third </w:t>
      </w:r>
      <w:r w:rsidRPr="00E71220">
        <w:rPr>
          <w:rFonts w:ascii="Times New Roman" w:hAnsi="Times New Roman" w:cs="Times New Roman"/>
          <w:i/>
          <w:iCs/>
        </w:rPr>
        <w:t>fur</w:t>
      </w:r>
      <w:r w:rsidRPr="00E71220">
        <w:rPr>
          <w:rFonts w:ascii="Times New Roman" w:hAnsi="Times New Roman" w:cs="Times New Roman"/>
        </w:rPr>
        <w:t xml:space="preserve"> target. Finally, </w:t>
      </w:r>
      <w:r w:rsidR="00BC57BB" w:rsidRPr="00E71220">
        <w:rPr>
          <w:rFonts w:ascii="Times New Roman" w:hAnsi="Times New Roman" w:cs="Times New Roman"/>
        </w:rPr>
        <w:lastRenderedPageBreak/>
        <w:t xml:space="preserve">EGSEA showed transcript level </w:t>
      </w:r>
      <w:r w:rsidRPr="00E71220">
        <w:rPr>
          <w:rFonts w:ascii="Times New Roman" w:hAnsi="Times New Roman" w:cs="Times New Roman"/>
        </w:rPr>
        <w:t xml:space="preserve">increases from RCC307 iron stress genes in response to treatments with Fe (alone or </w:t>
      </w:r>
      <w:proofErr w:type="spellStart"/>
      <w:r w:rsidRPr="00E71220">
        <w:rPr>
          <w:rFonts w:ascii="Times New Roman" w:hAnsi="Times New Roman" w:cs="Times New Roman"/>
        </w:rPr>
        <w:t>N+Fe</w:t>
      </w:r>
      <w:proofErr w:type="spellEnd"/>
      <w:r w:rsidRPr="00E71220">
        <w:rPr>
          <w:rFonts w:ascii="Times New Roman" w:hAnsi="Times New Roman" w:cs="Times New Roman"/>
        </w:rPr>
        <w:t>).</w:t>
      </w:r>
    </w:p>
    <w:p w14:paraId="4FD52EB0" w14:textId="0A4E5599" w:rsidR="00963B3B" w:rsidRPr="00E71220" w:rsidRDefault="001A650A" w:rsidP="001A650A">
      <w:pPr>
        <w:spacing w:line="480" w:lineRule="auto"/>
        <w:rPr>
          <w:rFonts w:ascii="Times New Roman" w:hAnsi="Times New Roman" w:cs="Times New Roman"/>
        </w:rPr>
      </w:pPr>
      <w:r w:rsidRPr="00E71220">
        <w:rPr>
          <w:rFonts w:ascii="Times New Roman" w:hAnsi="Times New Roman" w:cs="Times New Roman"/>
        </w:rPr>
        <w:tab/>
      </w:r>
      <w:r w:rsidR="008A3173" w:rsidRPr="00E71220">
        <w:rPr>
          <w:rFonts w:ascii="Times New Roman" w:hAnsi="Times New Roman" w:cs="Times New Roman"/>
        </w:rPr>
        <w:t xml:space="preserve">As with HL </w:t>
      </w:r>
      <w:r w:rsidR="008A3173" w:rsidRPr="00E71220">
        <w:rPr>
          <w:rFonts w:ascii="Times New Roman" w:hAnsi="Times New Roman" w:cs="Times New Roman"/>
          <w:i/>
        </w:rPr>
        <w:t>Prochlorococcus</w:t>
      </w:r>
      <w:r w:rsidR="008A3173" w:rsidRPr="00E71220">
        <w:rPr>
          <w:rFonts w:ascii="Times New Roman" w:hAnsi="Times New Roman" w:cs="Times New Roman"/>
        </w:rPr>
        <w:t xml:space="preserve">, the </w:t>
      </w:r>
      <w:r w:rsidR="004E16F8" w:rsidRPr="00E71220">
        <w:rPr>
          <w:rFonts w:ascii="Times New Roman" w:hAnsi="Times New Roman" w:cs="Times New Roman"/>
        </w:rPr>
        <w:t xml:space="preserve">addition of </w:t>
      </w:r>
      <w:proofErr w:type="spellStart"/>
      <w:r w:rsidR="004E16F8" w:rsidRPr="00E71220">
        <w:rPr>
          <w:rFonts w:ascii="Times New Roman" w:hAnsi="Times New Roman" w:cs="Times New Roman"/>
        </w:rPr>
        <w:t>N+Fe</w:t>
      </w:r>
      <w:proofErr w:type="spellEnd"/>
      <w:r w:rsidR="004E16F8" w:rsidRPr="00E71220">
        <w:rPr>
          <w:rFonts w:ascii="Times New Roman" w:hAnsi="Times New Roman" w:cs="Times New Roman"/>
        </w:rPr>
        <w:t xml:space="preserve"> led to </w:t>
      </w:r>
      <w:r w:rsidR="002E332D" w:rsidRPr="00E71220">
        <w:rPr>
          <w:rFonts w:ascii="Times New Roman" w:hAnsi="Times New Roman" w:cs="Times New Roman"/>
        </w:rPr>
        <w:t xml:space="preserve">overall </w:t>
      </w:r>
      <w:r w:rsidR="004E16F8" w:rsidRPr="00E71220">
        <w:rPr>
          <w:rFonts w:ascii="Times New Roman" w:hAnsi="Times New Roman" w:cs="Times New Roman"/>
        </w:rPr>
        <w:t xml:space="preserve">transcript level increases for </w:t>
      </w:r>
      <w:r w:rsidR="00DD067C" w:rsidRPr="00E71220">
        <w:rPr>
          <w:rFonts w:ascii="Times New Roman" w:hAnsi="Times New Roman" w:cs="Times New Roman"/>
          <w:i/>
          <w:iCs/>
        </w:rPr>
        <w:t>Synechococcus</w:t>
      </w:r>
      <w:r w:rsidR="00DD067C" w:rsidRPr="00E71220">
        <w:rPr>
          <w:rFonts w:ascii="Times New Roman" w:hAnsi="Times New Roman" w:cs="Times New Roman"/>
        </w:rPr>
        <w:t xml:space="preserve"> genes associated with light stress (or associated </w:t>
      </w:r>
      <w:r w:rsidR="004E16F8" w:rsidRPr="00E71220">
        <w:rPr>
          <w:rFonts w:ascii="Times New Roman" w:hAnsi="Times New Roman" w:cs="Times New Roman"/>
        </w:rPr>
        <w:t>DNA repair</w:t>
      </w:r>
      <w:r w:rsidR="00DD067C" w:rsidRPr="00E71220">
        <w:rPr>
          <w:rFonts w:ascii="Times New Roman" w:hAnsi="Times New Roman" w:cs="Times New Roman"/>
        </w:rPr>
        <w:t xml:space="preserve"> genes; </w:t>
      </w:r>
      <w:proofErr w:type="spellStart"/>
      <w:r w:rsidR="00DD067C" w:rsidRPr="00E71220">
        <w:rPr>
          <w:rFonts w:ascii="Times New Roman" w:hAnsi="Times New Roman" w:cs="Times New Roman"/>
          <w:i/>
        </w:rPr>
        <w:t>phrB</w:t>
      </w:r>
      <w:proofErr w:type="spellEnd"/>
      <w:r w:rsidR="00DD067C" w:rsidRPr="00E71220">
        <w:rPr>
          <w:rFonts w:ascii="Times New Roman" w:hAnsi="Times New Roman" w:cs="Times New Roman"/>
        </w:rPr>
        <w:t xml:space="preserve">, </w:t>
      </w:r>
      <w:proofErr w:type="spellStart"/>
      <w:r w:rsidR="00DD067C" w:rsidRPr="00E71220">
        <w:rPr>
          <w:rFonts w:ascii="Times New Roman" w:hAnsi="Times New Roman" w:cs="Times New Roman"/>
          <w:i/>
        </w:rPr>
        <w:t>nudix</w:t>
      </w:r>
      <w:proofErr w:type="spellEnd"/>
      <w:r w:rsidR="00DD067C" w:rsidRPr="00E71220">
        <w:rPr>
          <w:rFonts w:ascii="Times New Roman" w:hAnsi="Times New Roman" w:cs="Times New Roman"/>
        </w:rPr>
        <w:t xml:space="preserve">, and </w:t>
      </w:r>
      <w:r w:rsidR="00DD067C" w:rsidRPr="00E71220">
        <w:rPr>
          <w:rFonts w:ascii="Times New Roman" w:hAnsi="Times New Roman" w:cs="Times New Roman"/>
          <w:i/>
        </w:rPr>
        <w:t>pmm1359</w:t>
      </w:r>
      <w:r w:rsidR="008A3173" w:rsidRPr="00E71220">
        <w:rPr>
          <w:rFonts w:ascii="Times New Roman" w:hAnsi="Times New Roman" w:cs="Times New Roman"/>
        </w:rPr>
        <w:t xml:space="preserve"> in the EGSEA “light stress” gene set</w:t>
      </w:r>
      <w:r w:rsidR="00DD067C" w:rsidRPr="00E71220">
        <w:rPr>
          <w:rFonts w:ascii="Times New Roman" w:hAnsi="Times New Roman" w:cs="Times New Roman"/>
        </w:rPr>
        <w:t>)</w:t>
      </w:r>
      <w:r w:rsidR="00F574E2" w:rsidRPr="00E71220">
        <w:rPr>
          <w:rFonts w:ascii="Times New Roman" w:hAnsi="Times New Roman" w:cs="Times New Roman"/>
        </w:rPr>
        <w:t>.</w:t>
      </w:r>
    </w:p>
    <w:p w14:paraId="14267AEB" w14:textId="77777777" w:rsidR="001772B7" w:rsidRPr="00E71220" w:rsidRDefault="001772B7" w:rsidP="001A650A">
      <w:pPr>
        <w:spacing w:line="480" w:lineRule="auto"/>
        <w:rPr>
          <w:rFonts w:ascii="Times New Roman" w:hAnsi="Times New Roman" w:cs="Times New Roman"/>
          <w:b/>
          <w:iCs/>
        </w:rPr>
      </w:pPr>
    </w:p>
    <w:p w14:paraId="2F320280" w14:textId="11736CED" w:rsidR="00963B3B" w:rsidRPr="00E71220" w:rsidRDefault="00051231" w:rsidP="001A650A">
      <w:pPr>
        <w:spacing w:line="480" w:lineRule="auto"/>
        <w:rPr>
          <w:rFonts w:ascii="Times New Roman" w:hAnsi="Times New Roman" w:cs="Times New Roman"/>
          <w:b/>
          <w:iCs/>
        </w:rPr>
      </w:pPr>
      <w:r w:rsidRPr="00E71220">
        <w:rPr>
          <w:rFonts w:ascii="Times New Roman" w:hAnsi="Times New Roman" w:cs="Times New Roman"/>
          <w:b/>
          <w:iCs/>
        </w:rPr>
        <w:t>Correlated t</w:t>
      </w:r>
      <w:r w:rsidR="00963B3B" w:rsidRPr="00E71220">
        <w:rPr>
          <w:rFonts w:ascii="Times New Roman" w:hAnsi="Times New Roman" w:cs="Times New Roman"/>
          <w:b/>
          <w:iCs/>
        </w:rPr>
        <w:t>ranscription of picocyanobacteria urea uptake genes</w:t>
      </w:r>
    </w:p>
    <w:p w14:paraId="3A737855" w14:textId="22C3A156" w:rsidR="00963B3B" w:rsidRPr="00E71220" w:rsidRDefault="00963B3B" w:rsidP="001A650A">
      <w:pPr>
        <w:spacing w:line="480" w:lineRule="auto"/>
        <w:rPr>
          <w:rFonts w:ascii="Times New Roman" w:hAnsi="Times New Roman" w:cs="Times New Roman"/>
        </w:rPr>
      </w:pPr>
      <w:r w:rsidRPr="00E71220">
        <w:rPr>
          <w:rFonts w:ascii="Times New Roman" w:hAnsi="Times New Roman" w:cs="Times New Roman"/>
        </w:rPr>
        <w:tab/>
        <w:t xml:space="preserve">The </w:t>
      </w:r>
      <w:r w:rsidR="008E2FBF" w:rsidRPr="00E71220">
        <w:rPr>
          <w:rFonts w:ascii="Times New Roman" w:hAnsi="Times New Roman" w:cs="Times New Roman"/>
        </w:rPr>
        <w:t>weighted c</w:t>
      </w:r>
      <w:r w:rsidRPr="00E71220">
        <w:rPr>
          <w:rFonts w:ascii="Times New Roman" w:hAnsi="Times New Roman" w:cs="Times New Roman"/>
        </w:rPr>
        <w:t xml:space="preserve">orrelation </w:t>
      </w:r>
      <w:r w:rsidR="008E2FBF" w:rsidRPr="00E71220">
        <w:rPr>
          <w:rFonts w:ascii="Times New Roman" w:hAnsi="Times New Roman" w:cs="Times New Roman"/>
        </w:rPr>
        <w:t>n</w:t>
      </w:r>
      <w:r w:rsidRPr="00E71220">
        <w:rPr>
          <w:rFonts w:ascii="Times New Roman" w:hAnsi="Times New Roman" w:cs="Times New Roman"/>
        </w:rPr>
        <w:t xml:space="preserve">etwork </w:t>
      </w:r>
      <w:r w:rsidR="008E2FBF" w:rsidRPr="00E71220">
        <w:rPr>
          <w:rFonts w:ascii="Times New Roman" w:hAnsi="Times New Roman" w:cs="Times New Roman"/>
        </w:rPr>
        <w:t>a</w:t>
      </w:r>
      <w:r w:rsidRPr="00E71220">
        <w:rPr>
          <w:rFonts w:ascii="Times New Roman" w:hAnsi="Times New Roman" w:cs="Times New Roman"/>
        </w:rPr>
        <w:t xml:space="preserve">nalysis (WGCNA) assigned most </w:t>
      </w:r>
      <w:r w:rsidR="00051231" w:rsidRPr="00E71220">
        <w:rPr>
          <w:rFonts w:ascii="Times New Roman" w:hAnsi="Times New Roman" w:cs="Times New Roman"/>
        </w:rPr>
        <w:t xml:space="preserve">(75%) </w:t>
      </w:r>
      <w:proofErr w:type="spellStart"/>
      <w:r w:rsidRPr="00E71220">
        <w:rPr>
          <w:rFonts w:ascii="Times New Roman" w:hAnsi="Times New Roman" w:cs="Times New Roman"/>
        </w:rPr>
        <w:t>picocyanobacteria</w:t>
      </w:r>
      <w:proofErr w:type="spellEnd"/>
      <w:r w:rsidRPr="00E71220">
        <w:rPr>
          <w:rFonts w:ascii="Times New Roman" w:hAnsi="Times New Roman" w:cs="Times New Roman"/>
        </w:rPr>
        <w:t xml:space="preserve"> </w:t>
      </w:r>
      <w:proofErr w:type="spellStart"/>
      <w:r w:rsidRPr="00E71220">
        <w:rPr>
          <w:rFonts w:ascii="Times New Roman" w:hAnsi="Times New Roman" w:cs="Times New Roman"/>
          <w:i/>
        </w:rPr>
        <w:t>urtA</w:t>
      </w:r>
      <w:proofErr w:type="spellEnd"/>
      <w:r w:rsidRPr="00E71220">
        <w:rPr>
          <w:rFonts w:ascii="Times New Roman" w:hAnsi="Times New Roman" w:cs="Times New Roman"/>
        </w:rPr>
        <w:t xml:space="preserve"> genes to the same module indicating significantly correlated transcript levels</w:t>
      </w:r>
      <w:r w:rsidR="00051231" w:rsidRPr="00E71220">
        <w:rPr>
          <w:rFonts w:ascii="Times New Roman" w:hAnsi="Times New Roman" w:cs="Times New Roman"/>
        </w:rPr>
        <w:t xml:space="preserve"> across the samples</w:t>
      </w:r>
      <w:r w:rsidRPr="00E71220">
        <w:rPr>
          <w:rFonts w:ascii="Times New Roman" w:hAnsi="Times New Roman" w:cs="Times New Roman"/>
        </w:rPr>
        <w:t xml:space="preserve">. WGCNA module M10 was comprised almost exclusively of </w:t>
      </w:r>
      <w:proofErr w:type="spellStart"/>
      <w:r w:rsidRPr="00E71220">
        <w:rPr>
          <w:rFonts w:ascii="Times New Roman" w:hAnsi="Times New Roman" w:cs="Times New Roman"/>
        </w:rPr>
        <w:t>picocyanobacteria</w:t>
      </w:r>
      <w:proofErr w:type="spellEnd"/>
      <w:r w:rsidRPr="00E71220">
        <w:rPr>
          <w:rFonts w:ascii="Times New Roman" w:hAnsi="Times New Roman" w:cs="Times New Roman"/>
        </w:rPr>
        <w:t xml:space="preserve"> </w:t>
      </w:r>
      <w:proofErr w:type="spellStart"/>
      <w:r w:rsidRPr="00E71220">
        <w:rPr>
          <w:rFonts w:ascii="Times New Roman" w:hAnsi="Times New Roman" w:cs="Times New Roman"/>
          <w:i/>
          <w:iCs/>
        </w:rPr>
        <w:t>urtA</w:t>
      </w:r>
      <w:proofErr w:type="spellEnd"/>
      <w:r w:rsidRPr="00E71220">
        <w:rPr>
          <w:rFonts w:ascii="Times New Roman" w:hAnsi="Times New Roman" w:cs="Times New Roman"/>
        </w:rPr>
        <w:t xml:space="preserve"> genes (118 of 140 genes in M10; </w:t>
      </w:r>
      <w:r w:rsidR="001A0404" w:rsidRPr="00E71220">
        <w:rPr>
          <w:rFonts w:ascii="Times New Roman" w:hAnsi="Times New Roman" w:cs="Times New Roman"/>
        </w:rPr>
        <w:t>S</w:t>
      </w:r>
      <w:r w:rsidR="009347DB" w:rsidRPr="00E71220">
        <w:rPr>
          <w:rFonts w:ascii="Times New Roman" w:hAnsi="Times New Roman" w:cs="Times New Roman"/>
        </w:rPr>
        <w:t>1</w:t>
      </w:r>
      <w:r w:rsidR="001A0404" w:rsidRPr="00E71220">
        <w:rPr>
          <w:rFonts w:ascii="Times New Roman" w:hAnsi="Times New Roman" w:cs="Times New Roman"/>
        </w:rPr>
        <w:t xml:space="preserve"> </w:t>
      </w:r>
      <w:r w:rsidRPr="00E71220">
        <w:rPr>
          <w:rFonts w:ascii="Times New Roman" w:hAnsi="Times New Roman" w:cs="Times New Roman"/>
        </w:rPr>
        <w:t>Tab</w:t>
      </w:r>
      <w:r w:rsidR="001A0404" w:rsidRPr="00E71220">
        <w:rPr>
          <w:rFonts w:ascii="Times New Roman" w:hAnsi="Times New Roman" w:cs="Times New Roman"/>
        </w:rPr>
        <w:t>le</w:t>
      </w:r>
      <w:r w:rsidRPr="00E71220">
        <w:rPr>
          <w:rFonts w:ascii="Times New Roman" w:hAnsi="Times New Roman" w:cs="Times New Roman"/>
        </w:rPr>
        <w:t xml:space="preserve">). These included 109 of 133 detected </w:t>
      </w:r>
      <w:r w:rsidRPr="00E71220">
        <w:rPr>
          <w:rFonts w:ascii="Times New Roman" w:hAnsi="Times New Roman" w:cs="Times New Roman"/>
          <w:i/>
          <w:iCs/>
        </w:rPr>
        <w:t>Prochlorococcus</w:t>
      </w:r>
      <w:r w:rsidRPr="00E71220">
        <w:rPr>
          <w:rFonts w:ascii="Times New Roman" w:hAnsi="Times New Roman" w:cs="Times New Roman"/>
        </w:rPr>
        <w:t> </w:t>
      </w:r>
      <w:proofErr w:type="spellStart"/>
      <w:r w:rsidRPr="00E71220">
        <w:rPr>
          <w:rFonts w:ascii="Times New Roman" w:hAnsi="Times New Roman" w:cs="Times New Roman"/>
          <w:i/>
          <w:iCs/>
        </w:rPr>
        <w:t>urtA</w:t>
      </w:r>
      <w:proofErr w:type="spellEnd"/>
      <w:r w:rsidRPr="00E71220">
        <w:rPr>
          <w:rFonts w:ascii="Times New Roman" w:hAnsi="Times New Roman" w:cs="Times New Roman"/>
        </w:rPr>
        <w:t xml:space="preserve"> genes for multiple strains from HL and LL ecotypes. Most other </w:t>
      </w:r>
      <w:r w:rsidRPr="00E71220">
        <w:rPr>
          <w:rFonts w:ascii="Times New Roman" w:hAnsi="Times New Roman" w:cs="Times New Roman"/>
          <w:i/>
          <w:iCs/>
        </w:rPr>
        <w:t>Prochlorococcus</w:t>
      </w:r>
      <w:r w:rsidRPr="00E71220">
        <w:rPr>
          <w:rFonts w:ascii="Times New Roman" w:hAnsi="Times New Roman" w:cs="Times New Roman"/>
        </w:rPr>
        <w:t xml:space="preserve"> genes associated with N stress or metabolism were assigned to M1 (295 of 367 detected). Similarly, M10 had the most </w:t>
      </w:r>
      <w:proofErr w:type="spellStart"/>
      <w:r w:rsidRPr="00E71220">
        <w:rPr>
          <w:rFonts w:ascii="Times New Roman" w:hAnsi="Times New Roman" w:cs="Times New Roman"/>
          <w:i/>
          <w:iCs/>
        </w:rPr>
        <w:t>Synechococcus</w:t>
      </w:r>
      <w:proofErr w:type="spellEnd"/>
      <w:r w:rsidRPr="00E71220">
        <w:rPr>
          <w:rFonts w:ascii="Times New Roman" w:hAnsi="Times New Roman" w:cs="Times New Roman"/>
          <w:i/>
          <w:iCs/>
        </w:rPr>
        <w:t xml:space="preserve"> </w:t>
      </w:r>
      <w:proofErr w:type="spellStart"/>
      <w:r w:rsidRPr="00E71220">
        <w:rPr>
          <w:rFonts w:ascii="Times New Roman" w:hAnsi="Times New Roman" w:cs="Times New Roman"/>
          <w:i/>
          <w:iCs/>
        </w:rPr>
        <w:t>urtA</w:t>
      </w:r>
      <w:proofErr w:type="spellEnd"/>
      <w:r w:rsidRPr="00E71220">
        <w:rPr>
          <w:rFonts w:ascii="Times New Roman" w:hAnsi="Times New Roman" w:cs="Times New Roman"/>
        </w:rPr>
        <w:t xml:space="preserve"> genes (9 of 25 detected) while most of the other 462 detected </w:t>
      </w:r>
      <w:r w:rsidRPr="00E71220">
        <w:rPr>
          <w:rFonts w:ascii="Times New Roman" w:hAnsi="Times New Roman" w:cs="Times New Roman"/>
          <w:i/>
          <w:iCs/>
        </w:rPr>
        <w:t>Synechococcus</w:t>
      </w:r>
      <w:r w:rsidRPr="00E71220">
        <w:rPr>
          <w:rFonts w:ascii="Times New Roman" w:hAnsi="Times New Roman" w:cs="Times New Roman"/>
        </w:rPr>
        <w:t xml:space="preserve"> N genes were assigned to modules M1 and M3 (92 and 93 targets, respectively).</w:t>
      </w:r>
    </w:p>
    <w:p w14:paraId="388325AB" w14:textId="77777777" w:rsidR="00E07CBE" w:rsidRPr="00E71220" w:rsidRDefault="00E07CBE" w:rsidP="001A650A">
      <w:pPr>
        <w:spacing w:line="480" w:lineRule="auto"/>
        <w:rPr>
          <w:rFonts w:ascii="Times New Roman" w:hAnsi="Times New Roman" w:cs="Times New Roman"/>
        </w:rPr>
      </w:pPr>
    </w:p>
    <w:p w14:paraId="0BBB82FA" w14:textId="77777777" w:rsidR="00CC5D4E" w:rsidRPr="00E71220" w:rsidRDefault="00CC5D4E" w:rsidP="00CC5D4E">
      <w:pPr>
        <w:spacing w:line="480" w:lineRule="auto"/>
        <w:rPr>
          <w:rFonts w:ascii="Times New Roman" w:hAnsi="Times New Roman" w:cs="Times New Roman"/>
          <w:i/>
          <w:iCs/>
        </w:rPr>
      </w:pPr>
      <w:r w:rsidRPr="00E71220">
        <w:rPr>
          <w:rFonts w:ascii="Times New Roman" w:hAnsi="Times New Roman" w:cs="Times New Roman"/>
          <w:b/>
          <w:bCs/>
          <w:iCs/>
        </w:rPr>
        <w:t xml:space="preserve">Transcription changes among </w:t>
      </w:r>
      <w:r w:rsidRPr="00E71220">
        <w:rPr>
          <w:rFonts w:ascii="Times New Roman" w:hAnsi="Times New Roman" w:cs="Times New Roman"/>
          <w:b/>
          <w:bCs/>
          <w:i/>
          <w:iCs/>
        </w:rPr>
        <w:t>Pelagibacter</w:t>
      </w:r>
    </w:p>
    <w:p w14:paraId="339C5B75" w14:textId="43817C4E" w:rsidR="00CC5D4E" w:rsidRPr="00E71220" w:rsidRDefault="00CC5D4E" w:rsidP="00CC5D4E">
      <w:pPr>
        <w:spacing w:line="480" w:lineRule="auto"/>
        <w:rPr>
          <w:rFonts w:ascii="Times New Roman" w:hAnsi="Times New Roman" w:cs="Times New Roman"/>
        </w:rPr>
      </w:pPr>
      <w:r w:rsidRPr="00E71220">
        <w:rPr>
          <w:rFonts w:ascii="Times New Roman" w:hAnsi="Times New Roman" w:cs="Times New Roman"/>
          <w:i/>
          <w:iCs/>
        </w:rPr>
        <w:tab/>
      </w:r>
      <w:r w:rsidRPr="00E71220">
        <w:rPr>
          <w:rFonts w:ascii="Times New Roman" w:hAnsi="Times New Roman" w:cs="Times New Roman"/>
        </w:rPr>
        <w:t xml:space="preserve">Transcripts from </w:t>
      </w:r>
      <w:r w:rsidRPr="00E71220">
        <w:rPr>
          <w:rFonts w:ascii="Times New Roman" w:hAnsi="Times New Roman" w:cs="Times New Roman"/>
          <w:i/>
          <w:iCs/>
        </w:rPr>
        <w:t xml:space="preserve">Pelagibacter ubique </w:t>
      </w:r>
      <w:r w:rsidRPr="00E71220">
        <w:rPr>
          <w:rFonts w:ascii="Times New Roman" w:hAnsi="Times New Roman" w:cs="Times New Roman"/>
        </w:rPr>
        <w:t>spp. HTCC7211, HTCC1062 and HTCC1002 were detected in every sample (from 41%, 13%, and 16% of their respective MicroTOOLs targets; S</w:t>
      </w:r>
      <w:r w:rsidR="00DE6F1C" w:rsidRPr="00E71220">
        <w:rPr>
          <w:rFonts w:ascii="Times New Roman" w:hAnsi="Times New Roman" w:cs="Times New Roman"/>
        </w:rPr>
        <w:t>1</w:t>
      </w:r>
      <w:r w:rsidRPr="00E71220">
        <w:rPr>
          <w:rFonts w:ascii="Times New Roman" w:hAnsi="Times New Roman" w:cs="Times New Roman"/>
        </w:rPr>
        <w:t xml:space="preserve"> Table), consistent with the stable relative abundances of </w:t>
      </w:r>
      <w:r w:rsidRPr="00E71220">
        <w:rPr>
          <w:rFonts w:ascii="Times New Roman" w:hAnsi="Times New Roman" w:cs="Times New Roman"/>
          <w:i/>
          <w:iCs/>
        </w:rPr>
        <w:t>Pelagibacter</w:t>
      </w:r>
      <w:r w:rsidRPr="00E71220">
        <w:rPr>
          <w:rFonts w:ascii="Times New Roman" w:hAnsi="Times New Roman" w:cs="Times New Roman"/>
        </w:rPr>
        <w:t xml:space="preserve"> from T0 to T24 in controls and treatments </w:t>
      </w:r>
      <w:r w:rsidRPr="00E71220">
        <w:rPr>
          <w:rFonts w:ascii="Times New Roman" w:hAnsi="Times New Roman" w:cs="Times New Roman"/>
        </w:rPr>
        <w:fldChar w:fldCharType="begin"/>
      </w:r>
      <w:r w:rsidR="008127F5" w:rsidRPr="00E71220">
        <w:rPr>
          <w:rFonts w:ascii="Times New Roman" w:hAnsi="Times New Roman" w:cs="Times New Roman"/>
        </w:rPr>
        <w:instrText xml:space="preserve"> ADDIN ZOTERO_ITEM CSL_CITATION {"citationID":"fqcOossz","properties":{"formattedCitation":"[2]","plainCitation":"[2]","noteIndex":0},"citationItems":[{"id":3,"uris":["http://zotero.org/users/local/ZW2GSes4/items/YND8UV3A"],"uri":["http://zotero.org/users/local/ZW2GSes4/items/YND8UV3A"],"itemData":{"id":3,"type":"article-journal","abstract":"Nitrogen (N) is the major limiting nutrient for phytoplankton growth and productivity in large parts of the world’s oceans. Differential preferences for speciﬁc N substrates may be important in controlling phytoplankton community composition. To date, there is limited information on how speciﬁc N substrates inﬂuence the composition of naturally occurring microbial communities. We investigated the effect of nitrate (NO23 ), ammonium (NH14 ), and urea on microbial and phytoplankton community composition (cell abundances and 16S rRNA gene proﬁling) and functioning (photosynthetic activity, carbon ﬁxation rates) in the oligotrophic waters of the North Paciﬁc Ocean. All N substrates tested signiﬁcantly stimulated phytoplankton growth and productivity. Urea resulted in the greatest (&gt;300%) increases in chlorophyll a (&lt;0.06 lg L21 and \u00180.19 lg L21 in the control and urea addition, respectively) and productivity (&lt;0.4 lmol C L21 d21 and \u00181.4 lmol C L21 d21 in the control and urea addition, respectively) at two experimental stations, largely due to increased abundances of Prochlorococcus (Cyanobacteria). Two abundant clades of Prochlorococcus, High Light I and II, demonstrated similar responses to urea, suggesting this substrate is likely an important N source for natural Prochlorococcus populations. In contrast, the heterotrophic community composition changed most in response to NH41. Finally, the time and magnitude of response to N amendments varied with geographic location, likely due to differences in microbial community composition and their nutrient status. Our results provide support for the hypothesis that changes in N supply would likely favor speciﬁc populations of phytoplankton in different oceanic regions and thus, affect both biogeochemical cycles and ecological processes.","container-title":"Limnology and Oceanography","DOI":"10.1002/lno.10590","ISSN":"00243590","issue":"6","journalAbbreviation":"Limnol. Oceanogr.","language":"en","page":"2550-2574","source":"DOI.org (Crossref)","title":"Differential effects of nitrate, ammonium, and urea as N sources for microbial communities in the North Pacific Ocean","title-short":"Differential effects of nitrate, ammonium, and urea as N sources for microbial communities in the North Pacific Ocean","volume":"62","author":[{"family":"Shilova","given":"I. N."},{"family":"Mills","given":"M. M."},{"family":"Robidart","given":"J. C."},{"family":"Turk-Kubo","given":"K. A."},{"family":"Björkman","given":"K. M."},{"family":"Kolber","given":"Z."},{"family":"Rapp","given":"I."},{"family":"Dijken","given":"G. L.","non-dropping-particle":"van"},{"family":"Church","given":"M. J."},{"family":"Arrigo","given":"K. R."},{"family":"Achterberg","given":"E. P."},{"family":"Zehr","given":"J. P."}],"issued":{"date-parts":[["2017",11]]}}}],"schema":"https://github.com/citation-style-language/schema/raw/master/csl-citation.json"} </w:instrText>
      </w:r>
      <w:r w:rsidRPr="00E71220">
        <w:rPr>
          <w:rFonts w:ascii="Times New Roman" w:hAnsi="Times New Roman" w:cs="Times New Roman"/>
        </w:rPr>
        <w:fldChar w:fldCharType="separate"/>
      </w:r>
      <w:r w:rsidRPr="00E71220">
        <w:rPr>
          <w:rFonts w:ascii="Times New Roman" w:hAnsi="Times New Roman" w:cs="Times New Roman"/>
          <w:noProof/>
        </w:rPr>
        <w:t>[2]</w:t>
      </w:r>
      <w:r w:rsidRPr="00E71220">
        <w:rPr>
          <w:rFonts w:ascii="Times New Roman" w:hAnsi="Times New Roman" w:cs="Times New Roman"/>
        </w:rPr>
        <w:fldChar w:fldCharType="end"/>
      </w:r>
      <w:r w:rsidRPr="00E71220">
        <w:rPr>
          <w:rFonts w:ascii="Times New Roman" w:hAnsi="Times New Roman" w:cs="Times New Roman"/>
        </w:rPr>
        <w:t xml:space="preserve">. Transcript level changes for </w:t>
      </w:r>
      <w:r w:rsidRPr="00E71220">
        <w:rPr>
          <w:rFonts w:ascii="Times New Roman" w:hAnsi="Times New Roman" w:cs="Times New Roman"/>
          <w:i/>
        </w:rPr>
        <w:t>Pelagibacter</w:t>
      </w:r>
      <w:r w:rsidRPr="00E71220">
        <w:rPr>
          <w:rFonts w:ascii="Times New Roman" w:hAnsi="Times New Roman" w:cs="Times New Roman"/>
        </w:rPr>
        <w:t xml:space="preserve"> proteorhodopsin genes (</w:t>
      </w:r>
      <w:r w:rsidRPr="00E71220">
        <w:rPr>
          <w:rFonts w:ascii="Times New Roman" w:hAnsi="Times New Roman" w:cs="Times New Roman"/>
          <w:i/>
        </w:rPr>
        <w:t>bop</w:t>
      </w:r>
      <w:r w:rsidRPr="00E71220">
        <w:rPr>
          <w:rFonts w:ascii="Times New Roman" w:hAnsi="Times New Roman" w:cs="Times New Roman"/>
        </w:rPr>
        <w:t xml:space="preserve">) differed across treatments. For example, the EGSEA analysis found that </w:t>
      </w:r>
      <w:r w:rsidRPr="00E71220">
        <w:rPr>
          <w:rFonts w:ascii="Times New Roman" w:hAnsi="Times New Roman" w:cs="Times New Roman"/>
          <w:i/>
        </w:rPr>
        <w:t>bop</w:t>
      </w:r>
      <w:r w:rsidRPr="00E71220">
        <w:rPr>
          <w:rFonts w:ascii="Times New Roman" w:hAnsi="Times New Roman" w:cs="Times New Roman"/>
        </w:rPr>
        <w:t xml:space="preserve"> transcript levels </w:t>
      </w:r>
      <w:r w:rsidRPr="00E71220">
        <w:rPr>
          <w:rFonts w:ascii="Times New Roman" w:hAnsi="Times New Roman" w:cs="Times New Roman"/>
        </w:rPr>
        <w:lastRenderedPageBreak/>
        <w:t>increased in response to NH</w:t>
      </w:r>
      <w:r w:rsidRPr="00E71220">
        <w:rPr>
          <w:rFonts w:ascii="Times New Roman" w:hAnsi="Times New Roman" w:cs="Times New Roman"/>
          <w:vertAlign w:val="subscript"/>
        </w:rPr>
        <w:t>4</w:t>
      </w:r>
      <w:r w:rsidRPr="00E71220">
        <w:rPr>
          <w:rFonts w:ascii="Times New Roman" w:hAnsi="Times New Roman" w:cs="Times New Roman"/>
          <w:vertAlign w:val="superscript"/>
        </w:rPr>
        <w:t>+</w:t>
      </w:r>
      <w:r w:rsidRPr="00E71220">
        <w:rPr>
          <w:rFonts w:ascii="Times New Roman" w:hAnsi="Times New Roman" w:cs="Times New Roman"/>
        </w:rPr>
        <w:t xml:space="preserve"> but decreased in response to Fe, </w:t>
      </w:r>
      <w:proofErr w:type="spellStart"/>
      <w:r w:rsidRPr="00E71220">
        <w:rPr>
          <w:rFonts w:ascii="Times New Roman" w:hAnsi="Times New Roman" w:cs="Times New Roman"/>
        </w:rPr>
        <w:t>N+Fe</w:t>
      </w:r>
      <w:proofErr w:type="spellEnd"/>
      <w:r w:rsidRPr="00E71220">
        <w:rPr>
          <w:rFonts w:ascii="Times New Roman" w:hAnsi="Times New Roman" w:cs="Times New Roman"/>
        </w:rPr>
        <w:t xml:space="preserve">, or FDW (S10 Fig). We interpret the </w:t>
      </w:r>
      <w:r w:rsidRPr="00E71220">
        <w:rPr>
          <w:rFonts w:ascii="Times New Roman" w:hAnsi="Times New Roman" w:cs="Times New Roman"/>
          <w:i/>
        </w:rPr>
        <w:t>bop</w:t>
      </w:r>
      <w:r w:rsidRPr="00E71220">
        <w:rPr>
          <w:rFonts w:ascii="Times New Roman" w:hAnsi="Times New Roman" w:cs="Times New Roman"/>
        </w:rPr>
        <w:t xml:space="preserve"> increases in the NH</w:t>
      </w:r>
      <w:r w:rsidRPr="00E71220">
        <w:rPr>
          <w:rFonts w:ascii="Times New Roman" w:hAnsi="Times New Roman" w:cs="Times New Roman"/>
          <w:vertAlign w:val="subscript"/>
        </w:rPr>
        <w:t>4</w:t>
      </w:r>
      <w:r w:rsidRPr="00E71220">
        <w:rPr>
          <w:rFonts w:ascii="Times New Roman" w:hAnsi="Times New Roman" w:cs="Times New Roman"/>
          <w:vertAlign w:val="superscript"/>
        </w:rPr>
        <w:t>+</w:t>
      </w:r>
      <w:r w:rsidRPr="00E71220">
        <w:rPr>
          <w:rFonts w:ascii="Times New Roman" w:hAnsi="Times New Roman" w:cs="Times New Roman"/>
        </w:rPr>
        <w:t xml:space="preserve"> treatment (mainly from strain HTCC7211) as a response to carbon (C) starvation </w:t>
      </w:r>
      <w:r w:rsidRPr="00E71220">
        <w:rPr>
          <w:rFonts w:ascii="Times New Roman" w:hAnsi="Times New Roman" w:cs="Times New Roman"/>
        </w:rPr>
        <w:fldChar w:fldCharType="begin"/>
      </w:r>
      <w:r w:rsidR="00176788">
        <w:rPr>
          <w:rFonts w:ascii="Times New Roman" w:hAnsi="Times New Roman" w:cs="Times New Roman"/>
        </w:rPr>
        <w:instrText xml:space="preserve"> ADDIN ZOTERO_ITEM CSL_CITATION {"citationID":"DkOEM9z2","properties":{"formattedCitation":"[9]","plainCitation":"[9]","noteIndex":0},"citationItems":[{"id":432,"uris":["http://zotero.org/users/local/ZW2GSes4/items/LEFC6MU8"],"uri":["http://zotero.org/users/local/ZW2GSes4/items/LEFC6MU8"],"itemData":{"id":432,"type":"article-journal","abstract":"Previous studies have demonstrated that Candidatus Pelagibacter ubique, a member of the SAR11 clade, constitutively expresses proteorhodopsin (PR) proteins that can function as light-dependent proton pumps. However, exposure to light did not significantly improve the growth rate or final cell densities of SAR11 isolates in a wide range of conditions. Thus, the ecophysiological role of PR in SAR11 remained unresolved. We investigated a range of cellular properties and here show that light causes dramatic changes in physiology and gene expression in Cand. P. ubique cells that are starved for carbon, but provides little or no advantage during active growth on organic carbon substrates. During logarithmic growth there was no difference in oxygen consumption by cells in light versus dark. Energy starved cells respired endogenous carbon in the dark, becoming spheres that approached the minimum predicted size for cells, and produced abundant pili. In the light, energy starved cells maintained size, ATP content, and higher substrate transport rates, and differentially expressed nearly 10% of their genome. These findings show that PR is a vital adaptation that supports Cand. P. ubique metabolism during carbon starvation, a condition that is likely to occur in the extreme conditions of ocean environments.","container-title":"PLOS ONE","DOI":"10.1371/journal.pone.0019725","ISSN":"1932-6203","issue":"5","journalAbbreviation":"PLOS ONE","language":"en","page":"e19725","source":"PLoS Journals","title":"Energy starved &lt;i&gt;Candidatus&lt;/i&gt; Pelagibacter ubique substitutes light-mediated ATP production for endogenous carbon respiration","volume":"6","author":[{"family":"Steindler","given":"Laura"},{"family":"Schwalbach","given":"Michael S."},{"family":"Smith","given":"Daniel P."},{"family":"Chan","given":"Francis"},{"family":"Giovannoni","given":"Stephen J."}],"issued":{"date-parts":[["2011",5,9]]}}}],"schema":"https://github.com/citation-style-language/schema/raw/master/csl-citation.json"} </w:instrText>
      </w:r>
      <w:r w:rsidRPr="00E71220">
        <w:rPr>
          <w:rFonts w:ascii="Times New Roman" w:hAnsi="Times New Roman" w:cs="Times New Roman"/>
        </w:rPr>
        <w:fldChar w:fldCharType="separate"/>
      </w:r>
      <w:r w:rsidR="00176788">
        <w:rPr>
          <w:rFonts w:ascii="Times New Roman" w:hAnsi="Times New Roman" w:cs="Times New Roman"/>
          <w:noProof/>
        </w:rPr>
        <w:t>[9]</w:t>
      </w:r>
      <w:r w:rsidRPr="00E71220">
        <w:rPr>
          <w:rFonts w:ascii="Times New Roman" w:hAnsi="Times New Roman" w:cs="Times New Roman"/>
        </w:rPr>
        <w:fldChar w:fldCharType="end"/>
      </w:r>
      <w:r w:rsidRPr="00E71220">
        <w:rPr>
          <w:rFonts w:ascii="Times New Roman" w:hAnsi="Times New Roman" w:cs="Times New Roman"/>
        </w:rPr>
        <w:t xml:space="preserve"> because at T48 Shilova et al. </w:t>
      </w:r>
      <w:r w:rsidRPr="00E71220">
        <w:rPr>
          <w:rFonts w:ascii="Times New Roman" w:hAnsi="Times New Roman" w:cs="Times New Roman"/>
        </w:rPr>
        <w:fldChar w:fldCharType="begin"/>
      </w:r>
      <w:r w:rsidR="008127F5" w:rsidRPr="00E71220">
        <w:rPr>
          <w:rFonts w:ascii="Times New Roman" w:hAnsi="Times New Roman" w:cs="Times New Roman"/>
        </w:rPr>
        <w:instrText xml:space="preserve"> ADDIN ZOTERO_ITEM CSL_CITATION {"citationID":"LQu99LUW","properties":{"formattedCitation":"[2]","plainCitation":"[2]","noteIndex":0},"citationItems":[{"id":3,"uris":["http://zotero.org/users/local/ZW2GSes4/items/YND8UV3A"],"uri":["http://zotero.org/users/local/ZW2GSes4/items/YND8UV3A"],"itemData":{"id":3,"type":"article-journal","abstract":"Nitrogen (N) is the major limiting nutrient for phytoplankton growth and productivity in large parts of the world’s oceans. Differential preferences for speciﬁc N substrates may be important in controlling phytoplankton community composition. To date, there is limited information on how speciﬁc N substrates inﬂuence the composition of naturally occurring microbial communities. We investigated the effect of nitrate (NO23 ), ammonium (NH14 ), and urea on microbial and phytoplankton community composition (cell abundances and 16S rRNA gene proﬁling) and functioning (photosynthetic activity, carbon ﬁxation rates) in the oligotrophic waters of the North Paciﬁc Ocean. All N substrates tested signiﬁcantly stimulated phytoplankton growth and productivity. Urea resulted in the greatest (&gt;300%) increases in chlorophyll a (&lt;0.06 lg L21 and \u00180.19 lg L21 in the control and urea addition, respectively) and productivity (&lt;0.4 lmol C L21 d21 and \u00181.4 lmol C L21 d21 in the control and urea addition, respectively) at two experimental stations, largely due to increased abundances of Prochlorococcus (Cyanobacteria). Two abundant clades of Prochlorococcus, High Light I and II, demonstrated similar responses to urea, suggesting this substrate is likely an important N source for natural Prochlorococcus populations. In contrast, the heterotrophic community composition changed most in response to NH41. Finally, the time and magnitude of response to N amendments varied with geographic location, likely due to differences in microbial community composition and their nutrient status. Our results provide support for the hypothesis that changes in N supply would likely favor speciﬁc populations of phytoplankton in different oceanic regions and thus, affect both biogeochemical cycles and ecological processes.","container-title":"Limnology and Oceanography","DOI":"10.1002/lno.10590","ISSN":"00243590","issue":"6","journalAbbreviation":"Limnol. Oceanogr.","language":"en","page":"2550-2574","source":"DOI.org (Crossref)","title":"Differential effects of nitrate, ammonium, and urea as N sources for microbial communities in the North Pacific Ocean","title-short":"Differential effects of nitrate, ammonium, and urea as N sources for microbial communities in the North Pacific Ocean","volume":"62","author":[{"family":"Shilova","given":"I. N."},{"family":"Mills","given":"M. M."},{"family":"Robidart","given":"J. C."},{"family":"Turk-Kubo","given":"K. A."},{"family":"Björkman","given":"K. M."},{"family":"Kolber","given":"Z."},{"family":"Rapp","given":"I."},{"family":"Dijken","given":"G. L.","non-dropping-particle":"van"},{"family":"Church","given":"M. J."},{"family":"Arrigo","given":"K. R."},{"family":"Achterberg","given":"E. P."},{"family":"Zehr","given":"J. P."}],"issued":{"date-parts":[["2017",11]]}}}],"schema":"https://github.com/citation-style-language/schema/raw/master/csl-citation.json"} </w:instrText>
      </w:r>
      <w:r w:rsidRPr="00E71220">
        <w:rPr>
          <w:rFonts w:ascii="Times New Roman" w:hAnsi="Times New Roman" w:cs="Times New Roman"/>
        </w:rPr>
        <w:fldChar w:fldCharType="separate"/>
      </w:r>
      <w:r w:rsidRPr="00E71220">
        <w:rPr>
          <w:rFonts w:ascii="Times New Roman" w:hAnsi="Times New Roman" w:cs="Times New Roman"/>
          <w:noProof/>
        </w:rPr>
        <w:t>[2]</w:t>
      </w:r>
      <w:r w:rsidRPr="00E71220">
        <w:rPr>
          <w:rFonts w:ascii="Times New Roman" w:hAnsi="Times New Roman" w:cs="Times New Roman"/>
        </w:rPr>
        <w:fldChar w:fldCharType="end"/>
      </w:r>
      <w:r w:rsidRPr="00E71220">
        <w:rPr>
          <w:rFonts w:ascii="Times New Roman" w:hAnsi="Times New Roman" w:cs="Times New Roman"/>
        </w:rPr>
        <w:t xml:space="preserve"> observed the second highest primary productivity rates and Chl </w:t>
      </w:r>
      <w:r w:rsidRPr="00E71220">
        <w:rPr>
          <w:rFonts w:ascii="Times New Roman" w:hAnsi="Times New Roman" w:cs="Times New Roman"/>
          <w:i/>
        </w:rPr>
        <w:t>a</w:t>
      </w:r>
      <w:r w:rsidRPr="00E71220">
        <w:rPr>
          <w:rFonts w:ascii="Times New Roman" w:hAnsi="Times New Roman" w:cs="Times New Roman"/>
        </w:rPr>
        <w:t xml:space="preserve"> concentration, as well as highest cell abundances for HNA cells and </w:t>
      </w:r>
      <w:r w:rsidRPr="00E71220">
        <w:rPr>
          <w:rFonts w:ascii="Times New Roman" w:hAnsi="Times New Roman" w:cs="Times New Roman"/>
          <w:i/>
        </w:rPr>
        <w:t>Prochlorococcus</w:t>
      </w:r>
      <w:r w:rsidRPr="00E71220">
        <w:rPr>
          <w:rFonts w:ascii="Times New Roman" w:hAnsi="Times New Roman" w:cs="Times New Roman"/>
        </w:rPr>
        <w:t xml:space="preserve"> and the lowest cell abundances for LNA cells (which include </w:t>
      </w:r>
      <w:r w:rsidRPr="00E71220">
        <w:rPr>
          <w:rFonts w:ascii="Times New Roman" w:hAnsi="Times New Roman" w:cs="Times New Roman"/>
          <w:i/>
        </w:rPr>
        <w:t>Pelagibacter ubique</w:t>
      </w:r>
      <w:r w:rsidRPr="00E71220">
        <w:rPr>
          <w:rFonts w:ascii="Times New Roman" w:hAnsi="Times New Roman" w:cs="Times New Roman"/>
        </w:rPr>
        <w:t xml:space="preserve">). The </w:t>
      </w:r>
      <w:r w:rsidRPr="00E71220">
        <w:rPr>
          <w:rFonts w:ascii="Times New Roman" w:hAnsi="Times New Roman" w:cs="Times New Roman"/>
          <w:i/>
        </w:rPr>
        <w:t>bop</w:t>
      </w:r>
      <w:r w:rsidRPr="00E71220">
        <w:rPr>
          <w:rFonts w:ascii="Times New Roman" w:hAnsi="Times New Roman" w:cs="Times New Roman"/>
        </w:rPr>
        <w:t xml:space="preserve"> decreases in response to Fe-containing treatments have, to our knowledge, not been reported for </w:t>
      </w:r>
      <w:r w:rsidRPr="00E71220">
        <w:rPr>
          <w:rFonts w:ascii="Times New Roman" w:hAnsi="Times New Roman" w:cs="Times New Roman"/>
          <w:i/>
        </w:rPr>
        <w:t>Pelagibacter ubique</w:t>
      </w:r>
      <w:r w:rsidRPr="00E71220">
        <w:rPr>
          <w:rFonts w:ascii="Times New Roman" w:hAnsi="Times New Roman" w:cs="Times New Roman"/>
        </w:rPr>
        <w:t xml:space="preserve">, however, proteorhodopsin transcription increases under Fe limitation have been observed for some diatoms </w:t>
      </w:r>
      <w:r w:rsidRPr="00E71220">
        <w:rPr>
          <w:rFonts w:ascii="Times New Roman" w:hAnsi="Times New Roman" w:cs="Times New Roman"/>
        </w:rPr>
        <w:fldChar w:fldCharType="begin"/>
      </w:r>
      <w:r w:rsidR="00176788">
        <w:rPr>
          <w:rFonts w:ascii="Times New Roman" w:hAnsi="Times New Roman" w:cs="Times New Roman"/>
        </w:rPr>
        <w:instrText xml:space="preserve"> ADDIN ZOTERO_ITEM CSL_CITATION {"citationID":"9uv5la3l","properties":{"formattedCitation":"[10]","plainCitation":"[10]","noteIndex":0},"citationItems":[{"id":438,"uris":["http://zotero.org/users/local/ZW2GSes4/items/EQES7WHT"],"uri":["http://zotero.org/users/local/ZW2GSes4/items/EQES7WHT"],"itemData":{"id":438,"type":"article-journal","abstract":"Proteorhodopsins (PR) are retinal-binding membrane proteins that function as light-driven proton pumps to generate energy for metabolism and growth. Recently PR-like genes have been identified in some marine eukaryotic protists, including diatoms, dinoflagellates, haptophytes and cryptophytes. These rhodopsins are homologous to green-light-absorbing, ATP-generating PRs present within bacteria. Here we show that in the oceanic diatom Pseudo-nitzschia granii, PR-like gene and protein expressions increase appreciably under iron limitation. In a survey of available transcriptomes, PR-like genes in diatoms are generally found in isolates from marine habitats where seasonal to chronic growth limitation by the micronutrient iron is prevalent, yet similar biogeographical patterns are not apparent in other phytoplankton taxa. We propose that rhodopsin-based phototrophy could account for a proportion of energy synthesis in marine eukaryotic photoautotrophs, especially when photosynthesis is compromised by low iron availability. This alternative ATP-generating pathway could have significant effects on plankton community structure and global ocean carbon cycling.","container-title":"The ISME Journal","DOI":"10.1038/ismej.2015.74","ISSN":"1751-7362","issue":"12","journalAbbreviation":"ISME J","note":"PMID: 26023874\nPMCID: PMC4817633","page":"2745-2748","source":"PubMed Central","title":"Marine diatom proteorhodopsins and their potential role in coping with low iron availability","volume":"9","author":[{"family":"Marchetti","given":"Adrian"},{"family":"Catlett","given":"Dylan"},{"family":"Hopkinson","given":"Brian M"},{"family":"Ellis","given":"Kelsey"},{"family":"Cassar","given":"Nicolas"}],"issued":{"date-parts":[["2015",12]]}}}],"schema":"https://github.com/citation-style-language/schema/raw/master/csl-citation.json"} </w:instrText>
      </w:r>
      <w:r w:rsidRPr="00E71220">
        <w:rPr>
          <w:rFonts w:ascii="Times New Roman" w:hAnsi="Times New Roman" w:cs="Times New Roman"/>
        </w:rPr>
        <w:fldChar w:fldCharType="separate"/>
      </w:r>
      <w:r w:rsidR="00176788">
        <w:rPr>
          <w:rFonts w:ascii="Times New Roman" w:hAnsi="Times New Roman" w:cs="Times New Roman"/>
          <w:noProof/>
        </w:rPr>
        <w:t>[10]</w:t>
      </w:r>
      <w:r w:rsidRPr="00E71220">
        <w:rPr>
          <w:rFonts w:ascii="Times New Roman" w:hAnsi="Times New Roman" w:cs="Times New Roman"/>
        </w:rPr>
        <w:fldChar w:fldCharType="end"/>
      </w:r>
      <w:r w:rsidRPr="00E71220">
        <w:rPr>
          <w:rFonts w:ascii="Times New Roman" w:hAnsi="Times New Roman" w:cs="Times New Roman"/>
        </w:rPr>
        <w:t xml:space="preserve"> and suspected for pelagophytes and dinoflagellates </w:t>
      </w:r>
      <w:r w:rsidRPr="00E71220">
        <w:rPr>
          <w:rFonts w:ascii="Times New Roman" w:hAnsi="Times New Roman" w:cs="Times New Roman"/>
        </w:rPr>
        <w:fldChar w:fldCharType="begin"/>
      </w:r>
      <w:r w:rsidR="00176788">
        <w:rPr>
          <w:rFonts w:ascii="Times New Roman" w:hAnsi="Times New Roman" w:cs="Times New Roman"/>
        </w:rPr>
        <w:instrText xml:space="preserve"> ADDIN ZOTERO_ITEM CSL_CITATION {"citationID":"s3kneIHv","properties":{"formattedCitation":"[11]","plainCitation":"[11]","noteIndex":0},"citationItems":[{"id":441,"uris":["http://zotero.org/users/local/ZW2GSes4/items/2R8JPMRX"],"uri":["http://zotero.org/users/local/ZW2GSes4/items/2R8JPMRX"],"itemData":{"id":441,"type":"article-journal","abstract":"Predicting responses of plankton to variations in essential nutrients is hampered by limited in situ measurements, a poor understanding of community composition, and the lack of reference gene catalogs for key taxa. Iron is a key driver of plankton dynamics and, therefore, of global biogeochemical cycles and climate. To assess the impact of iron availability on plankton communities, we explored the comprehensive bio-oceanographic and bio-omics data sets from Tara Oceans in the context of the iron products from two state-of-the-art global scale biogeochemical models. We obtained novel information about adaptation and acclimation toward iron in a range of phytoplankton, including picocyanobacteria and diatoms, and identified whole subcommunities covarying with iron. Many of the observed global patterns were recapitulated in the Marquesas archipelago, where frequent plankton blooms are believed to be caused by natural iron fertilization, although they are not captured in large-scale biogeochemical models. This work provides a proof of concept that integrative analyses, spanning from genes to ecosystems and viruses to zooplankton, can disentangle the complexity of plankton communities and can lead to more accurate formulations of resource bioavailability in biogeochemical models, thus improving our understanding of plankton resilience in a changing environment.","container-title":"Global Biogeochemical Cycles","DOI":"10.1029/2018GB006022","ISSN":"1944-9224","issue":"3","language":"en","page":"391-419","source":"Wiley Online Library","title":"Community-level responses to iron availability in open ocean plankton ecosystems","volume":"33","author":[{"family":"Caputi","given":"Luigi"},{"family":"Carradec","given":"Quentin"},{"family":"Eveillard","given":"Damien"},{"family":"Kirilovsky","given":"Amos"},{"family":"Pelletier","given":"Eric"},{"family":"Karlusich","given":"Juan J. Pierella"},{"family":"Vieira","given":"Fabio Rocha Jimenez"},{"family":"Villar","given":"Emilie"},{"family":"Chaffron","given":"Samuel"},{"family":"Malviya","given":"Shruti"},{"family":"Scalco","given":"Eleonora"},{"family":"Acinas","given":"Silvia G."},{"family":"Alberti","given":"Adriana"},{"family":"Aury","given":"Jean-Marc"},{"family":"Benoiston","given":"Anne-Sophie"},{"family":"Bertrand","given":"Alexis"},{"family":"Biard","given":"Tristan"},{"family":"Bittner","given":"Lucie"},{"family":"Boccara","given":"Martine"},{"family":"Brum","given":"Jennifer R."},{"family":"Brunet","given":"Christophe"},{"family":"Busseni","given":"Greta"},{"family":"Carratalà","given":"Anna"},{"family":"Claustre","given":"Hervé"},{"family":"Coelho","given":"Luis Pedro"},{"family":"Colin","given":"Sébastien"},{"family":"D'Aniello","given":"Salvatore"},{"family":"Silva","given":"Corinne Da"},{"family":"Core","given":"Marianna Del"},{"family":"Doré","given":"Hugo"},{"family":"Gasparini","given":"Stéphane"},{"family":"Kokoszka","given":"Florian"},{"family":"Jamet","given":"Jean-Louis"},{"family":"Lejeusne","given":"Christophe"},{"family":"Lepoivre","given":"Cyrille"},{"family":"Lescot","given":"Magali"},{"family":"Lima‐Mendez","given":"Gipsi"},{"family":"Lombard","given":"Fabien"},{"family":"Lukeš","given":"Julius"},{"family":"Maillet","given":"Nicolas"},{"family":"Madoui","given":"Mohammed-Amin"},{"family":"Martinez","given":"Elodie"},{"family":"Mazzocchi","given":"Maria Grazia"},{"family":"Néou","given":"Mario B."},{"family":"Paz‐Yepes","given":"Javier"},{"family":"Poulain","given":"Julie"},{"family":"Ramondenc","given":"Simon"},{"family":"Romagnan","given":"Jean-Baptiste"},{"family":"Roux","given":"Simon"},{"family":"Manta","given":"Daniela Salvagio"},{"family":"Sanges","given":"Remo"},{"family":"Speich","given":"Sabrina"},{"family":"Sprovieri","given":"Mario"},{"family":"Sunagawa","given":"Shinichi"},{"family":"Taillandier","given":"Vincent"},{"family":"Tanaka","given":"Atsuko"},{"family":"Tirichine","given":"Leila"},{"family":"Trottier","given":"Camille"},{"family":"Uitz","given":"Julia"},{"family":"Veluchamy","given":"Alaguraj"},{"family":"Veselá","given":"Jana"},{"family":"Vincent","given":"Flora"},{"family":"Yau","given":"Sheree"},{"family":"Kandels‐Lewis","given":"Stefanie"},{"family":"Searson","given":"Sarah"},{"family":"Dimier","given":"Céline"},{"family":"Picheral","given":"Marc"},{"family":"Bork","given":"Peer"},{"family":"Boss","given":"Emmanuel"},{"family":"Vargas","given":"Colomban","dropping-particle":"de"},{"family":"Follows","given":"Michael J."},{"family":"Grimsley","given":"Nigel"},{"family":"Guidi","given":"Lionel"},{"family":"Hingamp","given":"Pascal"},{"family":"Karsenti","given":"Eric"},{"family":"Sordino","given":"Paolo"},{"family":"Stemmann","given":"Lars"},{"family":"Sullivan","given":"Matthew B."},{"family":"Tagliabue","given":"Alessandro"},{"family":"Zingone","given":"Adriana"},{"family":"Garczarek","given":"Laurence"},{"family":"Ortenzio","given":"Fabrizio","non-dropping-particle":"d'"},{"family":"Testor","given":"Pierre"},{"family":"Not","given":"Fabrice"},{"family":"Alcalà","given":"Maurizio Ribera","non-dropping-particle":"d'"},{"family":"Wincker","given":"Patrick"},{"family":"Bowler","given":"Chris"},{"family":"Iudicone","given":"Daniele"}],"issued":{"date-parts":[["2019"]]}}}],"schema":"https://github.com/citation-style-language/schema/raw/master/csl-citation.json"} </w:instrText>
      </w:r>
      <w:r w:rsidRPr="00E71220">
        <w:rPr>
          <w:rFonts w:ascii="Times New Roman" w:hAnsi="Times New Roman" w:cs="Times New Roman"/>
        </w:rPr>
        <w:fldChar w:fldCharType="separate"/>
      </w:r>
      <w:r w:rsidR="00176788">
        <w:rPr>
          <w:rFonts w:ascii="Times New Roman" w:hAnsi="Times New Roman" w:cs="Times New Roman"/>
          <w:noProof/>
        </w:rPr>
        <w:t>[11]</w:t>
      </w:r>
      <w:r w:rsidRPr="00E71220">
        <w:rPr>
          <w:rFonts w:ascii="Times New Roman" w:hAnsi="Times New Roman" w:cs="Times New Roman"/>
        </w:rPr>
        <w:fldChar w:fldCharType="end"/>
      </w:r>
      <w:r w:rsidRPr="00E71220">
        <w:rPr>
          <w:rFonts w:ascii="Times New Roman" w:hAnsi="Times New Roman" w:cs="Times New Roman"/>
        </w:rPr>
        <w:t xml:space="preserve">. We observed strain-specific responses in other treatments as well. For example, in response to FDW, large (&gt;1.2×) </w:t>
      </w:r>
      <w:r w:rsidRPr="00E71220">
        <w:rPr>
          <w:rFonts w:ascii="Times New Roman" w:hAnsi="Times New Roman" w:cs="Times New Roman"/>
          <w:i/>
        </w:rPr>
        <w:t>bop</w:t>
      </w:r>
      <w:r w:rsidRPr="00E71220">
        <w:rPr>
          <w:rFonts w:ascii="Times New Roman" w:hAnsi="Times New Roman" w:cs="Times New Roman"/>
        </w:rPr>
        <w:t xml:space="preserve"> transcript level decreases occurred for strains HTCC7211 and HTCC1002, and also for </w:t>
      </w:r>
      <w:proofErr w:type="spellStart"/>
      <w:r w:rsidRPr="00E71220">
        <w:rPr>
          <w:rFonts w:ascii="Times New Roman" w:hAnsi="Times New Roman" w:cs="Times New Roman"/>
        </w:rPr>
        <w:t>alphaproteobacterium</w:t>
      </w:r>
      <w:proofErr w:type="spellEnd"/>
      <w:r w:rsidRPr="00E71220">
        <w:rPr>
          <w:rFonts w:ascii="Times New Roman" w:hAnsi="Times New Roman" w:cs="Times New Roman"/>
        </w:rPr>
        <w:t xml:space="preserve"> HIMB5, but HTCC1062 did not respond to FDW (S10 Fig, S11 Fig). Single-gene analysis showed that in response to </w:t>
      </w:r>
      <w:r w:rsidRPr="00E71220">
        <w:rPr>
          <w:rFonts w:ascii="Times New Roman" w:hAnsi="Times New Roman" w:cs="Times New Roman"/>
          <w:color w:val="000000"/>
        </w:rPr>
        <w:t>NO</w:t>
      </w:r>
      <w:r w:rsidRPr="00E71220">
        <w:rPr>
          <w:rFonts w:ascii="Times New Roman" w:hAnsi="Times New Roman" w:cs="Times New Roman"/>
          <w:color w:val="000000"/>
          <w:vertAlign w:val="subscript"/>
        </w:rPr>
        <w:t>3</w:t>
      </w:r>
      <w:r w:rsidRPr="00E71220">
        <w:rPr>
          <w:rFonts w:ascii="Times New Roman" w:hAnsi="Times New Roman" w:cs="Times New Roman"/>
          <w:color w:val="000000"/>
          <w:vertAlign w:val="superscript"/>
        </w:rPr>
        <w:t>-</w:t>
      </w:r>
      <w:r w:rsidRPr="00E71220">
        <w:rPr>
          <w:rFonts w:ascii="Times New Roman" w:hAnsi="Times New Roman" w:cs="Times New Roman"/>
        </w:rPr>
        <w:t xml:space="preserve">, </w:t>
      </w:r>
      <w:r w:rsidRPr="00E71220">
        <w:rPr>
          <w:rFonts w:ascii="Times New Roman" w:hAnsi="Times New Roman" w:cs="Times New Roman"/>
          <w:i/>
        </w:rPr>
        <w:t>bop</w:t>
      </w:r>
      <w:r w:rsidRPr="00E71220">
        <w:rPr>
          <w:rFonts w:ascii="Times New Roman" w:hAnsi="Times New Roman" w:cs="Times New Roman"/>
        </w:rPr>
        <w:t xml:space="preserve"> transcript levels increased DE for HTCC1062 but decreased DE for HIMB5 and HTCC7211 (with one exception for HTCC7211 that increased). </w:t>
      </w:r>
    </w:p>
    <w:p w14:paraId="106D588B" w14:textId="2F2FA63A" w:rsidR="00CC5D4E" w:rsidRPr="00E71220" w:rsidRDefault="00CC5D4E" w:rsidP="00CC5D4E">
      <w:pPr>
        <w:spacing w:line="480" w:lineRule="auto"/>
        <w:rPr>
          <w:rFonts w:ascii="Times New Roman" w:hAnsi="Times New Roman" w:cs="Times New Roman"/>
        </w:rPr>
      </w:pPr>
      <w:r w:rsidRPr="00E71220">
        <w:rPr>
          <w:rFonts w:ascii="Times New Roman" w:hAnsi="Times New Roman" w:cs="Times New Roman"/>
        </w:rPr>
        <w:tab/>
        <w:t xml:space="preserve">In the EGSEA analysis, transcript levels from </w:t>
      </w:r>
      <w:r w:rsidRPr="00E71220">
        <w:rPr>
          <w:rFonts w:ascii="Times New Roman" w:hAnsi="Times New Roman" w:cs="Times New Roman"/>
          <w:i/>
        </w:rPr>
        <w:t>Pelagibacter</w:t>
      </w:r>
      <w:r w:rsidRPr="00E71220">
        <w:rPr>
          <w:rFonts w:ascii="Times New Roman" w:hAnsi="Times New Roman" w:cs="Times New Roman"/>
        </w:rPr>
        <w:t xml:space="preserve"> Fe stress genes had large decreases in response to FDW or </w:t>
      </w:r>
      <w:r w:rsidRPr="00E71220">
        <w:rPr>
          <w:rFonts w:ascii="Times New Roman" w:hAnsi="Times New Roman" w:cs="Times New Roman"/>
          <w:color w:val="000000"/>
        </w:rPr>
        <w:t>NO</w:t>
      </w:r>
      <w:r w:rsidRPr="00E71220">
        <w:rPr>
          <w:rFonts w:ascii="Times New Roman" w:hAnsi="Times New Roman" w:cs="Times New Roman"/>
          <w:color w:val="000000"/>
          <w:vertAlign w:val="subscript"/>
        </w:rPr>
        <w:t>3</w:t>
      </w:r>
      <w:r w:rsidRPr="00E71220">
        <w:rPr>
          <w:rFonts w:ascii="Times New Roman" w:hAnsi="Times New Roman" w:cs="Times New Roman"/>
          <w:color w:val="000000"/>
          <w:vertAlign w:val="superscript"/>
        </w:rPr>
        <w:t>-</w:t>
      </w:r>
      <w:r w:rsidRPr="00E71220">
        <w:rPr>
          <w:rFonts w:ascii="Times New Roman" w:hAnsi="Times New Roman" w:cs="Times New Roman"/>
        </w:rPr>
        <w:t xml:space="preserve">, and weak (&lt;1.2×) decreases in response to urea or Fe (S10 Fig). Strain HTCC7211 likely accounted for the decreases because it has the most MicroTOOLs Fe gene targets within </w:t>
      </w:r>
      <w:r w:rsidRPr="00E71220">
        <w:rPr>
          <w:rFonts w:ascii="Times New Roman" w:hAnsi="Times New Roman" w:cs="Times New Roman"/>
          <w:i/>
        </w:rPr>
        <w:t>Pelagibacter</w:t>
      </w:r>
      <w:r w:rsidRPr="00E71220">
        <w:rPr>
          <w:rFonts w:ascii="Times New Roman" w:hAnsi="Times New Roman" w:cs="Times New Roman"/>
        </w:rPr>
        <w:t xml:space="preserve">, including 171 targets for iron transporter </w:t>
      </w:r>
      <w:proofErr w:type="spellStart"/>
      <w:r w:rsidRPr="00E71220">
        <w:rPr>
          <w:rFonts w:ascii="Times New Roman" w:hAnsi="Times New Roman" w:cs="Times New Roman"/>
          <w:i/>
          <w:iCs/>
        </w:rPr>
        <w:t>idiA</w:t>
      </w:r>
      <w:proofErr w:type="spellEnd"/>
      <w:r w:rsidRPr="00E71220">
        <w:rPr>
          <w:rFonts w:ascii="Times New Roman" w:hAnsi="Times New Roman" w:cs="Times New Roman"/>
        </w:rPr>
        <w:t xml:space="preserve">. The results were similar from the single-gene DE analysis with decreased </w:t>
      </w:r>
      <w:proofErr w:type="spellStart"/>
      <w:r w:rsidRPr="00E71220">
        <w:rPr>
          <w:rFonts w:ascii="Times New Roman" w:hAnsi="Times New Roman" w:cs="Times New Roman"/>
          <w:i/>
          <w:iCs/>
        </w:rPr>
        <w:t>idiA</w:t>
      </w:r>
      <w:proofErr w:type="spellEnd"/>
      <w:r w:rsidRPr="00E71220">
        <w:rPr>
          <w:rFonts w:ascii="Times New Roman" w:hAnsi="Times New Roman" w:cs="Times New Roman"/>
        </w:rPr>
        <w:t xml:space="preserve"> transcript levels in FDW and </w:t>
      </w:r>
      <w:r w:rsidRPr="00E71220">
        <w:rPr>
          <w:rFonts w:ascii="Times New Roman" w:hAnsi="Times New Roman" w:cs="Times New Roman"/>
          <w:color w:val="000000"/>
        </w:rPr>
        <w:t>NO</w:t>
      </w:r>
      <w:r w:rsidRPr="00E71220">
        <w:rPr>
          <w:rFonts w:ascii="Times New Roman" w:hAnsi="Times New Roman" w:cs="Times New Roman"/>
          <w:color w:val="000000"/>
          <w:vertAlign w:val="subscript"/>
        </w:rPr>
        <w:t>3</w:t>
      </w:r>
      <w:r w:rsidRPr="00E71220">
        <w:rPr>
          <w:rFonts w:ascii="Times New Roman" w:hAnsi="Times New Roman" w:cs="Times New Roman"/>
          <w:color w:val="000000"/>
          <w:vertAlign w:val="superscript"/>
        </w:rPr>
        <w:t>-</w:t>
      </w:r>
      <w:r w:rsidRPr="00E71220">
        <w:rPr>
          <w:rFonts w:ascii="Times New Roman" w:hAnsi="Times New Roman" w:cs="Times New Roman"/>
        </w:rPr>
        <w:t xml:space="preserve"> (S11 Fig). </w:t>
      </w:r>
    </w:p>
    <w:p w14:paraId="4DEA9972" w14:textId="4B104858" w:rsidR="00CC5D4E" w:rsidRPr="00E71220" w:rsidRDefault="00CC5D4E" w:rsidP="00CC5D4E">
      <w:pPr>
        <w:spacing w:line="480" w:lineRule="auto"/>
        <w:rPr>
          <w:rFonts w:ascii="Times New Roman" w:hAnsi="Times New Roman" w:cs="Times New Roman"/>
        </w:rPr>
      </w:pPr>
      <w:r w:rsidRPr="00E71220">
        <w:rPr>
          <w:rFonts w:ascii="Times New Roman" w:hAnsi="Times New Roman" w:cs="Times New Roman"/>
        </w:rPr>
        <w:tab/>
        <w:t xml:space="preserve">Treatments may have affected </w:t>
      </w:r>
      <w:r w:rsidRPr="00E71220">
        <w:rPr>
          <w:rFonts w:ascii="Times New Roman" w:hAnsi="Times New Roman" w:cs="Times New Roman"/>
          <w:i/>
        </w:rPr>
        <w:t>Pelagibacter</w:t>
      </w:r>
      <w:r w:rsidRPr="00E71220">
        <w:rPr>
          <w:rFonts w:ascii="Times New Roman" w:hAnsi="Times New Roman" w:cs="Times New Roman"/>
        </w:rPr>
        <w:t xml:space="preserve"> metabolism of dimethyl sulfoniopropionate (DMSP) based on transcript level changes for </w:t>
      </w:r>
      <w:proofErr w:type="spellStart"/>
      <w:r w:rsidRPr="00E71220">
        <w:rPr>
          <w:rFonts w:ascii="Times New Roman" w:hAnsi="Times New Roman" w:cs="Times New Roman"/>
          <w:i/>
        </w:rPr>
        <w:t>dmdA</w:t>
      </w:r>
      <w:proofErr w:type="spellEnd"/>
      <w:r w:rsidRPr="00E71220">
        <w:rPr>
          <w:rFonts w:ascii="Times New Roman" w:hAnsi="Times New Roman" w:cs="Times New Roman"/>
        </w:rPr>
        <w:t xml:space="preserve"> which encodes a demethylase for DMSP. Treatments with </w:t>
      </w:r>
      <w:r w:rsidRPr="00E71220">
        <w:rPr>
          <w:rFonts w:ascii="Times New Roman" w:hAnsi="Times New Roman" w:cs="Times New Roman"/>
          <w:color w:val="000000"/>
        </w:rPr>
        <w:t>NO</w:t>
      </w:r>
      <w:r w:rsidRPr="00E71220">
        <w:rPr>
          <w:rFonts w:ascii="Times New Roman" w:hAnsi="Times New Roman" w:cs="Times New Roman"/>
          <w:color w:val="000000"/>
          <w:vertAlign w:val="subscript"/>
        </w:rPr>
        <w:t>3</w:t>
      </w:r>
      <w:r w:rsidRPr="00E71220">
        <w:rPr>
          <w:rFonts w:ascii="Times New Roman" w:hAnsi="Times New Roman" w:cs="Times New Roman"/>
          <w:color w:val="000000"/>
          <w:vertAlign w:val="superscript"/>
        </w:rPr>
        <w:t>-</w:t>
      </w:r>
      <w:r w:rsidRPr="00E71220">
        <w:rPr>
          <w:rFonts w:ascii="Times New Roman" w:hAnsi="Times New Roman" w:cs="Times New Roman"/>
        </w:rPr>
        <w:t xml:space="preserve"> or with FDW, which had the same concentration of </w:t>
      </w:r>
      <w:r w:rsidRPr="00E71220">
        <w:rPr>
          <w:rFonts w:ascii="Times New Roman" w:hAnsi="Times New Roman" w:cs="Times New Roman"/>
          <w:color w:val="000000"/>
        </w:rPr>
        <w:t>NO</w:t>
      </w:r>
      <w:r w:rsidRPr="00E71220">
        <w:rPr>
          <w:rFonts w:ascii="Times New Roman" w:hAnsi="Times New Roman" w:cs="Times New Roman"/>
          <w:color w:val="000000"/>
          <w:vertAlign w:val="subscript"/>
        </w:rPr>
        <w:t>3</w:t>
      </w:r>
      <w:r w:rsidRPr="00E71220">
        <w:rPr>
          <w:rFonts w:ascii="Times New Roman" w:hAnsi="Times New Roman" w:cs="Times New Roman"/>
          <w:color w:val="000000"/>
          <w:vertAlign w:val="superscript"/>
        </w:rPr>
        <w:t>-</w:t>
      </w:r>
      <w:r w:rsidRPr="00E71220">
        <w:rPr>
          <w:rFonts w:ascii="Times New Roman" w:hAnsi="Times New Roman" w:cs="Times New Roman"/>
        </w:rPr>
        <w:t xml:space="preserve">, resulted in </w:t>
      </w:r>
      <w:r w:rsidRPr="00E71220">
        <w:rPr>
          <w:rFonts w:ascii="Times New Roman" w:hAnsi="Times New Roman" w:cs="Times New Roman"/>
        </w:rPr>
        <w:lastRenderedPageBreak/>
        <w:t xml:space="preserve">transcript level decreases for some </w:t>
      </w:r>
      <w:proofErr w:type="spellStart"/>
      <w:r w:rsidRPr="00E71220">
        <w:rPr>
          <w:rFonts w:ascii="Times New Roman" w:hAnsi="Times New Roman" w:cs="Times New Roman"/>
          <w:i/>
        </w:rPr>
        <w:t>Pelagibacter</w:t>
      </w:r>
      <w:proofErr w:type="spellEnd"/>
      <w:r w:rsidRPr="00E71220">
        <w:rPr>
          <w:rFonts w:ascii="Times New Roman" w:hAnsi="Times New Roman" w:cs="Times New Roman"/>
        </w:rPr>
        <w:t xml:space="preserve"> targets for </w:t>
      </w:r>
      <w:proofErr w:type="spellStart"/>
      <w:r w:rsidRPr="00E71220">
        <w:rPr>
          <w:rFonts w:ascii="Times New Roman" w:hAnsi="Times New Roman" w:cs="Times New Roman"/>
          <w:i/>
        </w:rPr>
        <w:t>dmdA</w:t>
      </w:r>
      <w:proofErr w:type="spellEnd"/>
      <w:r w:rsidRPr="00E71220">
        <w:rPr>
          <w:rFonts w:ascii="Times New Roman" w:hAnsi="Times New Roman" w:cs="Times New Roman"/>
        </w:rPr>
        <w:t xml:space="preserve">. Large (&gt;1.2×) decreases occurred for </w:t>
      </w:r>
      <w:r w:rsidRPr="00E71220">
        <w:rPr>
          <w:rFonts w:ascii="Times New Roman" w:hAnsi="Times New Roman" w:cs="Times New Roman"/>
          <w:i/>
          <w:iCs/>
        </w:rPr>
        <w:t>Pelagibacter</w:t>
      </w:r>
      <w:r w:rsidRPr="00E71220">
        <w:rPr>
          <w:rFonts w:ascii="Times New Roman" w:hAnsi="Times New Roman" w:cs="Times New Roman"/>
        </w:rPr>
        <w:t xml:space="preserve"> spp. HTCC7211 in response to </w:t>
      </w:r>
      <w:r w:rsidRPr="00E71220">
        <w:rPr>
          <w:rFonts w:ascii="Times New Roman" w:hAnsi="Times New Roman" w:cs="Times New Roman"/>
          <w:color w:val="000000"/>
        </w:rPr>
        <w:t>NO</w:t>
      </w:r>
      <w:r w:rsidRPr="00E71220">
        <w:rPr>
          <w:rFonts w:ascii="Times New Roman" w:hAnsi="Times New Roman" w:cs="Times New Roman"/>
          <w:color w:val="000000"/>
          <w:vertAlign w:val="subscript"/>
        </w:rPr>
        <w:t>3</w:t>
      </w:r>
      <w:r w:rsidRPr="00E71220">
        <w:rPr>
          <w:rFonts w:ascii="Times New Roman" w:hAnsi="Times New Roman" w:cs="Times New Roman"/>
          <w:color w:val="000000"/>
          <w:vertAlign w:val="superscript"/>
        </w:rPr>
        <w:t>-</w:t>
      </w:r>
      <w:r w:rsidRPr="00E71220">
        <w:rPr>
          <w:rFonts w:ascii="Times New Roman" w:hAnsi="Times New Roman" w:cs="Times New Roman"/>
        </w:rPr>
        <w:t xml:space="preserve"> (strain-specific EGSEA analysis), and DE decreases were observed for targets from HTCC7211 and HTCC1002 in response to FDW (S11 Fig, S</w:t>
      </w:r>
      <w:r w:rsidR="00DE6F1C" w:rsidRPr="00E71220">
        <w:rPr>
          <w:rFonts w:ascii="Times New Roman" w:hAnsi="Times New Roman" w:cs="Times New Roman"/>
        </w:rPr>
        <w:t>1</w:t>
      </w:r>
      <w:r w:rsidRPr="00E71220">
        <w:rPr>
          <w:rFonts w:ascii="Times New Roman" w:hAnsi="Times New Roman" w:cs="Times New Roman"/>
        </w:rPr>
        <w:t xml:space="preserve"> Table). We note that EGSEA did not indicate increases (or changes) for </w:t>
      </w:r>
      <w:proofErr w:type="spellStart"/>
      <w:r w:rsidRPr="00E71220">
        <w:rPr>
          <w:rFonts w:ascii="Times New Roman" w:hAnsi="Times New Roman" w:cs="Times New Roman"/>
          <w:i/>
        </w:rPr>
        <w:t>dmdA</w:t>
      </w:r>
      <w:proofErr w:type="spellEnd"/>
      <w:r w:rsidRPr="00E71220">
        <w:rPr>
          <w:rFonts w:ascii="Times New Roman" w:hAnsi="Times New Roman" w:cs="Times New Roman"/>
        </w:rPr>
        <w:t xml:space="preserve"> in the NH</w:t>
      </w:r>
      <w:r w:rsidRPr="00E71220">
        <w:rPr>
          <w:rFonts w:ascii="Times New Roman" w:hAnsi="Times New Roman" w:cs="Times New Roman"/>
          <w:vertAlign w:val="subscript"/>
        </w:rPr>
        <w:t>4</w:t>
      </w:r>
      <w:r w:rsidRPr="00E71220">
        <w:rPr>
          <w:rFonts w:ascii="Times New Roman" w:hAnsi="Times New Roman" w:cs="Times New Roman"/>
          <w:vertAlign w:val="superscript"/>
        </w:rPr>
        <w:t xml:space="preserve">+ </w:t>
      </w:r>
      <w:r w:rsidRPr="00E71220">
        <w:rPr>
          <w:rFonts w:ascii="Times New Roman" w:hAnsi="Times New Roman" w:cs="Times New Roman"/>
        </w:rPr>
        <w:t xml:space="preserve">treatment, neither overall for </w:t>
      </w:r>
      <w:r w:rsidRPr="00E71220">
        <w:rPr>
          <w:rFonts w:ascii="Times New Roman" w:hAnsi="Times New Roman" w:cs="Times New Roman"/>
          <w:i/>
        </w:rPr>
        <w:t>Pelagibacter</w:t>
      </w:r>
      <w:r w:rsidRPr="00E71220">
        <w:rPr>
          <w:rFonts w:ascii="Times New Roman" w:hAnsi="Times New Roman" w:cs="Times New Roman"/>
        </w:rPr>
        <w:t xml:space="preserve"> nor individually for strains HTCC7211, HTCC1002, or HTCC1062. Thus, although DMSP is known to be a C source for marine bacteria </w:t>
      </w:r>
      <w:r w:rsidRPr="00E71220">
        <w:rPr>
          <w:rFonts w:ascii="Times New Roman" w:hAnsi="Times New Roman" w:cs="Times New Roman"/>
        </w:rPr>
        <w:fldChar w:fldCharType="begin"/>
      </w:r>
      <w:r w:rsidR="00176788">
        <w:rPr>
          <w:rFonts w:ascii="Times New Roman" w:hAnsi="Times New Roman" w:cs="Times New Roman"/>
        </w:rPr>
        <w:instrText xml:space="preserve"> ADDIN ZOTERO_ITEM CSL_CITATION {"citationID":"aOGsdRvD","properties":{"formattedCitation":"[12,13]","plainCitation":"[12,13]","noteIndex":0},"citationItems":[{"id":429,"uris":["http://zotero.org/users/local/ZW2GSes4/items/P9MGSK94"],"uri":["http://zotero.org/users/local/ZW2GSes4/items/P9MGSK94"],"itemData":{"id":429,"type":"article-journal","abstract":"We measured the distribution of particulate and dissolved pools of the phytoplankton osmolyte dimethylsulfoniopropionate (DMSP) in the euphotic zone at a series of shelf (&lt;40 m total water depth) and oceanic (&gt;500 m depth) stations in the northern Gulf of Mexico. We also measured turnover rates of the dissolved DMSP pools (DMSPd) with tracer additions of 35S-DMSPd and short-term (&lt;1 h) incubations, with the aim of examining the relationship between DMSPd turnover and bacterial production. Particulate DMSP concentrations were relatively low (&lt;25 nM) throughout the study area with about twofold higher mean concentration at the shelf sites (15 nM) compared with the oligotrophic oceanic sites (7 nM). DMSPd concentrations averaged 3.0 nM in shelf waters and 1.3 nM in oceanic waters. Concentrations of dimethylsulfide (DMS), a degradation product of DMSP, also were low throughout the Gulf, averaging 2.0 nM for all depths sampled and 2.5 nM in surface waters. Microbial assem-blages metabolized 35S-DMSPd with the sulfur being incorporated into biomass, volatile compounds (DMS and methanethiol), and other dissolved products. DMSPd turnover was relatively slow (mean of 3.8 nM d−1) in oligotrophic oceanic waters and averaged 10-fold higher (39 nM d−1) in mesotrophic shelf waters. DMS concentrations ranged from 0.2 to 5.1 nM in oceanic waters and appeared to be weakly related to DMSP turnover. In contrast, DMS concentrations in shelf waters fell within a narrow range (0.8–2.8 nM) and showed no relationship at all with DMSPd turnover. DMSPd turnover rates were high enough to sustain the measured concentrations and estimated turnover of DMS, even if the conversion efficiency of DMSPd into DMS was only 10%. DMSPd turnover was significantly correlated with bacterial production (as measured by 3H-thymidine incorporation) and we estimate that DMSPd turnover contributed a mean of 3.4% of the carbon and 100% of the sulfur required for bacterial growth in Gulf of Mexico surface waters. In addition to its role as a precursor of DMS, DMSP deserves attention as an important substrate for bacterioplankton in the euphotic zone.","container-title":"Limnology and Oceanography","DOI":"10.4319/lo.2000.45.4.0849","ISSN":"1939-5590","issue":"4","language":"en","page":"849-861","source":"Wiley Online Library","title":"Distribution and turnover of dissolved DMSP and its relationship with bacterial production and dimethylsulfide in the Gulf of Mexico","volume":"45","author":[{"family":"Kiene","given":"Ronald P."},{"family":"Linn","given":"Laura J."}],"issued":{"date-parts":[["2000"]]}}},{"id":435,"uris":["http://zotero.org/users/local/ZW2GSes4/items/F7GTIAIR"],"uri":["http://zotero.org/users/local/ZW2GSes4/items/F7GTIAIR"],"itemData":{"id":435,"type":"article-journal","abstract":"Oceanic dimethylsulfide (DMS), the main natural source of sulfur to the global atmosphere, is suggested to play a key role in the interaction between marine biota and climate. Its biochemical precursor is dimethylsulfoniopropionate (DMSP), a globally distributed, intracellular constituent in marine phytoplankton. During a multidisciplinary Lagrangian experiment in the subpolar North Atlantic, we determined the fluxes of DMSP and DMS through phytoplankton, microzooplankton, and bacterioplankton and compared them with concurrent carbon and sulfur fluxes through primary and secondary productions, grazing, and release and use of dissolved organic matter. We found that DMSP and derivatives contributed most (48–100%) of the sulfur fluxes and 5–15% of the carbon fluxes. Our findings highlight DMSP as a prominent player in pelagic biogeochemical pumps, especially as a major carrier in organic sulfur cycling. Also, our results illustrate the key role played by microzooplankton and heterotrophic bacteria (hence the microbial food web) in controlling the amount of phytoplanktonic DMSP that ultimately vents to the atmosphere in the form of DMS.","container-title":"Limnology and Oceanography","DOI":"10.4319/lo.2002.47.1.0053","ISSN":"1939-5590","issue":"1","language":"en","page":"53-61","source":"Wiley Online Library","title":"Coupled dynamics of dimethylsulfoniopropionate and dimethylsulfide cycling and the microbial food web in surface waters of the North Atlantic","volume":"47","author":[{"family":"Simó","given":"Rafel"},{"family":"Archer","given":"Stephen D."},{"family":"Pedrós-Alió","given":"Carlos"},{"family":"Gilpin","given":"Linda"},{"family":"Stelfox-Widdicombe","given":"Claire E."}],"issued":{"date-parts":[["2002"]]}}}],"schema":"https://github.com/citation-style-language/schema/raw/master/csl-citation.json"} </w:instrText>
      </w:r>
      <w:r w:rsidRPr="00E71220">
        <w:rPr>
          <w:rFonts w:ascii="Times New Roman" w:hAnsi="Times New Roman" w:cs="Times New Roman"/>
        </w:rPr>
        <w:fldChar w:fldCharType="separate"/>
      </w:r>
      <w:r w:rsidR="00176788">
        <w:rPr>
          <w:rFonts w:ascii="Times New Roman" w:hAnsi="Times New Roman" w:cs="Times New Roman"/>
        </w:rPr>
        <w:t>[12,13]</w:t>
      </w:r>
      <w:r w:rsidRPr="00E71220">
        <w:rPr>
          <w:rFonts w:ascii="Times New Roman" w:hAnsi="Times New Roman" w:cs="Times New Roman"/>
        </w:rPr>
        <w:fldChar w:fldCharType="end"/>
      </w:r>
      <w:r w:rsidRPr="00E71220">
        <w:rPr>
          <w:rFonts w:ascii="Times New Roman" w:hAnsi="Times New Roman" w:cs="Times New Roman"/>
        </w:rPr>
        <w:t>, DMSP was not likely utilized to address the C starvation hypothesized in the NH</w:t>
      </w:r>
      <w:r w:rsidRPr="00E71220">
        <w:rPr>
          <w:rFonts w:ascii="Times New Roman" w:hAnsi="Times New Roman" w:cs="Times New Roman"/>
          <w:vertAlign w:val="subscript"/>
        </w:rPr>
        <w:t>4</w:t>
      </w:r>
      <w:r w:rsidRPr="00E71220">
        <w:rPr>
          <w:rFonts w:ascii="Times New Roman" w:hAnsi="Times New Roman" w:cs="Times New Roman"/>
          <w:vertAlign w:val="superscript"/>
        </w:rPr>
        <w:t>+</w:t>
      </w:r>
      <w:r w:rsidRPr="00E71220">
        <w:rPr>
          <w:rFonts w:ascii="Times New Roman" w:hAnsi="Times New Roman" w:cs="Times New Roman"/>
        </w:rPr>
        <w:t xml:space="preserve"> treatment.</w:t>
      </w:r>
    </w:p>
    <w:p w14:paraId="0140807B" w14:textId="5F53CED7" w:rsidR="001A650A" w:rsidRPr="00E71220" w:rsidRDefault="001A650A" w:rsidP="001A650A">
      <w:pPr>
        <w:spacing w:line="480" w:lineRule="auto"/>
        <w:rPr>
          <w:rFonts w:ascii="Times New Roman" w:hAnsi="Times New Roman" w:cs="Times New Roman"/>
        </w:rPr>
      </w:pPr>
    </w:p>
    <w:p w14:paraId="5B9F7F63" w14:textId="4D141906" w:rsidR="00E32DFA" w:rsidRPr="00E71220" w:rsidRDefault="00E32DFA" w:rsidP="00E32DFA">
      <w:pPr>
        <w:spacing w:line="480" w:lineRule="auto"/>
        <w:rPr>
          <w:rFonts w:ascii="Times New Roman" w:hAnsi="Times New Roman" w:cs="Times New Roman"/>
          <w:b/>
          <w:bCs/>
          <w:iCs/>
          <w:sz w:val="32"/>
          <w:szCs w:val="32"/>
        </w:rPr>
      </w:pPr>
      <w:r w:rsidRPr="00E71220">
        <w:rPr>
          <w:rFonts w:ascii="Times New Roman" w:hAnsi="Times New Roman" w:cs="Times New Roman"/>
          <w:b/>
          <w:bCs/>
          <w:iCs/>
          <w:sz w:val="32"/>
          <w:szCs w:val="32"/>
        </w:rPr>
        <w:t>References</w:t>
      </w:r>
    </w:p>
    <w:p w14:paraId="278C0C3E" w14:textId="77777777" w:rsidR="00176788" w:rsidRPr="00176788" w:rsidRDefault="00A86226" w:rsidP="00176788">
      <w:pPr>
        <w:pStyle w:val="Bibliography"/>
        <w:rPr>
          <w:rFonts w:ascii="Times New Roman" w:hAnsi="Times New Roman" w:cs="Times New Roman"/>
        </w:rPr>
      </w:pPr>
      <w:r w:rsidRPr="00E71220">
        <w:fldChar w:fldCharType="begin"/>
      </w:r>
      <w:r w:rsidR="00717C6F" w:rsidRPr="00E71220">
        <w:instrText xml:space="preserve"> ADDIN ZOTERO_BIBL {"uncited":[],"omitted":[],"custom":[]} CSL_BIBLIOGRAPHY </w:instrText>
      </w:r>
      <w:r w:rsidRPr="00E71220">
        <w:fldChar w:fldCharType="separate"/>
      </w:r>
      <w:r w:rsidR="00176788" w:rsidRPr="00176788">
        <w:rPr>
          <w:rFonts w:ascii="Times New Roman" w:hAnsi="Times New Roman" w:cs="Times New Roman"/>
        </w:rPr>
        <w:t xml:space="preserve">1. </w:t>
      </w:r>
      <w:r w:rsidR="00176788" w:rsidRPr="00176788">
        <w:rPr>
          <w:rFonts w:ascii="Times New Roman" w:hAnsi="Times New Roman" w:cs="Times New Roman"/>
        </w:rPr>
        <w:tab/>
        <w:t xml:space="preserve">Shilova IN, Robidart JC, James Tripp H, Turk-Kubo K, Wawrik B, Post AF, et al. A microarray for assessing transcription from pelagic marine microbial taxa. ISME J. 2014 Jul;8(7):1476–91. </w:t>
      </w:r>
    </w:p>
    <w:p w14:paraId="42BE68C3" w14:textId="77777777" w:rsidR="00176788" w:rsidRPr="00176788" w:rsidRDefault="00176788" w:rsidP="00176788">
      <w:pPr>
        <w:pStyle w:val="Bibliography"/>
        <w:rPr>
          <w:rFonts w:ascii="Times New Roman" w:hAnsi="Times New Roman" w:cs="Times New Roman"/>
        </w:rPr>
      </w:pPr>
      <w:r w:rsidRPr="00176788">
        <w:rPr>
          <w:rFonts w:ascii="Times New Roman" w:hAnsi="Times New Roman" w:cs="Times New Roman"/>
        </w:rPr>
        <w:t xml:space="preserve">2. </w:t>
      </w:r>
      <w:r w:rsidRPr="00176788">
        <w:rPr>
          <w:rFonts w:ascii="Times New Roman" w:hAnsi="Times New Roman" w:cs="Times New Roman"/>
        </w:rPr>
        <w:tab/>
        <w:t xml:space="preserve">Shilova IN, Mills MM, Robidart JC, Turk-Kubo KA, Björkman KM, Kolber Z, et al. Differential effects of nitrate, ammonium, and urea as N sources for microbial communities in the North Pacific Ocean. Limnol Oceanogr. 2017 Nov;62(6):2550–74. </w:t>
      </w:r>
    </w:p>
    <w:p w14:paraId="1DC5CA32" w14:textId="77777777" w:rsidR="00176788" w:rsidRPr="00176788" w:rsidRDefault="00176788" w:rsidP="00176788">
      <w:pPr>
        <w:pStyle w:val="Bibliography"/>
        <w:rPr>
          <w:rFonts w:ascii="Times New Roman" w:hAnsi="Times New Roman" w:cs="Times New Roman"/>
        </w:rPr>
      </w:pPr>
      <w:r w:rsidRPr="00176788">
        <w:rPr>
          <w:rFonts w:ascii="Times New Roman" w:hAnsi="Times New Roman" w:cs="Times New Roman"/>
        </w:rPr>
        <w:t xml:space="preserve">3. </w:t>
      </w:r>
      <w:r w:rsidRPr="00176788">
        <w:rPr>
          <w:rFonts w:ascii="Times New Roman" w:hAnsi="Times New Roman" w:cs="Times New Roman"/>
        </w:rPr>
        <w:tab/>
        <w:t xml:space="preserve">Anderson MJ. Distance-based tests for homogeneity of multivariate dispersions. Biometrics. 2006 Mar;62(1):245–53. </w:t>
      </w:r>
    </w:p>
    <w:p w14:paraId="47EAB356" w14:textId="77777777" w:rsidR="00176788" w:rsidRPr="00176788" w:rsidRDefault="00176788" w:rsidP="00176788">
      <w:pPr>
        <w:pStyle w:val="Bibliography"/>
        <w:rPr>
          <w:rFonts w:ascii="Times New Roman" w:hAnsi="Times New Roman" w:cs="Times New Roman"/>
        </w:rPr>
      </w:pPr>
      <w:r w:rsidRPr="00176788">
        <w:rPr>
          <w:rFonts w:ascii="Times New Roman" w:hAnsi="Times New Roman" w:cs="Times New Roman"/>
        </w:rPr>
        <w:t xml:space="preserve">4. </w:t>
      </w:r>
      <w:r w:rsidRPr="00176788">
        <w:rPr>
          <w:rFonts w:ascii="Times New Roman" w:hAnsi="Times New Roman" w:cs="Times New Roman"/>
        </w:rPr>
        <w:tab/>
        <w:t xml:space="preserve">Robidart JC, Magasin JD, Shilova IN, Turk-Kubo KA, Wilson ST, Karl DM, et al. Effects of nutrient enrichment on surface microbial community gene expression in the oligotrophic North Pacific Subtropical Gyre. ISME J. 2018 Sep 1;13(2):374–87. </w:t>
      </w:r>
    </w:p>
    <w:p w14:paraId="11EEB58C" w14:textId="77777777" w:rsidR="00176788" w:rsidRPr="00176788" w:rsidRDefault="00176788" w:rsidP="00176788">
      <w:pPr>
        <w:pStyle w:val="Bibliography"/>
        <w:rPr>
          <w:rFonts w:ascii="Times New Roman" w:hAnsi="Times New Roman" w:cs="Times New Roman"/>
        </w:rPr>
      </w:pPr>
      <w:r w:rsidRPr="00176788">
        <w:rPr>
          <w:rFonts w:ascii="Times New Roman" w:hAnsi="Times New Roman" w:cs="Times New Roman"/>
        </w:rPr>
        <w:t xml:space="preserve">5. </w:t>
      </w:r>
      <w:r w:rsidRPr="00176788">
        <w:rPr>
          <w:rFonts w:ascii="Times New Roman" w:hAnsi="Times New Roman" w:cs="Times New Roman"/>
        </w:rPr>
        <w:tab/>
        <w:t xml:space="preserve">Poretsky RS, Hewson I, Sun S, Allen AE, Zehr JP, Moran MA. Comparative day/night metatranscriptomic analysis of microbial communities in the North Pacific Subtropical Gyre. Environ Microbiol. 2009 Jun;11(6):1358–75. </w:t>
      </w:r>
    </w:p>
    <w:p w14:paraId="0DB78465" w14:textId="77777777" w:rsidR="00176788" w:rsidRPr="00176788" w:rsidRDefault="00176788" w:rsidP="00176788">
      <w:pPr>
        <w:pStyle w:val="Bibliography"/>
        <w:rPr>
          <w:rFonts w:ascii="Times New Roman" w:hAnsi="Times New Roman" w:cs="Times New Roman"/>
        </w:rPr>
      </w:pPr>
      <w:r w:rsidRPr="00176788">
        <w:rPr>
          <w:rFonts w:ascii="Times New Roman" w:hAnsi="Times New Roman" w:cs="Times New Roman"/>
        </w:rPr>
        <w:t xml:space="preserve">6. </w:t>
      </w:r>
      <w:r w:rsidRPr="00176788">
        <w:rPr>
          <w:rFonts w:ascii="Times New Roman" w:hAnsi="Times New Roman" w:cs="Times New Roman"/>
        </w:rPr>
        <w:tab/>
        <w:t xml:space="preserve">Shi Y, McCarren J, DeLong EF. Transcriptional responses of surface water marine microbial assemblages to deep-sea water amendment: microbial transcriptome responses to deep-water addition. Environ Microbiol. 2012 Jan;14(1):191–206. </w:t>
      </w:r>
    </w:p>
    <w:p w14:paraId="545EC393" w14:textId="77777777" w:rsidR="00176788" w:rsidRPr="00176788" w:rsidRDefault="00176788" w:rsidP="00176788">
      <w:pPr>
        <w:pStyle w:val="Bibliography"/>
        <w:rPr>
          <w:rFonts w:ascii="Times New Roman" w:hAnsi="Times New Roman" w:cs="Times New Roman"/>
        </w:rPr>
      </w:pPr>
      <w:r w:rsidRPr="00176788">
        <w:rPr>
          <w:rFonts w:ascii="Times New Roman" w:hAnsi="Times New Roman" w:cs="Times New Roman"/>
        </w:rPr>
        <w:t xml:space="preserve">7. </w:t>
      </w:r>
      <w:r w:rsidRPr="00176788">
        <w:rPr>
          <w:rFonts w:ascii="Times New Roman" w:hAnsi="Times New Roman" w:cs="Times New Roman"/>
        </w:rPr>
        <w:tab/>
        <w:t xml:space="preserve">Eren AM, Maignien L, Sul WJ, Murphy LG, Grim SL, Morrison HG, et al. Oligotyping: differentiating between closely related microbial taxa using 16S rRNA gene data. Methods Ecol Evol. 2013;4(12):1111–9. </w:t>
      </w:r>
    </w:p>
    <w:p w14:paraId="5281B0AC" w14:textId="77777777" w:rsidR="00176788" w:rsidRPr="00176788" w:rsidRDefault="00176788" w:rsidP="00176788">
      <w:pPr>
        <w:pStyle w:val="Bibliography"/>
        <w:rPr>
          <w:rFonts w:ascii="Times New Roman" w:hAnsi="Times New Roman" w:cs="Times New Roman"/>
        </w:rPr>
      </w:pPr>
      <w:r w:rsidRPr="00176788">
        <w:rPr>
          <w:rFonts w:ascii="Times New Roman" w:hAnsi="Times New Roman" w:cs="Times New Roman"/>
        </w:rPr>
        <w:lastRenderedPageBreak/>
        <w:t xml:space="preserve">8. </w:t>
      </w:r>
      <w:r w:rsidRPr="00176788">
        <w:rPr>
          <w:rFonts w:ascii="Times New Roman" w:hAnsi="Times New Roman" w:cs="Times New Roman"/>
        </w:rPr>
        <w:tab/>
        <w:t xml:space="preserve">Thompson AW, Huang K, Saito MA, Chisholm SW. Transcriptome response of high- and low-light-adapted </w:t>
      </w:r>
      <w:r w:rsidRPr="00176788">
        <w:rPr>
          <w:rFonts w:ascii="Times New Roman" w:hAnsi="Times New Roman" w:cs="Times New Roman"/>
          <w:i/>
          <w:iCs/>
        </w:rPr>
        <w:t>Prochlorococcus</w:t>
      </w:r>
      <w:r w:rsidRPr="00176788">
        <w:rPr>
          <w:rFonts w:ascii="Times New Roman" w:hAnsi="Times New Roman" w:cs="Times New Roman"/>
        </w:rPr>
        <w:t xml:space="preserve"> strains to changing iron availability. ISME J. 2011 Oct;5(10):1580–94. </w:t>
      </w:r>
    </w:p>
    <w:p w14:paraId="5463A142" w14:textId="77777777" w:rsidR="00176788" w:rsidRPr="00176788" w:rsidRDefault="00176788" w:rsidP="00176788">
      <w:pPr>
        <w:pStyle w:val="Bibliography"/>
        <w:rPr>
          <w:rFonts w:ascii="Times New Roman" w:hAnsi="Times New Roman" w:cs="Times New Roman"/>
        </w:rPr>
      </w:pPr>
      <w:r w:rsidRPr="00176788">
        <w:rPr>
          <w:rFonts w:ascii="Times New Roman" w:hAnsi="Times New Roman" w:cs="Times New Roman"/>
        </w:rPr>
        <w:t xml:space="preserve">9. </w:t>
      </w:r>
      <w:r w:rsidRPr="00176788">
        <w:rPr>
          <w:rFonts w:ascii="Times New Roman" w:hAnsi="Times New Roman" w:cs="Times New Roman"/>
        </w:rPr>
        <w:tab/>
        <w:t xml:space="preserve">Steindler L, Schwalbach MS, Smith DP, Chan F, Giovannoni SJ. Energy starved </w:t>
      </w:r>
      <w:r w:rsidRPr="00176788">
        <w:rPr>
          <w:rFonts w:ascii="Times New Roman" w:hAnsi="Times New Roman" w:cs="Times New Roman"/>
          <w:i/>
          <w:iCs/>
        </w:rPr>
        <w:t>Candidatus</w:t>
      </w:r>
      <w:r w:rsidRPr="00176788">
        <w:rPr>
          <w:rFonts w:ascii="Times New Roman" w:hAnsi="Times New Roman" w:cs="Times New Roman"/>
        </w:rPr>
        <w:t xml:space="preserve"> Pelagibacter ubique substitutes light-mediated ATP production for endogenous carbon respiration. PLOS ONE. 2011 May 9;6(5):e19725. </w:t>
      </w:r>
    </w:p>
    <w:p w14:paraId="0D2E349A" w14:textId="77777777" w:rsidR="00176788" w:rsidRPr="00176788" w:rsidRDefault="00176788" w:rsidP="00176788">
      <w:pPr>
        <w:pStyle w:val="Bibliography"/>
        <w:rPr>
          <w:rFonts w:ascii="Times New Roman" w:hAnsi="Times New Roman" w:cs="Times New Roman"/>
        </w:rPr>
      </w:pPr>
      <w:r w:rsidRPr="00176788">
        <w:rPr>
          <w:rFonts w:ascii="Times New Roman" w:hAnsi="Times New Roman" w:cs="Times New Roman"/>
        </w:rPr>
        <w:t xml:space="preserve">10. </w:t>
      </w:r>
      <w:r w:rsidRPr="00176788">
        <w:rPr>
          <w:rFonts w:ascii="Times New Roman" w:hAnsi="Times New Roman" w:cs="Times New Roman"/>
        </w:rPr>
        <w:tab/>
        <w:t xml:space="preserve">Marchetti A, Catlett D, Hopkinson BM, Ellis K, Cassar N. Marine diatom proteorhodopsins and their potential role in coping with low iron availability. ISME J. 2015 Dec;9(12):2745–8. </w:t>
      </w:r>
    </w:p>
    <w:p w14:paraId="40A4A055" w14:textId="77777777" w:rsidR="00176788" w:rsidRPr="00176788" w:rsidRDefault="00176788" w:rsidP="00176788">
      <w:pPr>
        <w:pStyle w:val="Bibliography"/>
        <w:rPr>
          <w:rFonts w:ascii="Times New Roman" w:hAnsi="Times New Roman" w:cs="Times New Roman"/>
        </w:rPr>
      </w:pPr>
      <w:r w:rsidRPr="00176788">
        <w:rPr>
          <w:rFonts w:ascii="Times New Roman" w:hAnsi="Times New Roman" w:cs="Times New Roman"/>
        </w:rPr>
        <w:t xml:space="preserve">11. </w:t>
      </w:r>
      <w:r w:rsidRPr="00176788">
        <w:rPr>
          <w:rFonts w:ascii="Times New Roman" w:hAnsi="Times New Roman" w:cs="Times New Roman"/>
        </w:rPr>
        <w:tab/>
        <w:t xml:space="preserve">Caputi L, Carradec Q, Eveillard D, Kirilovsky A, Pelletier E, Karlusich JJP, et al. Community-level responses to iron availability in open ocean plankton ecosystems. Glob Biogeochem Cycles. 2019;33(3):391–419. </w:t>
      </w:r>
    </w:p>
    <w:p w14:paraId="06A7B30D" w14:textId="77777777" w:rsidR="00176788" w:rsidRPr="00176788" w:rsidRDefault="00176788" w:rsidP="00176788">
      <w:pPr>
        <w:pStyle w:val="Bibliography"/>
        <w:rPr>
          <w:rFonts w:ascii="Times New Roman" w:hAnsi="Times New Roman" w:cs="Times New Roman"/>
        </w:rPr>
      </w:pPr>
      <w:r w:rsidRPr="00176788">
        <w:rPr>
          <w:rFonts w:ascii="Times New Roman" w:hAnsi="Times New Roman" w:cs="Times New Roman"/>
        </w:rPr>
        <w:t xml:space="preserve">12. </w:t>
      </w:r>
      <w:r w:rsidRPr="00176788">
        <w:rPr>
          <w:rFonts w:ascii="Times New Roman" w:hAnsi="Times New Roman" w:cs="Times New Roman"/>
        </w:rPr>
        <w:tab/>
        <w:t xml:space="preserve">Kiene RP, Linn LJ. Distribution and turnover of dissolved DMSP and its relationship with bacterial production and dimethylsulfide in the Gulf of Mexico. Limnol Oceanogr. 2000;45(4):849–61. </w:t>
      </w:r>
    </w:p>
    <w:p w14:paraId="6A8CA8DA" w14:textId="77777777" w:rsidR="00176788" w:rsidRPr="00176788" w:rsidRDefault="00176788" w:rsidP="00176788">
      <w:pPr>
        <w:pStyle w:val="Bibliography"/>
        <w:rPr>
          <w:rFonts w:ascii="Times New Roman" w:hAnsi="Times New Roman" w:cs="Times New Roman"/>
        </w:rPr>
      </w:pPr>
      <w:r w:rsidRPr="00176788">
        <w:rPr>
          <w:rFonts w:ascii="Times New Roman" w:hAnsi="Times New Roman" w:cs="Times New Roman"/>
        </w:rPr>
        <w:t xml:space="preserve">13. </w:t>
      </w:r>
      <w:r w:rsidRPr="00176788">
        <w:rPr>
          <w:rFonts w:ascii="Times New Roman" w:hAnsi="Times New Roman" w:cs="Times New Roman"/>
        </w:rPr>
        <w:tab/>
        <w:t xml:space="preserve">Simó R, Archer SD, Pedrós-Alió C, Gilpin L, Stelfox-Widdicombe CE. Coupled dynamics of dimethylsulfoniopropionate and dimethylsulfide cycling and the microbial food web in surface waters of the North Atlantic. Limnol Oceanogr. 2002;47(1):53–61. </w:t>
      </w:r>
    </w:p>
    <w:p w14:paraId="05078E25" w14:textId="1DEE1E61" w:rsidR="007D38A7" w:rsidRPr="007D38A7" w:rsidRDefault="00A86226" w:rsidP="007D38A7">
      <w:pPr>
        <w:pStyle w:val="Bibliography"/>
        <w:ind w:left="0" w:firstLine="0"/>
      </w:pPr>
      <w:r w:rsidRPr="00E71220">
        <w:fldChar w:fldCharType="end"/>
      </w:r>
    </w:p>
    <w:sectPr w:rsidR="007D38A7" w:rsidRPr="007D38A7" w:rsidSect="00CC35D3">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231BE"/>
    <w:multiLevelType w:val="hybridMultilevel"/>
    <w:tmpl w:val="47BED1F4"/>
    <w:lvl w:ilvl="0" w:tplc="DC622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50A"/>
    <w:rsid w:val="000001A2"/>
    <w:rsid w:val="00027D56"/>
    <w:rsid w:val="000326E1"/>
    <w:rsid w:val="00036CDE"/>
    <w:rsid w:val="0004222E"/>
    <w:rsid w:val="0005014B"/>
    <w:rsid w:val="00051231"/>
    <w:rsid w:val="000525BB"/>
    <w:rsid w:val="000622E2"/>
    <w:rsid w:val="00072A03"/>
    <w:rsid w:val="00074408"/>
    <w:rsid w:val="000763DE"/>
    <w:rsid w:val="000B68D7"/>
    <w:rsid w:val="000C41BD"/>
    <w:rsid w:val="000C4F2A"/>
    <w:rsid w:val="000E2A18"/>
    <w:rsid w:val="000F1B6B"/>
    <w:rsid w:val="000F3977"/>
    <w:rsid w:val="0010101E"/>
    <w:rsid w:val="0010296B"/>
    <w:rsid w:val="00102D33"/>
    <w:rsid w:val="00106499"/>
    <w:rsid w:val="001064A2"/>
    <w:rsid w:val="001138B6"/>
    <w:rsid w:val="0012487D"/>
    <w:rsid w:val="00124962"/>
    <w:rsid w:val="00133D39"/>
    <w:rsid w:val="00146E9B"/>
    <w:rsid w:val="00150C7C"/>
    <w:rsid w:val="00171D08"/>
    <w:rsid w:val="00174C46"/>
    <w:rsid w:val="00176788"/>
    <w:rsid w:val="001772B7"/>
    <w:rsid w:val="001816A8"/>
    <w:rsid w:val="00191C84"/>
    <w:rsid w:val="001A0404"/>
    <w:rsid w:val="001A650A"/>
    <w:rsid w:val="001C2F60"/>
    <w:rsid w:val="001C3EA9"/>
    <w:rsid w:val="001D4DFC"/>
    <w:rsid w:val="001D4FEE"/>
    <w:rsid w:val="001D6FBD"/>
    <w:rsid w:val="001F0AB7"/>
    <w:rsid w:val="001F0D1D"/>
    <w:rsid w:val="001F1721"/>
    <w:rsid w:val="001F2050"/>
    <w:rsid w:val="00203740"/>
    <w:rsid w:val="0020703A"/>
    <w:rsid w:val="00213C65"/>
    <w:rsid w:val="00214673"/>
    <w:rsid w:val="0023066F"/>
    <w:rsid w:val="002545D3"/>
    <w:rsid w:val="002624F0"/>
    <w:rsid w:val="002675EF"/>
    <w:rsid w:val="00273BD8"/>
    <w:rsid w:val="00283F7B"/>
    <w:rsid w:val="00290B76"/>
    <w:rsid w:val="002B5F30"/>
    <w:rsid w:val="002B6873"/>
    <w:rsid w:val="002B6D2F"/>
    <w:rsid w:val="002C0F8C"/>
    <w:rsid w:val="002C37FC"/>
    <w:rsid w:val="002C41C7"/>
    <w:rsid w:val="002D2D60"/>
    <w:rsid w:val="002D4516"/>
    <w:rsid w:val="002D5496"/>
    <w:rsid w:val="002E332D"/>
    <w:rsid w:val="002F3D47"/>
    <w:rsid w:val="002F4AF4"/>
    <w:rsid w:val="003024BB"/>
    <w:rsid w:val="00316F8F"/>
    <w:rsid w:val="00335BD7"/>
    <w:rsid w:val="00336FBC"/>
    <w:rsid w:val="00350854"/>
    <w:rsid w:val="003512F8"/>
    <w:rsid w:val="00364DD7"/>
    <w:rsid w:val="00371BD9"/>
    <w:rsid w:val="0037468C"/>
    <w:rsid w:val="00384303"/>
    <w:rsid w:val="00385B53"/>
    <w:rsid w:val="003953E1"/>
    <w:rsid w:val="00396BA0"/>
    <w:rsid w:val="003977EF"/>
    <w:rsid w:val="003B2E42"/>
    <w:rsid w:val="003B5D14"/>
    <w:rsid w:val="003D2862"/>
    <w:rsid w:val="003E0182"/>
    <w:rsid w:val="003E22FC"/>
    <w:rsid w:val="003E4ED0"/>
    <w:rsid w:val="003F20D1"/>
    <w:rsid w:val="004012F6"/>
    <w:rsid w:val="00405CA3"/>
    <w:rsid w:val="0040755E"/>
    <w:rsid w:val="00413F7C"/>
    <w:rsid w:val="004168C6"/>
    <w:rsid w:val="00425395"/>
    <w:rsid w:val="004347FE"/>
    <w:rsid w:val="004349EF"/>
    <w:rsid w:val="00437B13"/>
    <w:rsid w:val="00450001"/>
    <w:rsid w:val="0045128F"/>
    <w:rsid w:val="0045311C"/>
    <w:rsid w:val="00453894"/>
    <w:rsid w:val="004873F6"/>
    <w:rsid w:val="00495E0E"/>
    <w:rsid w:val="004A01CB"/>
    <w:rsid w:val="004C3FB8"/>
    <w:rsid w:val="004C6303"/>
    <w:rsid w:val="004C73F2"/>
    <w:rsid w:val="004D1AB3"/>
    <w:rsid w:val="004E16F8"/>
    <w:rsid w:val="004F5955"/>
    <w:rsid w:val="00505620"/>
    <w:rsid w:val="00514D41"/>
    <w:rsid w:val="005207E9"/>
    <w:rsid w:val="0053740D"/>
    <w:rsid w:val="00544F6F"/>
    <w:rsid w:val="005534A4"/>
    <w:rsid w:val="005622C3"/>
    <w:rsid w:val="00573158"/>
    <w:rsid w:val="00581446"/>
    <w:rsid w:val="00596779"/>
    <w:rsid w:val="005B75FE"/>
    <w:rsid w:val="005B7879"/>
    <w:rsid w:val="005D1EDA"/>
    <w:rsid w:val="005E1113"/>
    <w:rsid w:val="005E49C9"/>
    <w:rsid w:val="005F18B7"/>
    <w:rsid w:val="00606DAC"/>
    <w:rsid w:val="00610E2C"/>
    <w:rsid w:val="006115BE"/>
    <w:rsid w:val="0061560C"/>
    <w:rsid w:val="00623AB8"/>
    <w:rsid w:val="00623C91"/>
    <w:rsid w:val="00627ECA"/>
    <w:rsid w:val="006352F1"/>
    <w:rsid w:val="00647C0D"/>
    <w:rsid w:val="00652EF0"/>
    <w:rsid w:val="0066661F"/>
    <w:rsid w:val="00682B21"/>
    <w:rsid w:val="00690D5E"/>
    <w:rsid w:val="00693CB4"/>
    <w:rsid w:val="00697EE9"/>
    <w:rsid w:val="006B059D"/>
    <w:rsid w:val="006B42C1"/>
    <w:rsid w:val="006C72CE"/>
    <w:rsid w:val="006D02FF"/>
    <w:rsid w:val="006D78BB"/>
    <w:rsid w:val="006F7381"/>
    <w:rsid w:val="007040CD"/>
    <w:rsid w:val="007048F2"/>
    <w:rsid w:val="00717C6F"/>
    <w:rsid w:val="00722893"/>
    <w:rsid w:val="00730516"/>
    <w:rsid w:val="00755EB8"/>
    <w:rsid w:val="00760E39"/>
    <w:rsid w:val="007705C4"/>
    <w:rsid w:val="00776949"/>
    <w:rsid w:val="00785711"/>
    <w:rsid w:val="00787121"/>
    <w:rsid w:val="007A2243"/>
    <w:rsid w:val="007B1CAD"/>
    <w:rsid w:val="007C7C5C"/>
    <w:rsid w:val="007D0137"/>
    <w:rsid w:val="007D38A7"/>
    <w:rsid w:val="007D7763"/>
    <w:rsid w:val="007E1F36"/>
    <w:rsid w:val="007E3DDE"/>
    <w:rsid w:val="007E6D1B"/>
    <w:rsid w:val="007F0584"/>
    <w:rsid w:val="007F6B8A"/>
    <w:rsid w:val="0080668F"/>
    <w:rsid w:val="00807110"/>
    <w:rsid w:val="008127F5"/>
    <w:rsid w:val="00812BC5"/>
    <w:rsid w:val="00813C68"/>
    <w:rsid w:val="00813DB1"/>
    <w:rsid w:val="00821A79"/>
    <w:rsid w:val="0083500F"/>
    <w:rsid w:val="00836C27"/>
    <w:rsid w:val="00837383"/>
    <w:rsid w:val="0085184C"/>
    <w:rsid w:val="00852F33"/>
    <w:rsid w:val="008607E6"/>
    <w:rsid w:val="00866EFF"/>
    <w:rsid w:val="008717A1"/>
    <w:rsid w:val="00877FC5"/>
    <w:rsid w:val="00893BB5"/>
    <w:rsid w:val="008943B6"/>
    <w:rsid w:val="008A2AC7"/>
    <w:rsid w:val="008A3173"/>
    <w:rsid w:val="008B1D83"/>
    <w:rsid w:val="008E2FBF"/>
    <w:rsid w:val="008E3207"/>
    <w:rsid w:val="008E59AA"/>
    <w:rsid w:val="008F0AD7"/>
    <w:rsid w:val="008F6E4C"/>
    <w:rsid w:val="008F78AC"/>
    <w:rsid w:val="00901618"/>
    <w:rsid w:val="00906CBA"/>
    <w:rsid w:val="00920731"/>
    <w:rsid w:val="00925DF2"/>
    <w:rsid w:val="009347DB"/>
    <w:rsid w:val="0094770A"/>
    <w:rsid w:val="00963B3B"/>
    <w:rsid w:val="0096449C"/>
    <w:rsid w:val="00965DF3"/>
    <w:rsid w:val="0098337B"/>
    <w:rsid w:val="009A3663"/>
    <w:rsid w:val="009B128E"/>
    <w:rsid w:val="009B3F72"/>
    <w:rsid w:val="009B45CC"/>
    <w:rsid w:val="009D61C9"/>
    <w:rsid w:val="009E47F3"/>
    <w:rsid w:val="009F22AE"/>
    <w:rsid w:val="00A0000B"/>
    <w:rsid w:val="00A0272D"/>
    <w:rsid w:val="00A06575"/>
    <w:rsid w:val="00A204DF"/>
    <w:rsid w:val="00A2235D"/>
    <w:rsid w:val="00A23536"/>
    <w:rsid w:val="00A34D5B"/>
    <w:rsid w:val="00A35C9F"/>
    <w:rsid w:val="00A4154A"/>
    <w:rsid w:val="00A43F07"/>
    <w:rsid w:val="00A44F00"/>
    <w:rsid w:val="00A46A74"/>
    <w:rsid w:val="00A512F9"/>
    <w:rsid w:val="00A53402"/>
    <w:rsid w:val="00A6576F"/>
    <w:rsid w:val="00A74F29"/>
    <w:rsid w:val="00A825D5"/>
    <w:rsid w:val="00A8309E"/>
    <w:rsid w:val="00A85B2E"/>
    <w:rsid w:val="00A86226"/>
    <w:rsid w:val="00A8630E"/>
    <w:rsid w:val="00A86D56"/>
    <w:rsid w:val="00A9646D"/>
    <w:rsid w:val="00AA0148"/>
    <w:rsid w:val="00AA2796"/>
    <w:rsid w:val="00AB3B71"/>
    <w:rsid w:val="00AC473B"/>
    <w:rsid w:val="00AD55C9"/>
    <w:rsid w:val="00AE2469"/>
    <w:rsid w:val="00AE6B15"/>
    <w:rsid w:val="00AF6C1A"/>
    <w:rsid w:val="00B13E4A"/>
    <w:rsid w:val="00B20BA9"/>
    <w:rsid w:val="00B2397E"/>
    <w:rsid w:val="00B32895"/>
    <w:rsid w:val="00B36BF5"/>
    <w:rsid w:val="00B41E40"/>
    <w:rsid w:val="00B41FDE"/>
    <w:rsid w:val="00B451F3"/>
    <w:rsid w:val="00B5247F"/>
    <w:rsid w:val="00B6394D"/>
    <w:rsid w:val="00B7766A"/>
    <w:rsid w:val="00B7789D"/>
    <w:rsid w:val="00B84BBE"/>
    <w:rsid w:val="00BA6906"/>
    <w:rsid w:val="00BC57BB"/>
    <w:rsid w:val="00BC7E96"/>
    <w:rsid w:val="00BD6C90"/>
    <w:rsid w:val="00BE1ACE"/>
    <w:rsid w:val="00BE4E6A"/>
    <w:rsid w:val="00BF0127"/>
    <w:rsid w:val="00BF323F"/>
    <w:rsid w:val="00C01B2E"/>
    <w:rsid w:val="00C111BE"/>
    <w:rsid w:val="00C21124"/>
    <w:rsid w:val="00C26577"/>
    <w:rsid w:val="00C32B38"/>
    <w:rsid w:val="00C45439"/>
    <w:rsid w:val="00C5453A"/>
    <w:rsid w:val="00C66602"/>
    <w:rsid w:val="00CA1199"/>
    <w:rsid w:val="00CB104E"/>
    <w:rsid w:val="00CB2C06"/>
    <w:rsid w:val="00CB2C6A"/>
    <w:rsid w:val="00CB542F"/>
    <w:rsid w:val="00CC2F25"/>
    <w:rsid w:val="00CC35D3"/>
    <w:rsid w:val="00CC5D4E"/>
    <w:rsid w:val="00CC607B"/>
    <w:rsid w:val="00CD79E8"/>
    <w:rsid w:val="00CE2753"/>
    <w:rsid w:val="00CE5533"/>
    <w:rsid w:val="00CF2E57"/>
    <w:rsid w:val="00CF417F"/>
    <w:rsid w:val="00CF5DBB"/>
    <w:rsid w:val="00CF65AB"/>
    <w:rsid w:val="00D02393"/>
    <w:rsid w:val="00D10169"/>
    <w:rsid w:val="00D1610D"/>
    <w:rsid w:val="00D254F0"/>
    <w:rsid w:val="00D300F3"/>
    <w:rsid w:val="00D36EE5"/>
    <w:rsid w:val="00D4532E"/>
    <w:rsid w:val="00D6096B"/>
    <w:rsid w:val="00D62D67"/>
    <w:rsid w:val="00D70A5A"/>
    <w:rsid w:val="00D82C5F"/>
    <w:rsid w:val="00D842B8"/>
    <w:rsid w:val="00D85E6F"/>
    <w:rsid w:val="00D92D74"/>
    <w:rsid w:val="00D94DF1"/>
    <w:rsid w:val="00D97106"/>
    <w:rsid w:val="00DA5E27"/>
    <w:rsid w:val="00DA6EAC"/>
    <w:rsid w:val="00DD067C"/>
    <w:rsid w:val="00DD763C"/>
    <w:rsid w:val="00DE1478"/>
    <w:rsid w:val="00DE6F1C"/>
    <w:rsid w:val="00DF55FD"/>
    <w:rsid w:val="00E0194F"/>
    <w:rsid w:val="00E042C5"/>
    <w:rsid w:val="00E07CBE"/>
    <w:rsid w:val="00E265D6"/>
    <w:rsid w:val="00E26A31"/>
    <w:rsid w:val="00E308A9"/>
    <w:rsid w:val="00E30CB1"/>
    <w:rsid w:val="00E32DFA"/>
    <w:rsid w:val="00E36BE3"/>
    <w:rsid w:val="00E467E8"/>
    <w:rsid w:val="00E52947"/>
    <w:rsid w:val="00E5426C"/>
    <w:rsid w:val="00E71220"/>
    <w:rsid w:val="00E73AEA"/>
    <w:rsid w:val="00E761AD"/>
    <w:rsid w:val="00E83351"/>
    <w:rsid w:val="00E85881"/>
    <w:rsid w:val="00E9141D"/>
    <w:rsid w:val="00E91E24"/>
    <w:rsid w:val="00EA03CB"/>
    <w:rsid w:val="00EA2773"/>
    <w:rsid w:val="00EA4BEB"/>
    <w:rsid w:val="00EA695C"/>
    <w:rsid w:val="00EB74A6"/>
    <w:rsid w:val="00EC31EE"/>
    <w:rsid w:val="00EC7A39"/>
    <w:rsid w:val="00ED01E0"/>
    <w:rsid w:val="00ED2E12"/>
    <w:rsid w:val="00ED3546"/>
    <w:rsid w:val="00EE595A"/>
    <w:rsid w:val="00EE6945"/>
    <w:rsid w:val="00EE79DE"/>
    <w:rsid w:val="00EF471A"/>
    <w:rsid w:val="00F006A8"/>
    <w:rsid w:val="00F1073D"/>
    <w:rsid w:val="00F24C7C"/>
    <w:rsid w:val="00F36047"/>
    <w:rsid w:val="00F47341"/>
    <w:rsid w:val="00F574E2"/>
    <w:rsid w:val="00F66FCA"/>
    <w:rsid w:val="00F670A5"/>
    <w:rsid w:val="00F82882"/>
    <w:rsid w:val="00F85BCA"/>
    <w:rsid w:val="00F921EC"/>
    <w:rsid w:val="00F94617"/>
    <w:rsid w:val="00F96D31"/>
    <w:rsid w:val="00FA521E"/>
    <w:rsid w:val="00FB769A"/>
    <w:rsid w:val="00FC1D75"/>
    <w:rsid w:val="00FC74CA"/>
    <w:rsid w:val="00FD44D8"/>
    <w:rsid w:val="00FD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58C5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3D3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C35D3"/>
  </w:style>
  <w:style w:type="character" w:styleId="CommentReference">
    <w:name w:val="annotation reference"/>
    <w:basedOn w:val="DefaultParagraphFont"/>
    <w:uiPriority w:val="99"/>
    <w:semiHidden/>
    <w:unhideWhenUsed/>
    <w:rsid w:val="00776949"/>
    <w:rPr>
      <w:sz w:val="16"/>
      <w:szCs w:val="16"/>
    </w:rPr>
  </w:style>
  <w:style w:type="paragraph" w:styleId="CommentText">
    <w:name w:val="annotation text"/>
    <w:basedOn w:val="Normal"/>
    <w:link w:val="CommentTextChar"/>
    <w:uiPriority w:val="99"/>
    <w:unhideWhenUsed/>
    <w:rsid w:val="00776949"/>
    <w:rPr>
      <w:sz w:val="20"/>
      <w:szCs w:val="20"/>
    </w:rPr>
  </w:style>
  <w:style w:type="character" w:customStyle="1" w:styleId="CommentTextChar">
    <w:name w:val="Comment Text Char"/>
    <w:basedOn w:val="DefaultParagraphFont"/>
    <w:link w:val="CommentText"/>
    <w:uiPriority w:val="99"/>
    <w:rsid w:val="00776949"/>
    <w:rPr>
      <w:sz w:val="20"/>
      <w:szCs w:val="20"/>
    </w:rPr>
  </w:style>
  <w:style w:type="paragraph" w:styleId="CommentSubject">
    <w:name w:val="annotation subject"/>
    <w:basedOn w:val="CommentText"/>
    <w:next w:val="CommentText"/>
    <w:link w:val="CommentSubjectChar"/>
    <w:uiPriority w:val="99"/>
    <w:semiHidden/>
    <w:unhideWhenUsed/>
    <w:rsid w:val="00776949"/>
    <w:rPr>
      <w:b/>
      <w:bCs/>
    </w:rPr>
  </w:style>
  <w:style w:type="character" w:customStyle="1" w:styleId="CommentSubjectChar">
    <w:name w:val="Comment Subject Char"/>
    <w:basedOn w:val="CommentTextChar"/>
    <w:link w:val="CommentSubject"/>
    <w:uiPriority w:val="99"/>
    <w:semiHidden/>
    <w:rsid w:val="00776949"/>
    <w:rPr>
      <w:b/>
      <w:bCs/>
      <w:sz w:val="20"/>
      <w:szCs w:val="20"/>
    </w:rPr>
  </w:style>
  <w:style w:type="paragraph" w:styleId="BalloonText">
    <w:name w:val="Balloon Text"/>
    <w:basedOn w:val="Normal"/>
    <w:link w:val="BalloonTextChar"/>
    <w:uiPriority w:val="99"/>
    <w:semiHidden/>
    <w:unhideWhenUsed/>
    <w:rsid w:val="007769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6949"/>
    <w:rPr>
      <w:rFonts w:ascii="Times New Roman" w:hAnsi="Times New Roman" w:cs="Times New Roman"/>
      <w:sz w:val="18"/>
      <w:szCs w:val="18"/>
    </w:rPr>
  </w:style>
  <w:style w:type="paragraph" w:styleId="Revision">
    <w:name w:val="Revision"/>
    <w:hidden/>
    <w:uiPriority w:val="99"/>
    <w:semiHidden/>
    <w:rsid w:val="009B128E"/>
  </w:style>
  <w:style w:type="character" w:styleId="Hyperlink">
    <w:name w:val="Hyperlink"/>
    <w:basedOn w:val="DefaultParagraphFont"/>
    <w:uiPriority w:val="99"/>
    <w:unhideWhenUsed/>
    <w:rsid w:val="0012487D"/>
    <w:rPr>
      <w:color w:val="0000FF"/>
      <w:u w:val="single"/>
    </w:rPr>
  </w:style>
  <w:style w:type="character" w:customStyle="1" w:styleId="UnresolvedMention">
    <w:name w:val="Unresolved Mention"/>
    <w:basedOn w:val="DefaultParagraphFont"/>
    <w:uiPriority w:val="99"/>
    <w:rsid w:val="00C26577"/>
    <w:rPr>
      <w:color w:val="605E5C"/>
      <w:shd w:val="clear" w:color="auto" w:fill="E1DFDD"/>
    </w:rPr>
  </w:style>
  <w:style w:type="character" w:styleId="FollowedHyperlink">
    <w:name w:val="FollowedHyperlink"/>
    <w:basedOn w:val="DefaultParagraphFont"/>
    <w:uiPriority w:val="99"/>
    <w:semiHidden/>
    <w:unhideWhenUsed/>
    <w:rsid w:val="0066661F"/>
    <w:rPr>
      <w:color w:val="954F72" w:themeColor="followedHyperlink"/>
      <w:u w:val="single"/>
    </w:rPr>
  </w:style>
  <w:style w:type="character" w:customStyle="1" w:styleId="Heading1Char">
    <w:name w:val="Heading 1 Char"/>
    <w:basedOn w:val="DefaultParagraphFont"/>
    <w:link w:val="Heading1"/>
    <w:uiPriority w:val="9"/>
    <w:rsid w:val="00133D3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133D39"/>
    <w:rPr>
      <w:i/>
      <w:iCs/>
    </w:rPr>
  </w:style>
  <w:style w:type="paragraph" w:styleId="Bibliography">
    <w:name w:val="Bibliography"/>
    <w:basedOn w:val="Normal"/>
    <w:next w:val="Normal"/>
    <w:uiPriority w:val="37"/>
    <w:unhideWhenUsed/>
    <w:rsid w:val="00A86226"/>
    <w:pPr>
      <w:tabs>
        <w:tab w:val="left" w:pos="500"/>
      </w:tabs>
      <w:spacing w:after="240"/>
      <w:ind w:left="504" w:hanging="504"/>
    </w:pPr>
  </w:style>
  <w:style w:type="paragraph" w:customStyle="1" w:styleId="Body">
    <w:name w:val="Body"/>
    <w:rsid w:val="00B41E40"/>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character" w:customStyle="1" w:styleId="Hyperlink0">
    <w:name w:val="Hyperlink.0"/>
    <w:basedOn w:val="DefaultParagraphFont"/>
    <w:rsid w:val="00A23536"/>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3D3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C35D3"/>
  </w:style>
  <w:style w:type="character" w:styleId="CommentReference">
    <w:name w:val="annotation reference"/>
    <w:basedOn w:val="DefaultParagraphFont"/>
    <w:uiPriority w:val="99"/>
    <w:semiHidden/>
    <w:unhideWhenUsed/>
    <w:rsid w:val="00776949"/>
    <w:rPr>
      <w:sz w:val="16"/>
      <w:szCs w:val="16"/>
    </w:rPr>
  </w:style>
  <w:style w:type="paragraph" w:styleId="CommentText">
    <w:name w:val="annotation text"/>
    <w:basedOn w:val="Normal"/>
    <w:link w:val="CommentTextChar"/>
    <w:uiPriority w:val="99"/>
    <w:unhideWhenUsed/>
    <w:rsid w:val="00776949"/>
    <w:rPr>
      <w:sz w:val="20"/>
      <w:szCs w:val="20"/>
    </w:rPr>
  </w:style>
  <w:style w:type="character" w:customStyle="1" w:styleId="CommentTextChar">
    <w:name w:val="Comment Text Char"/>
    <w:basedOn w:val="DefaultParagraphFont"/>
    <w:link w:val="CommentText"/>
    <w:uiPriority w:val="99"/>
    <w:rsid w:val="00776949"/>
    <w:rPr>
      <w:sz w:val="20"/>
      <w:szCs w:val="20"/>
    </w:rPr>
  </w:style>
  <w:style w:type="paragraph" w:styleId="CommentSubject">
    <w:name w:val="annotation subject"/>
    <w:basedOn w:val="CommentText"/>
    <w:next w:val="CommentText"/>
    <w:link w:val="CommentSubjectChar"/>
    <w:uiPriority w:val="99"/>
    <w:semiHidden/>
    <w:unhideWhenUsed/>
    <w:rsid w:val="00776949"/>
    <w:rPr>
      <w:b/>
      <w:bCs/>
    </w:rPr>
  </w:style>
  <w:style w:type="character" w:customStyle="1" w:styleId="CommentSubjectChar">
    <w:name w:val="Comment Subject Char"/>
    <w:basedOn w:val="CommentTextChar"/>
    <w:link w:val="CommentSubject"/>
    <w:uiPriority w:val="99"/>
    <w:semiHidden/>
    <w:rsid w:val="00776949"/>
    <w:rPr>
      <w:b/>
      <w:bCs/>
      <w:sz w:val="20"/>
      <w:szCs w:val="20"/>
    </w:rPr>
  </w:style>
  <w:style w:type="paragraph" w:styleId="BalloonText">
    <w:name w:val="Balloon Text"/>
    <w:basedOn w:val="Normal"/>
    <w:link w:val="BalloonTextChar"/>
    <w:uiPriority w:val="99"/>
    <w:semiHidden/>
    <w:unhideWhenUsed/>
    <w:rsid w:val="007769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6949"/>
    <w:rPr>
      <w:rFonts w:ascii="Times New Roman" w:hAnsi="Times New Roman" w:cs="Times New Roman"/>
      <w:sz w:val="18"/>
      <w:szCs w:val="18"/>
    </w:rPr>
  </w:style>
  <w:style w:type="paragraph" w:styleId="Revision">
    <w:name w:val="Revision"/>
    <w:hidden/>
    <w:uiPriority w:val="99"/>
    <w:semiHidden/>
    <w:rsid w:val="009B128E"/>
  </w:style>
  <w:style w:type="character" w:styleId="Hyperlink">
    <w:name w:val="Hyperlink"/>
    <w:basedOn w:val="DefaultParagraphFont"/>
    <w:uiPriority w:val="99"/>
    <w:unhideWhenUsed/>
    <w:rsid w:val="0012487D"/>
    <w:rPr>
      <w:color w:val="0000FF"/>
      <w:u w:val="single"/>
    </w:rPr>
  </w:style>
  <w:style w:type="character" w:customStyle="1" w:styleId="UnresolvedMention">
    <w:name w:val="Unresolved Mention"/>
    <w:basedOn w:val="DefaultParagraphFont"/>
    <w:uiPriority w:val="99"/>
    <w:rsid w:val="00C26577"/>
    <w:rPr>
      <w:color w:val="605E5C"/>
      <w:shd w:val="clear" w:color="auto" w:fill="E1DFDD"/>
    </w:rPr>
  </w:style>
  <w:style w:type="character" w:styleId="FollowedHyperlink">
    <w:name w:val="FollowedHyperlink"/>
    <w:basedOn w:val="DefaultParagraphFont"/>
    <w:uiPriority w:val="99"/>
    <w:semiHidden/>
    <w:unhideWhenUsed/>
    <w:rsid w:val="0066661F"/>
    <w:rPr>
      <w:color w:val="954F72" w:themeColor="followedHyperlink"/>
      <w:u w:val="single"/>
    </w:rPr>
  </w:style>
  <w:style w:type="character" w:customStyle="1" w:styleId="Heading1Char">
    <w:name w:val="Heading 1 Char"/>
    <w:basedOn w:val="DefaultParagraphFont"/>
    <w:link w:val="Heading1"/>
    <w:uiPriority w:val="9"/>
    <w:rsid w:val="00133D3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133D39"/>
    <w:rPr>
      <w:i/>
      <w:iCs/>
    </w:rPr>
  </w:style>
  <w:style w:type="paragraph" w:styleId="Bibliography">
    <w:name w:val="Bibliography"/>
    <w:basedOn w:val="Normal"/>
    <w:next w:val="Normal"/>
    <w:uiPriority w:val="37"/>
    <w:unhideWhenUsed/>
    <w:rsid w:val="00A86226"/>
    <w:pPr>
      <w:tabs>
        <w:tab w:val="left" w:pos="500"/>
      </w:tabs>
      <w:spacing w:after="240"/>
      <w:ind w:left="504" w:hanging="504"/>
    </w:pPr>
  </w:style>
  <w:style w:type="paragraph" w:customStyle="1" w:styleId="Body">
    <w:name w:val="Body"/>
    <w:rsid w:val="00B41E40"/>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character" w:customStyle="1" w:styleId="Hyperlink0">
    <w:name w:val="Hyperlink.0"/>
    <w:basedOn w:val="DefaultParagraphFont"/>
    <w:rsid w:val="00A235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9968">
      <w:bodyDiv w:val="1"/>
      <w:marLeft w:val="0"/>
      <w:marRight w:val="0"/>
      <w:marTop w:val="0"/>
      <w:marBottom w:val="0"/>
      <w:divBdr>
        <w:top w:val="none" w:sz="0" w:space="0" w:color="auto"/>
        <w:left w:val="none" w:sz="0" w:space="0" w:color="auto"/>
        <w:bottom w:val="none" w:sz="0" w:space="0" w:color="auto"/>
        <w:right w:val="none" w:sz="0" w:space="0" w:color="auto"/>
      </w:divBdr>
    </w:div>
    <w:div w:id="87504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10102</Words>
  <Characters>57587</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Magasin</dc:creator>
  <cp:keywords/>
  <dc:description/>
  <cp:lastModifiedBy>Rajeshwari</cp:lastModifiedBy>
  <cp:revision>19</cp:revision>
  <dcterms:created xsi:type="dcterms:W3CDTF">2020-03-06T00:28:00Z</dcterms:created>
  <dcterms:modified xsi:type="dcterms:W3CDTF">2020-04-10T13:42:00Z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id="4bEJvBE2"/&gt;&lt;style id="http://www.zotero.org/styles/vancouver-brackets"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