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B" w:rsidRPr="00F504ED" w:rsidRDefault="00306282" w:rsidP="00602BF8">
      <w:pPr>
        <w:rPr>
          <w:b/>
          <w:szCs w:val="16"/>
          <w:lang w:val="en-US"/>
        </w:rPr>
      </w:pPr>
      <w:bookmarkStart w:id="0" w:name="_GoBack"/>
      <w:bookmarkEnd w:id="0"/>
      <w:r w:rsidRPr="00F504ED">
        <w:rPr>
          <w:b/>
          <w:szCs w:val="16"/>
          <w:lang w:val="en-US"/>
        </w:rPr>
        <w:t>S1 Table.</w:t>
      </w:r>
      <w:r w:rsidR="00D55E20">
        <w:rPr>
          <w:b/>
          <w:szCs w:val="16"/>
          <w:lang w:val="en-US"/>
        </w:rPr>
        <w:t xml:space="preserve"> All m</w:t>
      </w:r>
      <w:r w:rsidRPr="00F504ED">
        <w:rPr>
          <w:b/>
          <w:szCs w:val="16"/>
          <w:lang w:val="en-US"/>
        </w:rPr>
        <w:t xml:space="preserve">odel parameters and </w:t>
      </w:r>
      <w:r w:rsidR="009F250B" w:rsidRPr="00F504ED">
        <w:rPr>
          <w:b/>
          <w:szCs w:val="16"/>
          <w:lang w:val="en-US"/>
        </w:rPr>
        <w:t>sensitivity analyses range</w:t>
      </w:r>
    </w:p>
    <w:tbl>
      <w:tblPr>
        <w:tblStyle w:val="PlainTable4"/>
        <w:tblW w:w="5000" w:type="pct"/>
        <w:tblLayout w:type="fixed"/>
        <w:tblLook w:val="04A0" w:firstRow="1" w:lastRow="0" w:firstColumn="1" w:lastColumn="0" w:noHBand="0" w:noVBand="1"/>
      </w:tblPr>
      <w:tblGrid>
        <w:gridCol w:w="4253"/>
        <w:gridCol w:w="1277"/>
        <w:gridCol w:w="1415"/>
        <w:gridCol w:w="1361"/>
      </w:tblGrid>
      <w:tr w:rsidR="009F250B" w:rsidRPr="00602BF8" w:rsidTr="00BF4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F250B" w:rsidRPr="00A21B28" w:rsidRDefault="00A21B28" w:rsidP="00BF432D">
            <w:pPr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>Parameters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250B" w:rsidRPr="00602BF8" w:rsidRDefault="009F250B" w:rsidP="00BF432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Base</w:t>
            </w:r>
            <w:proofErr w:type="spellEnd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Case</w:t>
            </w:r>
            <w:proofErr w:type="spellEnd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Value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250B" w:rsidRPr="00602BF8" w:rsidRDefault="009F250B" w:rsidP="00BF432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Lower</w:t>
            </w:r>
            <w:proofErr w:type="spellEnd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Value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250B" w:rsidRPr="00602BF8" w:rsidRDefault="009F250B" w:rsidP="00BF432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Upper</w:t>
            </w:r>
            <w:proofErr w:type="spellEnd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Value</w:t>
            </w:r>
            <w:proofErr w:type="spellEnd"/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250B" w:rsidRPr="00833438" w:rsidRDefault="009F250B" w:rsidP="00BF432D">
            <w:pPr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 xml:space="preserve">Compliance parameters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250B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</w:p>
        </w:tc>
      </w:tr>
      <w:tr w:rsidR="009F250B" w:rsidRPr="00833438" w:rsidTr="00BF43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Attedance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rate for management algorithms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30,3</w:t>
            </w: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%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20%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Compliance rate for cervical cancer screening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30,3</w:t>
            </w: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%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20%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80%</w:t>
            </w:r>
          </w:p>
        </w:tc>
      </w:tr>
      <w:tr w:rsidR="009F250B" w:rsidRPr="00602BF8" w:rsidTr="00BF432D">
        <w:trPr>
          <w:gridAfter w:val="1"/>
          <w:wAfter w:w="819" w:type="pct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pct"/>
            <w:gridSpan w:val="3"/>
            <w:shd w:val="clear" w:color="auto" w:fill="auto"/>
            <w:noWrap/>
            <w:hideMark/>
          </w:tcPr>
          <w:p w:rsidR="009F250B" w:rsidRPr="00602BF8" w:rsidRDefault="009F250B" w:rsidP="00BF432D">
            <w:pPr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Cost</w:t>
            </w:r>
            <w:proofErr w:type="spellEnd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 xml:space="preserve"> parameters (±20%)</w:t>
            </w:r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ab/>
            </w:r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ab/>
            </w:r>
          </w:p>
          <w:p w:rsidR="009F250B" w:rsidRPr="00602BF8" w:rsidRDefault="009F250B" w:rsidP="00BF432D">
            <w:pPr>
              <w:jc w:val="right"/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</w:pPr>
            <w:r w:rsidRPr="00602BF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Office visit (routine/repeat screening) cost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 xml:space="preserve">           </w:t>
            </w: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10,00 € 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  8,00 € 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12,00 € 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Office visit (diagnostic follow up)  cost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 xml:space="preserve">           </w:t>
            </w: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10,00 €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  8,00 € 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12,00 € 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Cytology test (liquid based) cost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 xml:space="preserve">           </w:t>
            </w: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13,32 €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10,66 € 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15,98 € 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Cytology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test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(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conventional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) 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13,32 €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10,66 € 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15,98 € 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Cytology test additional cost of abnormal test  cost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 xml:space="preserve">           </w:t>
            </w: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13,32 €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10,66 € 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15,98 € 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HPV DNA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testing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80,00 €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64,00 € 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96,00 € 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Linear array HPV genotyping test cost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 xml:space="preserve">           </w:t>
            </w: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80,00 €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64,00 € 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96,00 € 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Colposcopy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plus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biopsy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38,74 €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30,99 € 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 xml:space="preserve">           46,49 € 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Treatment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for CIN 2+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1.533,02 €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1.226,41 €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1.839,62 €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Treatment of invasive cervical cancer cost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20.572,60 €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16.458,08 €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24.687,12 €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Discount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rate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for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3,5%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0%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6%</w:t>
            </w:r>
          </w:p>
        </w:tc>
      </w:tr>
      <w:tr w:rsidR="009F250B" w:rsidRPr="00602BF8" w:rsidTr="00BF43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F250B" w:rsidRPr="00602BF8" w:rsidRDefault="009F250B" w:rsidP="00BF432D">
            <w:pPr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</w:pPr>
            <w:proofErr w:type="spellStart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Clinical</w:t>
            </w:r>
            <w:proofErr w:type="spellEnd"/>
            <w:r w:rsidRPr="00602BF8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 xml:space="preserve"> parameters</w:t>
            </w:r>
            <w:r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 xml:space="preserve"> *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602BF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</w:pPr>
            <w:r w:rsidRPr="00602BF8"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602BF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</w:pPr>
            <w:r w:rsidRPr="00602BF8"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602BF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</w:pPr>
            <w:r w:rsidRPr="00602BF8"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Discount rate for clinical outcomes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3,5%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0%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6%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2C4BE3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Cytology</w:t>
            </w:r>
            <w:proofErr w:type="spellEnd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(</w:t>
            </w:r>
            <w:proofErr w:type="spellStart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threshold</w:t>
            </w:r>
            <w:proofErr w:type="spellEnd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=ASCUS)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cytology for CIN 2+ (ASCUS)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53,70%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37%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69,30%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cytology for CIN 3+ (ASCUS)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64,30%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35%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87,20%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cytology for CC (ASCUS)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64,30%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35%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87,20%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Specificity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of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cytology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(ASCUS)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96,80%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96%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97,40%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2C4BE3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Cytology</w:t>
            </w:r>
            <w:proofErr w:type="spellEnd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(</w:t>
            </w:r>
            <w:proofErr w:type="spellStart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threshold</w:t>
            </w:r>
            <w:proofErr w:type="spellEnd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= LSIL)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cytology for CIN 2+ (LSIL)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41,50%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26,30%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57,90%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cytology for CIN 3+ (LSIL)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57,10%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28,90%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82,30%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cytology for CC (LSIL)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57,10%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28,90%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82,30%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Specificity of cytology for CIN2+ (LSIL)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98,80%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98,40%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99,10%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2C4BE3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Cytology</w:t>
            </w:r>
            <w:proofErr w:type="spellEnd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(</w:t>
            </w:r>
            <w:proofErr w:type="spellStart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threshold</w:t>
            </w:r>
            <w:proofErr w:type="spellEnd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= HSIL)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cytology for CIN 2+ (HSIL)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17,70%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8,50%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31,30%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cytology for CIN 3+ (HSIL)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21,40%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7,60%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47,60%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cytology for CC (HSIL)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21,40%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7,60%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47,60%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Specificity of cytology for CIN 2+ (HSIL)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99,80%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99,60%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99,90%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2C4BE3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HPV </w:t>
            </w:r>
            <w:proofErr w:type="spellStart"/>
            <w:r w:rsidRPr="002C4BE3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testing</w:t>
            </w:r>
            <w:proofErr w:type="spellEnd"/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Sensitivity of pooled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testing for CIN2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100%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91,40%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100%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Sensitivity of pooled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testing for CIN3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100%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76,80%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100%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Sensitivity of pooled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testing for CC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100%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76,80%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100%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Specificity of pooled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testing  for CIN2+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100,00%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89,30%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91,20%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HPV with  genotyping for CIN2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58,50%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42,10%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73,70%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of HPV with  genotyping for CIN3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78,60%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49,20%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95,30%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Sensitivity HPV with  genotyping for CC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78,60%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49,20%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95,30%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Specificity of HPV with  genotyping for CIN2+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97,50%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96,90%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98%</w:t>
            </w:r>
          </w:p>
        </w:tc>
      </w:tr>
      <w:tr w:rsidR="009F250B" w:rsidRPr="00306282" w:rsidTr="00BF432D">
        <w:trPr>
          <w:gridAfter w:val="1"/>
          <w:wAfter w:w="819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306282" w:rsidRDefault="009F250B" w:rsidP="00BF432D">
            <w:pPr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</w:pPr>
            <w:proofErr w:type="spellStart"/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Epidemiological</w:t>
            </w:r>
            <w:proofErr w:type="spellEnd"/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 xml:space="preserve"> parameters (±10%)</w:t>
            </w:r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ab/>
            </w:r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ab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306282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</w:pPr>
            <w:r w:rsidRPr="00306282"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F250B" w:rsidRPr="00306282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el-GR"/>
              </w:rPr>
            </w:pP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Prevalence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of </w:t>
            </w:r>
            <w:r w:rsidR="00811BDE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14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hrHPV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12,70%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11,43%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13,97%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lastRenderedPageBreak/>
              <w:t>Prevalence of HPV16 and/or 18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3,90%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3,51%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4,29%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Prevalence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of CIN1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2,10%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1,89%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2,31%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Prevalence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of CIN2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0,70%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0,63%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0,77%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>Prevalence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eastAsia="el-GR"/>
              </w:rPr>
              <w:t xml:space="preserve"> of CIN3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0,40%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0,36%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0,44%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Prevalence of invasive cervical cancer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0,05%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0,05%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0,06%</w:t>
            </w:r>
          </w:p>
        </w:tc>
      </w:tr>
      <w:tr w:rsidR="009F250B" w:rsidRPr="00306282" w:rsidTr="00BF43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9" w:type="pct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306282" w:rsidRDefault="009F250B" w:rsidP="00BF432D">
            <w:pPr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Natural</w:t>
            </w:r>
            <w:proofErr w:type="spellEnd"/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History</w:t>
            </w:r>
            <w:proofErr w:type="spellEnd"/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Parameters</w:t>
            </w:r>
            <w:proofErr w:type="spellEnd"/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(</w:t>
            </w:r>
            <w:r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>±5%</w:t>
            </w:r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val="en-US" w:eastAsia="el-GR"/>
              </w:rPr>
              <w:t>)</w:t>
            </w:r>
            <w:r w:rsidRPr="00306282"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el-GR"/>
              </w:rPr>
              <w:tab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306282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</w:pPr>
            <w:r w:rsidRPr="00306282">
              <w:rPr>
                <w:rFonts w:eastAsia="Times New Roman" w:cstheme="minorHAnsi"/>
                <w:b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F250B" w:rsidRPr="00306282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20"/>
                <w:lang w:eastAsia="el-GR"/>
              </w:rPr>
            </w:pP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250B" w:rsidRPr="00602BF8" w:rsidRDefault="009F250B" w:rsidP="00BF432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602BF8"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eastAsia="el-GR"/>
              </w:rPr>
              <w:t>Well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eastAsia="el-GR"/>
              </w:rPr>
              <w:t>to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eastAsia="el-GR"/>
              </w:rPr>
              <w:t>hrHPV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eastAsia="el-GR"/>
              </w:rPr>
              <w:t>infection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4,24%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4,03%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4,45%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602BF8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val="en-US" w:eastAsia="el-GR"/>
              </w:rPr>
            </w:pPr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val="en-US" w:eastAsia="el-GR"/>
              </w:rPr>
              <w:t xml:space="preserve">Progression from </w:t>
            </w:r>
            <w:proofErr w:type="spellStart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val="en-US" w:eastAsia="el-GR"/>
              </w:rPr>
              <w:t xml:space="preserve"> (12 types)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> 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Progression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(12 types) to CIN1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8,06%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7,66%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8,46%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Progression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(12 types) to CIN2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0,05%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0,05%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0,05%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Progression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(12 types) to CIN3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0,13%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0,12%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0,14%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602BF8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Progression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from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hrHPV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16/18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Progression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16/18 to CIN1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9,87%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9,38%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10,36%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Progression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16/18 to CIN2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0,60%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0,57%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0,63%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Progression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16/18 to CIN3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1,50%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1,43%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1,58%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602BF8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Progression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from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CIN1 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Progression from CIN1 to CIN2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3,25%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3,09%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3,41%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Progression from CIN1 to CIN3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0,87%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0,83%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0,91%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602BF8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Progression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from</w:t>
            </w:r>
            <w:proofErr w:type="spellEnd"/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CIN2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Progression from CIN2 to CIN3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4,17%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3,96%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4,38%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Progression from CIN2 to Invasive Cervical Cancer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0,00%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0,00%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0,00%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</w:tcPr>
          <w:p w:rsidR="009F250B" w:rsidRPr="00602BF8" w:rsidRDefault="009F250B" w:rsidP="00BF432D">
            <w:pPr>
              <w:rPr>
                <w:rFonts w:eastAsia="Times New Roman" w:cstheme="minorHAnsi"/>
                <w:i/>
                <w:color w:val="000000" w:themeColor="text1"/>
                <w:sz w:val="16"/>
                <w:szCs w:val="20"/>
                <w:lang w:val="en-US" w:eastAsia="el-GR"/>
              </w:rPr>
            </w:pPr>
            <w:r w:rsidRPr="00602BF8">
              <w:rPr>
                <w:rFonts w:eastAsia="Times New Roman" w:cstheme="minorHAnsi"/>
                <w:b w:val="0"/>
                <w:i/>
                <w:color w:val="000000" w:themeColor="text1"/>
                <w:sz w:val="16"/>
                <w:szCs w:val="20"/>
                <w:lang w:val="en-US" w:eastAsia="el-GR"/>
              </w:rPr>
              <w:t xml:space="preserve">Progression from </w:t>
            </w:r>
            <w:r w:rsidRPr="00602BF8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val="en-US" w:eastAsia="el-GR"/>
              </w:rPr>
              <w:t>CIN3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Progression from </w:t>
            </w:r>
            <w:r w:rsidRPr="00833438"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val="en-US" w:eastAsia="el-GR"/>
              </w:rPr>
              <w:t>CIN3 to Invasive Cervical Cancer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1,13%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1,07%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1,19%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20"/>
                <w:lang w:val="en-US" w:eastAsia="el-GR"/>
              </w:rPr>
              <w:t xml:space="preserve">Annual mortality rate for cervical cancer 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0,64%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0,61%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0,67%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306282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val="en-US" w:eastAsia="el-GR"/>
              </w:rPr>
            </w:pPr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val="en-US" w:eastAsia="el-GR"/>
              </w:rPr>
              <w:t xml:space="preserve">Regression from </w:t>
            </w: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val="en-US" w:eastAsia="el-GR"/>
              </w:rPr>
              <w:t xml:space="preserve"> (12 types)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val="en-US" w:eastAsia="el-GR"/>
              </w:rPr>
              <w:t> 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Regression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(12 types) with NORMAL smear to well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58,60%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55,67%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61,53%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Regression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(12 types) with BORDERLINE/MILD smear to well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45,55%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43,27%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47,83%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306282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Regression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from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hrHPV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16/18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Regression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16/18 with NORMAL smear to well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43,76%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41,57%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45,95%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Regression from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 16/18 with BORDERLINE/MILD smear to well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21,83%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20,74%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22,92%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306282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Regression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from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CIN1 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Regression from CIN1 to well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21,16%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20,10%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22,22%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 xml:space="preserve">Regression from CIN1 to </w:t>
            </w:r>
            <w:proofErr w:type="spellStart"/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hrHPV</w:t>
            </w:r>
            <w:proofErr w:type="spellEnd"/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2,35%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2,23%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2,47%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306282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Regression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from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CIN2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Regression from CIN2 to well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9,39%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8,92%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9,86%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Regression from CIN2 to CIN1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9,39%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8,92%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9,86%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306282" w:rsidRDefault="009F250B" w:rsidP="00BF432D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</w:pP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Regression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</w:t>
            </w:r>
            <w:proofErr w:type="spellStart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>from</w:t>
            </w:r>
            <w:proofErr w:type="spellEnd"/>
            <w:r w:rsidRPr="00306282"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16"/>
                <w:szCs w:val="20"/>
                <w:lang w:eastAsia="el-GR"/>
              </w:rPr>
              <w:t xml:space="preserve"> CIN3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 </w:t>
            </w:r>
          </w:p>
        </w:tc>
      </w:tr>
      <w:tr w:rsidR="009F250B" w:rsidRPr="00833438" w:rsidTr="00BF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Regression from CIN3 to well</w:t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9,39%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8,92%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9,86%</w:t>
            </w:r>
          </w:p>
        </w:tc>
      </w:tr>
      <w:tr w:rsidR="009F250B" w:rsidRPr="00833438" w:rsidTr="00BF43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50B" w:rsidRPr="00833438" w:rsidRDefault="009F250B" w:rsidP="00BF432D">
            <w:pPr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</w:pPr>
            <w:r w:rsidRPr="00833438">
              <w:rPr>
                <w:rFonts w:eastAsia="Times New Roman" w:cstheme="minorHAnsi"/>
                <w:b w:val="0"/>
                <w:color w:val="000000" w:themeColor="text1"/>
                <w:sz w:val="16"/>
                <w:szCs w:val="20"/>
                <w:lang w:val="en-US" w:eastAsia="el-GR"/>
              </w:rPr>
              <w:t>Regression from CIN3 to CIN1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1,59%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1,51%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0B" w:rsidRPr="00833438" w:rsidRDefault="009F250B" w:rsidP="00BF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</w:pPr>
            <w:r w:rsidRPr="00833438">
              <w:rPr>
                <w:rFonts w:eastAsia="Times New Roman" w:cstheme="minorHAnsi"/>
                <w:color w:val="000000" w:themeColor="text1"/>
                <w:sz w:val="16"/>
                <w:szCs w:val="20"/>
                <w:lang w:eastAsia="el-GR"/>
              </w:rPr>
              <w:t>1,67%</w:t>
            </w:r>
          </w:p>
        </w:tc>
      </w:tr>
    </w:tbl>
    <w:p w:rsidR="009F250B" w:rsidRDefault="009F250B" w:rsidP="009F250B">
      <w:pPr>
        <w:rPr>
          <w:sz w:val="14"/>
          <w:szCs w:val="16"/>
          <w:lang w:val="en-US"/>
        </w:rPr>
      </w:pPr>
      <w:r w:rsidRPr="00602BF8">
        <w:rPr>
          <w:sz w:val="14"/>
          <w:szCs w:val="16"/>
          <w:lang w:val="en-US"/>
        </w:rPr>
        <w:t xml:space="preserve">* The </w:t>
      </w:r>
      <w:r>
        <w:rPr>
          <w:sz w:val="14"/>
          <w:szCs w:val="16"/>
          <w:lang w:val="en-US"/>
        </w:rPr>
        <w:t xml:space="preserve">sensitivity analyses </w:t>
      </w:r>
      <w:r w:rsidRPr="00602BF8">
        <w:rPr>
          <w:sz w:val="14"/>
          <w:szCs w:val="16"/>
          <w:lang w:val="en-US"/>
        </w:rPr>
        <w:t xml:space="preserve">range (lower and upper values) was drawn from </w:t>
      </w:r>
      <w:proofErr w:type="spellStart"/>
      <w:r w:rsidRPr="00602BF8">
        <w:rPr>
          <w:sz w:val="14"/>
          <w:szCs w:val="16"/>
          <w:lang w:val="en-US"/>
        </w:rPr>
        <w:t>Agorastos</w:t>
      </w:r>
      <w:proofErr w:type="spellEnd"/>
      <w:r w:rsidRPr="00602BF8">
        <w:rPr>
          <w:sz w:val="14"/>
          <w:szCs w:val="16"/>
          <w:lang w:val="en-US"/>
        </w:rPr>
        <w:t xml:space="preserve"> et al. (2015)</w:t>
      </w:r>
    </w:p>
    <w:p w:rsidR="009F250B" w:rsidRPr="00306282" w:rsidRDefault="009F250B" w:rsidP="00602BF8">
      <w:pPr>
        <w:rPr>
          <w:szCs w:val="16"/>
          <w:lang w:val="en-US"/>
        </w:rPr>
      </w:pPr>
    </w:p>
    <w:sectPr w:rsidR="009F250B" w:rsidRPr="00306282" w:rsidSect="009F250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7FEA"/>
    <w:multiLevelType w:val="hybridMultilevel"/>
    <w:tmpl w:val="9B987DC4"/>
    <w:lvl w:ilvl="0" w:tplc="825C8E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0"/>
    <w:rsid w:val="00074170"/>
    <w:rsid w:val="002C4BE3"/>
    <w:rsid w:val="00306282"/>
    <w:rsid w:val="00602BF8"/>
    <w:rsid w:val="00681711"/>
    <w:rsid w:val="00811BDE"/>
    <w:rsid w:val="00823E59"/>
    <w:rsid w:val="00833438"/>
    <w:rsid w:val="009F250B"/>
    <w:rsid w:val="00A21B28"/>
    <w:rsid w:val="00BB6CAA"/>
    <w:rsid w:val="00D55E20"/>
    <w:rsid w:val="00DB05F7"/>
    <w:rsid w:val="00E57650"/>
    <w:rsid w:val="00E72FF4"/>
    <w:rsid w:val="00F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28B3-0637-493E-83A7-1AE2D66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8334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3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0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Skroumpelos, Anastasis {MWJB~Athens}</dc:creator>
  <cp:keywords/>
  <dc:description/>
  <cp:lastModifiedBy>Skroumpelos, Anastasis {MWJB~Athens}</cp:lastModifiedBy>
  <cp:revision>2</cp:revision>
  <dcterms:created xsi:type="dcterms:W3CDTF">2019-11-28T10:40:00Z</dcterms:created>
  <dcterms:modified xsi:type="dcterms:W3CDTF">2019-11-28T10:40:00Z</dcterms:modified>
</cp:coreProperties>
</file>