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bookmarkStart w:id="0" w:name="_GoBack"/>
      <w:r>
        <w:rPr>
          <w:rFonts w:hint="default" w:ascii="Times New Roman" w:hAnsi="Times New Roman" w:cs="Times New Roman"/>
          <w:b/>
          <w:sz w:val="24"/>
          <w:szCs w:val="24"/>
        </w:rPr>
        <w:t>Supplementary Table 2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kern w:val="24"/>
          <w:sz w:val="24"/>
          <w:szCs w:val="24"/>
          <w14:textFill>
            <w14:solidFill>
              <w14:schemeClr w14:val="tx1"/>
            </w14:solidFill>
          </w14:textFill>
        </w:rPr>
        <w:t>The gradient, collision energy and mode of LC-MS analysis</w:t>
      </w:r>
      <w:bookmarkEnd w:id="0"/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drawing>
          <wp:inline distT="0" distB="0" distL="0" distR="0">
            <wp:extent cx="4947920" cy="2941955"/>
            <wp:effectExtent l="0" t="0" r="508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31" cy="29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4985385" cy="2795270"/>
            <wp:effectExtent l="0" t="0" r="571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060" cy="27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104130" cy="2202180"/>
            <wp:effectExtent l="0" t="0" r="127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8540" cy="22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F3"/>
    <w:rsid w:val="00424D69"/>
    <w:rsid w:val="00794CDE"/>
    <w:rsid w:val="007A6A44"/>
    <w:rsid w:val="00921A92"/>
    <w:rsid w:val="00CD1DF3"/>
    <w:rsid w:val="00F01360"/>
    <w:rsid w:val="618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</Words>
  <Characters>30</Characters>
  <Lines>1</Lines>
  <Paragraphs>1</Paragraphs>
  <TotalTime>5</TotalTime>
  <ScaleCrop>false</ScaleCrop>
  <LinksUpToDate>false</LinksUpToDate>
  <CharactersWithSpaces>34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2019-05-19T09:18:00Z</dcterms:created>
  <dc:creator>HP</dc:creator>
  <cp:lastModifiedBy>败酱猫</cp:lastModifiedBy>
  <dcterms:modified xsi:type="dcterms:W3CDTF">2019-08-30T14:13:30Z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