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F421" w14:textId="77777777" w:rsidR="0010178C" w:rsidRPr="002224B3" w:rsidRDefault="0010178C" w:rsidP="0010178C">
      <w:pPr>
        <w:spacing w:before="120" w:after="120" w:line="480" w:lineRule="auto"/>
        <w:rPr>
          <w:rFonts w:ascii="Times New Roman" w:hAnsi="Times New Roman" w:cs="Times New Roman"/>
          <w:b/>
          <w:lang w:val="en-US"/>
        </w:rPr>
      </w:pPr>
      <w:bookmarkStart w:id="0" w:name="_Hlk2530329"/>
      <w:bookmarkStart w:id="1" w:name="_GoBack"/>
      <w:bookmarkEnd w:id="1"/>
      <w:r w:rsidRPr="002224B3">
        <w:rPr>
          <w:rFonts w:ascii="Times New Roman" w:hAnsi="Times New Roman" w:cs="Times New Roman"/>
          <w:b/>
          <w:lang w:val="en-US"/>
        </w:rPr>
        <w:t>Supplemental methods</w:t>
      </w:r>
      <w:r w:rsidRPr="002224B3">
        <w:rPr>
          <w:rFonts w:ascii="Times New Roman" w:hAnsi="Times New Roman" w:cs="Times New Roman"/>
          <w:highlight w:val="yellow"/>
          <w:lang w:val="en-US"/>
        </w:rPr>
        <w:t xml:space="preserve"> </w:t>
      </w:r>
    </w:p>
    <w:p w14:paraId="3BE870E0" w14:textId="77777777" w:rsidR="0010178C" w:rsidRPr="002224B3" w:rsidRDefault="0010178C" w:rsidP="0010178C">
      <w:pPr>
        <w:spacing w:after="0" w:line="480" w:lineRule="auto"/>
        <w:rPr>
          <w:rFonts w:ascii="Times New Roman" w:hAnsi="Times New Roman" w:cs="Times New Roman"/>
          <w:b/>
          <w:lang w:val="en-GB"/>
        </w:rPr>
      </w:pPr>
      <w:r w:rsidRPr="002224B3">
        <w:rPr>
          <w:rFonts w:ascii="Times New Roman" w:hAnsi="Times New Roman" w:cs="Times New Roman"/>
          <w:b/>
          <w:lang w:val="en-GB"/>
        </w:rPr>
        <w:t xml:space="preserve">Statistical analyses for the primary study endpoint </w:t>
      </w:r>
    </w:p>
    <w:p w14:paraId="5F3F27E0" w14:textId="77777777" w:rsidR="0010178C" w:rsidRPr="002224B3" w:rsidRDefault="0010178C" w:rsidP="0010178C">
      <w:pPr>
        <w:spacing w:after="0" w:line="480" w:lineRule="auto"/>
        <w:rPr>
          <w:rFonts w:ascii="Times New Roman" w:hAnsi="Times New Roman" w:cs="Times New Roman"/>
          <w:lang w:val="en-GB"/>
        </w:rPr>
      </w:pPr>
      <w:r w:rsidRPr="002224B3">
        <w:rPr>
          <w:rFonts w:ascii="Times New Roman" w:hAnsi="Times New Roman" w:cs="Times New Roman"/>
          <w:lang w:val="en-GB"/>
        </w:rPr>
        <w:t>Uni- and multivariate Cox regression analyses were used to assess the effect of independent variables on the time to event for the study endpoint. Independent variables included those measured at the time of study enrolment (PLA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w:t>
      </w:r>
      <w:r w:rsidRPr="002224B3">
        <w:rPr>
          <w:rFonts w:ascii="Times New Roman" w:hAnsi="Times New Roman" w:cs="Times New Roman"/>
          <w:lang w:val="en-GB"/>
        </w:rPr>
        <w:t xml:space="preserve">levels, proteinuria, serum creatinine, age, sex, percentage of </w:t>
      </w:r>
      <w:r w:rsidRPr="002224B3">
        <w:rPr>
          <w:rFonts w:ascii="Times New Roman" w:hAnsi="Times New Roman" w:cs="Times New Roman"/>
          <w:lang w:val="en-US"/>
        </w:rPr>
        <w:t>tubular atrophy and interstitial fibrosis</w:t>
      </w:r>
      <w:r w:rsidRPr="002224B3">
        <w:rPr>
          <w:rFonts w:ascii="Times New Roman" w:hAnsi="Times New Roman" w:cs="Times New Roman"/>
          <w:lang w:val="en-GB"/>
        </w:rPr>
        <w:t>, time between renal biopsy and study enrolment) and those measured during follow-up that represented certain events occurring in the course of the study (depletion of 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relapse of </w:t>
      </w:r>
      <w:r w:rsidRPr="002224B3">
        <w:rPr>
          <w:rFonts w:ascii="Times New Roman" w:hAnsi="Times New Roman" w:cs="Times New Roman"/>
          <w:lang w:val="en-GB"/>
        </w:rPr>
        <w:t>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-ab positivity, remission of proteinuria, category of remission of proteinuria [partial remission versus complete remission], relapse of proteinuria,</w:t>
      </w:r>
      <w:r w:rsidRPr="002224B3">
        <w:rPr>
          <w:rFonts w:ascii="Times New Roman" w:hAnsi="Times New Roman" w:cs="Times New Roman"/>
          <w:lang w:val="en-GB"/>
        </w:rPr>
        <w:t xml:space="preserve"> use of immunosuppressive treatment). The continuous independent variables 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w:t>
      </w:r>
      <w:r w:rsidRPr="002224B3">
        <w:rPr>
          <w:rFonts w:ascii="Times New Roman" w:hAnsi="Times New Roman" w:cs="Times New Roman"/>
          <w:lang w:val="en-GB"/>
        </w:rPr>
        <w:t xml:space="preserve">level, proteinuria, serum creatinine, percentage of </w:t>
      </w:r>
      <w:r w:rsidRPr="002224B3">
        <w:rPr>
          <w:rFonts w:ascii="Times New Roman" w:hAnsi="Times New Roman" w:cs="Times New Roman"/>
          <w:lang w:val="en-US"/>
        </w:rPr>
        <w:t>tubular atrophy and interstitial fibrosis</w:t>
      </w:r>
      <w:r w:rsidRPr="002224B3">
        <w:rPr>
          <w:rFonts w:ascii="Times New Roman" w:hAnsi="Times New Roman" w:cs="Times New Roman"/>
          <w:lang w:val="en-GB"/>
        </w:rPr>
        <w:t xml:space="preserve">, time between renal biopsy and study enrolment were transformed to their binary logarithm prior to using them in Cox regression analyses. Time-dependent covariates were computed and used to test the proportional hazards assumption for individual independent variables. </w:t>
      </w:r>
      <w:r w:rsidRPr="002224B3">
        <w:rPr>
          <w:rFonts w:ascii="Times New Roman" w:hAnsi="Times New Roman" w:cs="Times New Roman"/>
          <w:lang w:val="en-US"/>
        </w:rPr>
        <w:t xml:space="preserve">For independent variables measured at baseline we thus adjusted the analysis for potential time-varying effects during follow-up. For independent variables measured during follow-up we adjusted the effect of the variable for the time when its event (e. g. </w:t>
      </w:r>
      <w:r w:rsidRPr="002224B3">
        <w:rPr>
          <w:rFonts w:ascii="Times New Roman" w:hAnsi="Times New Roman" w:cs="Times New Roman"/>
          <w:lang w:val="en-GB"/>
        </w:rPr>
        <w:t>depletion or relapse of 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-ab, remission or relapse of proteinuria,</w:t>
      </w:r>
      <w:r w:rsidRPr="002224B3">
        <w:rPr>
          <w:rFonts w:ascii="Times New Roman" w:hAnsi="Times New Roman" w:cs="Times New Roman"/>
          <w:lang w:val="en-GB"/>
        </w:rPr>
        <w:t xml:space="preserve"> start of immunosuppressive treatment</w:t>
      </w:r>
      <w:r w:rsidRPr="002224B3">
        <w:rPr>
          <w:rFonts w:ascii="Times New Roman" w:hAnsi="Times New Roman" w:cs="Times New Roman"/>
          <w:lang w:val="en-US"/>
        </w:rPr>
        <w:t xml:space="preserve">) had occurred. </w:t>
      </w:r>
    </w:p>
    <w:p w14:paraId="14E9A8CD" w14:textId="77777777" w:rsidR="0010178C" w:rsidRPr="002224B3" w:rsidRDefault="0010178C" w:rsidP="0010178C">
      <w:pPr>
        <w:spacing w:after="0" w:line="480" w:lineRule="auto"/>
        <w:rPr>
          <w:rFonts w:ascii="Times New Roman" w:hAnsi="Times New Roman" w:cs="Times New Roman"/>
          <w:lang w:val="en-GB"/>
        </w:rPr>
      </w:pPr>
    </w:p>
    <w:p w14:paraId="62FD6D94" w14:textId="77777777" w:rsidR="0010178C" w:rsidRPr="002224B3" w:rsidRDefault="0010178C" w:rsidP="0010178C">
      <w:pPr>
        <w:spacing w:after="0" w:line="480" w:lineRule="auto"/>
        <w:rPr>
          <w:rFonts w:ascii="Times New Roman" w:hAnsi="Times New Roman" w:cs="Times New Roman"/>
          <w:b/>
          <w:lang w:val="en-GB"/>
        </w:rPr>
      </w:pPr>
      <w:r w:rsidRPr="002224B3">
        <w:rPr>
          <w:rFonts w:ascii="Times New Roman" w:hAnsi="Times New Roman" w:cs="Times New Roman"/>
          <w:b/>
          <w:lang w:val="en-GB"/>
        </w:rPr>
        <w:t>Statistical analyses for depletion PLA</w:t>
      </w:r>
      <w:r w:rsidRPr="002224B3">
        <w:rPr>
          <w:rFonts w:ascii="Times New Roman" w:hAnsi="Times New Roman" w:cs="Times New Roman"/>
          <w:b/>
          <w:vertAlign w:val="subscript"/>
          <w:lang w:val="en-GB"/>
        </w:rPr>
        <w:t>2</w:t>
      </w:r>
      <w:r w:rsidRPr="002224B3">
        <w:rPr>
          <w:rFonts w:ascii="Times New Roman" w:hAnsi="Times New Roman" w:cs="Times New Roman"/>
          <w:b/>
          <w:lang w:val="en-GB"/>
        </w:rPr>
        <w:t>R1</w:t>
      </w:r>
      <w:r w:rsidRPr="002224B3">
        <w:rPr>
          <w:rFonts w:ascii="Times New Roman" w:hAnsi="Times New Roman" w:cs="Times New Roman"/>
          <w:b/>
          <w:lang w:val="en-US"/>
        </w:rPr>
        <w:t xml:space="preserve">-ab, </w:t>
      </w:r>
      <w:r w:rsidRPr="002224B3">
        <w:rPr>
          <w:rFonts w:ascii="Times New Roman" w:hAnsi="Times New Roman" w:cs="Times New Roman"/>
          <w:b/>
          <w:lang w:val="en-GB"/>
        </w:rPr>
        <w:t>relapse of PLA</w:t>
      </w:r>
      <w:r w:rsidRPr="002224B3">
        <w:rPr>
          <w:rFonts w:ascii="Times New Roman" w:hAnsi="Times New Roman" w:cs="Times New Roman"/>
          <w:b/>
          <w:vertAlign w:val="subscript"/>
          <w:lang w:val="en-GB"/>
        </w:rPr>
        <w:t>2</w:t>
      </w:r>
      <w:r w:rsidRPr="002224B3">
        <w:rPr>
          <w:rFonts w:ascii="Times New Roman" w:hAnsi="Times New Roman" w:cs="Times New Roman"/>
          <w:b/>
          <w:lang w:val="en-GB"/>
        </w:rPr>
        <w:t>R1</w:t>
      </w:r>
      <w:r w:rsidRPr="002224B3">
        <w:rPr>
          <w:rFonts w:ascii="Times New Roman" w:hAnsi="Times New Roman" w:cs="Times New Roman"/>
          <w:b/>
          <w:lang w:val="en-US"/>
        </w:rPr>
        <w:t xml:space="preserve">-ab, remission of </w:t>
      </w:r>
      <w:r w:rsidRPr="002224B3">
        <w:rPr>
          <w:rFonts w:ascii="Times New Roman" w:hAnsi="Times New Roman" w:cs="Times New Roman"/>
          <w:b/>
          <w:lang w:val="en-GB"/>
        </w:rPr>
        <w:t xml:space="preserve">proteinuria, and relapse of proteinuria </w:t>
      </w:r>
    </w:p>
    <w:p w14:paraId="2F61ADF1" w14:textId="77777777" w:rsidR="0010178C" w:rsidRPr="002224B3" w:rsidRDefault="0010178C" w:rsidP="0010178C">
      <w:pPr>
        <w:spacing w:after="0" w:line="480" w:lineRule="auto"/>
        <w:rPr>
          <w:rFonts w:ascii="Times New Roman" w:hAnsi="Times New Roman" w:cs="Times New Roman"/>
          <w:lang w:val="en-US"/>
        </w:rPr>
      </w:pPr>
      <w:r w:rsidRPr="002224B3">
        <w:rPr>
          <w:rFonts w:ascii="Times New Roman" w:hAnsi="Times New Roman" w:cs="Times New Roman"/>
          <w:lang w:val="en-GB"/>
        </w:rPr>
        <w:t xml:space="preserve">We analysed the following parameters as potential predictors for depletion </w:t>
      </w:r>
      <w:r w:rsidRPr="002224B3">
        <w:rPr>
          <w:rFonts w:ascii="Times New Roman" w:hAnsi="Times New Roman" w:cs="Times New Roman"/>
          <w:lang w:val="en-US"/>
        </w:rPr>
        <w:t>and relapse</w:t>
      </w:r>
      <w:r w:rsidRPr="002224B3">
        <w:rPr>
          <w:rFonts w:ascii="Times New Roman" w:hAnsi="Times New Roman" w:cs="Times New Roman"/>
          <w:lang w:val="en-GB"/>
        </w:rPr>
        <w:t xml:space="preserve"> of 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during follow-up: </w:t>
      </w:r>
      <w:r w:rsidRPr="002224B3">
        <w:rPr>
          <w:rFonts w:ascii="Times New Roman" w:hAnsi="Times New Roman" w:cs="Times New Roman"/>
          <w:lang w:val="en-GB"/>
        </w:rPr>
        <w:t>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w:t>
      </w:r>
      <w:r w:rsidRPr="002224B3">
        <w:rPr>
          <w:rFonts w:ascii="Times New Roman" w:hAnsi="Times New Roman" w:cs="Times New Roman"/>
          <w:lang w:val="en-GB"/>
        </w:rPr>
        <w:t xml:space="preserve">levels, proteinuria, serum creatinine, age, gender, time between renal biopsy and study enrolment (all parameters collected at the time of study enrolment) and usage of immunosuppressive treatment during follow-up. The parameters analysed as potential predictors for remission of proteinuria </w:t>
      </w:r>
      <w:r w:rsidRPr="002224B3">
        <w:rPr>
          <w:rFonts w:ascii="Times New Roman" w:hAnsi="Times New Roman" w:cs="Times New Roman"/>
          <w:lang w:val="en-US"/>
        </w:rPr>
        <w:t>during follow-up were</w:t>
      </w:r>
      <w:r w:rsidRPr="002224B3">
        <w:rPr>
          <w:rFonts w:ascii="Times New Roman" w:hAnsi="Times New Roman" w:cs="Times New Roman"/>
          <w:lang w:val="en-GB"/>
        </w:rPr>
        <w:t xml:space="preserve"> collected: a) at the time of study enrolment </w:t>
      </w:r>
      <w:r w:rsidRPr="002224B3">
        <w:rPr>
          <w:rFonts w:ascii="Times New Roman" w:hAnsi="Times New Roman" w:cs="Times New Roman"/>
          <w:lang w:val="en-US"/>
        </w:rPr>
        <w:t>(</w:t>
      </w:r>
      <w:r w:rsidRPr="002224B3">
        <w:rPr>
          <w:rFonts w:ascii="Times New Roman" w:hAnsi="Times New Roman" w:cs="Times New Roman"/>
          <w:lang w:val="en-GB"/>
        </w:rPr>
        <w:t>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w:t>
      </w:r>
      <w:r w:rsidRPr="002224B3">
        <w:rPr>
          <w:rFonts w:ascii="Times New Roman" w:hAnsi="Times New Roman" w:cs="Times New Roman"/>
          <w:lang w:val="en-GB"/>
        </w:rPr>
        <w:t xml:space="preserve">levels, proteinuria, serum creatinine, age, gender, percentage of </w:t>
      </w:r>
      <w:r w:rsidRPr="002224B3">
        <w:rPr>
          <w:rFonts w:ascii="Times New Roman" w:hAnsi="Times New Roman" w:cs="Times New Roman"/>
          <w:lang w:val="en-US"/>
        </w:rPr>
        <w:t>tubular atrophy and interstitial fibrosis</w:t>
      </w:r>
      <w:r w:rsidRPr="002224B3">
        <w:rPr>
          <w:rFonts w:ascii="Times New Roman" w:hAnsi="Times New Roman" w:cs="Times New Roman"/>
          <w:lang w:val="en-GB"/>
        </w:rPr>
        <w:t xml:space="preserve">, time between renal biopsy and study enrolment) and b) during follow-up (depletion of </w:t>
      </w:r>
      <w:r w:rsidRPr="002224B3">
        <w:rPr>
          <w:rFonts w:ascii="Times New Roman" w:hAnsi="Times New Roman" w:cs="Times New Roman"/>
          <w:lang w:val="en-GB"/>
        </w:rPr>
        <w:lastRenderedPageBreak/>
        <w:t>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relapse of </w:t>
      </w:r>
      <w:r w:rsidRPr="002224B3">
        <w:rPr>
          <w:rFonts w:ascii="Times New Roman" w:hAnsi="Times New Roman" w:cs="Times New Roman"/>
          <w:lang w:val="en-GB"/>
        </w:rPr>
        <w:t>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w:t>
      </w:r>
      <w:r w:rsidRPr="002224B3">
        <w:rPr>
          <w:rFonts w:ascii="Times New Roman" w:hAnsi="Times New Roman" w:cs="Times New Roman"/>
          <w:lang w:val="en-GB"/>
        </w:rPr>
        <w:t>usage of immunosuppressive treatment).</w:t>
      </w:r>
      <w:r w:rsidRPr="002224B3">
        <w:rPr>
          <w:rFonts w:ascii="Times New Roman" w:hAnsi="Times New Roman" w:cs="Times New Roman"/>
          <w:lang w:val="en-US"/>
        </w:rPr>
        <w:t xml:space="preserve"> The same parameters were</w:t>
      </w:r>
      <w:r w:rsidRPr="002224B3">
        <w:rPr>
          <w:rFonts w:ascii="Times New Roman" w:hAnsi="Times New Roman" w:cs="Times New Roman"/>
          <w:lang w:val="en-GB"/>
        </w:rPr>
        <w:t xml:space="preserve"> analysed as potential predictors for relapse of proteinuria </w:t>
      </w:r>
      <w:r w:rsidRPr="002224B3">
        <w:rPr>
          <w:rFonts w:ascii="Times New Roman" w:hAnsi="Times New Roman" w:cs="Times New Roman"/>
          <w:lang w:val="en-US"/>
        </w:rPr>
        <w:t xml:space="preserve">during follow-up, in addition to the category of remission of proteinuria (partial remission versus complete remission). </w:t>
      </w:r>
      <w:r w:rsidRPr="002224B3">
        <w:rPr>
          <w:rFonts w:ascii="Times New Roman" w:hAnsi="Times New Roman" w:cs="Times New Roman"/>
          <w:shd w:val="clear" w:color="auto" w:fill="FFFFFF"/>
          <w:lang w:val="en-US"/>
        </w:rPr>
        <w:t xml:space="preserve">The analyses of </w:t>
      </w:r>
      <w:r w:rsidRPr="002224B3">
        <w:rPr>
          <w:rFonts w:ascii="Times New Roman" w:hAnsi="Times New Roman" w:cs="Times New Roman"/>
          <w:lang w:val="en-GB"/>
        </w:rPr>
        <w:t>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relapse and </w:t>
      </w:r>
      <w:r w:rsidRPr="002224B3">
        <w:rPr>
          <w:rFonts w:ascii="Times New Roman" w:hAnsi="Times New Roman" w:cs="Times New Roman"/>
          <w:shd w:val="clear" w:color="auto" w:fill="FFFFFF"/>
          <w:lang w:val="en-US"/>
        </w:rPr>
        <w:t xml:space="preserve">proteinuria relapse were restricted to those patients, who previously had had a remission of </w:t>
      </w:r>
      <w:r w:rsidRPr="002224B3">
        <w:rPr>
          <w:rFonts w:ascii="Times New Roman" w:hAnsi="Times New Roman" w:cs="Times New Roman"/>
          <w:lang w:val="en-GB"/>
        </w:rPr>
        <w:t>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w:t>
      </w:r>
      <w:r w:rsidRPr="002224B3">
        <w:rPr>
          <w:rFonts w:ascii="Times New Roman" w:hAnsi="Times New Roman" w:cs="Times New Roman"/>
          <w:shd w:val="clear" w:color="auto" w:fill="FFFFFF"/>
          <w:lang w:val="en-US"/>
        </w:rPr>
        <w:t>and a remission of proteinuria, respectively. Moreover, the 21 patients who were tested negative for PLA</w:t>
      </w:r>
      <w:r w:rsidRPr="002224B3">
        <w:rPr>
          <w:rFonts w:ascii="Times New Roman" w:hAnsi="Times New Roman" w:cs="Times New Roman"/>
          <w:shd w:val="clear" w:color="auto" w:fill="FFFFFF"/>
          <w:vertAlign w:val="subscript"/>
          <w:lang w:val="en-US"/>
        </w:rPr>
        <w:t>2</w:t>
      </w:r>
      <w:r w:rsidRPr="002224B3">
        <w:rPr>
          <w:rFonts w:ascii="Times New Roman" w:hAnsi="Times New Roman" w:cs="Times New Roman"/>
          <w:shd w:val="clear" w:color="auto" w:fill="FFFFFF"/>
          <w:lang w:val="en-US"/>
        </w:rPr>
        <w:t>R1-ab by ELISA at baseline were not included in the analysis on depletion of PLA</w:t>
      </w:r>
      <w:r w:rsidRPr="002224B3">
        <w:rPr>
          <w:rFonts w:ascii="Times New Roman" w:hAnsi="Times New Roman" w:cs="Times New Roman"/>
          <w:shd w:val="clear" w:color="auto" w:fill="FFFFFF"/>
          <w:vertAlign w:val="subscript"/>
          <w:lang w:val="en-US"/>
        </w:rPr>
        <w:t>2</w:t>
      </w:r>
      <w:r w:rsidRPr="002224B3">
        <w:rPr>
          <w:rFonts w:ascii="Times New Roman" w:hAnsi="Times New Roman" w:cs="Times New Roman"/>
          <w:shd w:val="clear" w:color="auto" w:fill="FFFFFF"/>
          <w:lang w:val="en-US"/>
        </w:rPr>
        <w:t>R1-ab.</w:t>
      </w:r>
    </w:p>
    <w:p w14:paraId="515AD4F6" w14:textId="77777777" w:rsidR="0010178C" w:rsidRPr="002224B3" w:rsidRDefault="0010178C" w:rsidP="0010178C">
      <w:pPr>
        <w:spacing w:after="120" w:line="480" w:lineRule="auto"/>
        <w:rPr>
          <w:rFonts w:ascii="Times New Roman" w:hAnsi="Times New Roman" w:cs="Times New Roman"/>
          <w:lang w:val="en-GB"/>
        </w:rPr>
      </w:pPr>
      <w:r w:rsidRPr="002224B3">
        <w:rPr>
          <w:rFonts w:ascii="Times New Roman" w:hAnsi="Times New Roman" w:cs="Times New Roman"/>
          <w:lang w:val="en-US"/>
        </w:rPr>
        <w:t xml:space="preserve">For all parameters collected at baseline we adjusted the analysis for potential time-dependent effects during follow-up, if the respective time-dependent term was significant. For all parameters collected during follow-up we always adjusted the predictive value of the variable for the time when the event had occurred (i.e. </w:t>
      </w:r>
      <w:r w:rsidRPr="002224B3">
        <w:rPr>
          <w:rFonts w:ascii="Times New Roman" w:hAnsi="Times New Roman" w:cs="Times New Roman"/>
          <w:lang w:val="en-GB"/>
        </w:rPr>
        <w:t>depletion or relapse of 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-ab,</w:t>
      </w:r>
      <w:r w:rsidRPr="002224B3">
        <w:rPr>
          <w:rFonts w:ascii="Times New Roman" w:hAnsi="Times New Roman" w:cs="Times New Roman"/>
          <w:lang w:val="en-GB"/>
        </w:rPr>
        <w:t xml:space="preserve"> start of immunosuppressive treatment)</w:t>
      </w:r>
      <w:r w:rsidRPr="002224B3">
        <w:rPr>
          <w:rFonts w:ascii="Times New Roman" w:hAnsi="Times New Roman" w:cs="Times New Roman"/>
          <w:lang w:val="en-US"/>
        </w:rPr>
        <w:t xml:space="preserve">. </w:t>
      </w:r>
      <w:r w:rsidRPr="002224B3">
        <w:rPr>
          <w:rFonts w:ascii="Times New Roman" w:hAnsi="Times New Roman" w:cs="Times New Roman"/>
          <w:lang w:val="en-GB"/>
        </w:rPr>
        <w:t>In all these analyses we first performed a univariate Cox regression analysis including all independent variables. I</w:t>
      </w:r>
      <w:r w:rsidRPr="002224B3">
        <w:rPr>
          <w:rFonts w:ascii="Times New Roman" w:hAnsi="Times New Roman" w:cs="Times New Roman"/>
          <w:lang w:val="en-US"/>
        </w:rPr>
        <w:t xml:space="preserve">n a </w:t>
      </w:r>
      <w:r w:rsidRPr="002224B3">
        <w:rPr>
          <w:rFonts w:ascii="Times New Roman" w:hAnsi="Times New Roman" w:cs="Times New Roman"/>
          <w:lang w:val="en-GB"/>
        </w:rPr>
        <w:t>second step we ran a multivariable Cox regression analysis, in which we included and adjusted for all variables which had shown a statistically significant effect in the time-adjusted univariate analysis. Of these variables, only those significant after stepwise hierarchical-backward selection were retained in the final model. The continuous independent variables PLA</w:t>
      </w:r>
      <w:r w:rsidRPr="002224B3">
        <w:rPr>
          <w:rFonts w:ascii="Times New Roman" w:hAnsi="Times New Roman" w:cs="Times New Roman"/>
          <w:vertAlign w:val="subscript"/>
          <w:lang w:val="en-GB"/>
        </w:rPr>
        <w:t>2</w:t>
      </w:r>
      <w:r w:rsidRPr="002224B3">
        <w:rPr>
          <w:rFonts w:ascii="Times New Roman" w:hAnsi="Times New Roman" w:cs="Times New Roman"/>
          <w:lang w:val="en-GB"/>
        </w:rPr>
        <w:t>R1</w:t>
      </w:r>
      <w:r w:rsidRPr="002224B3">
        <w:rPr>
          <w:rFonts w:ascii="Times New Roman" w:hAnsi="Times New Roman" w:cs="Times New Roman"/>
          <w:lang w:val="en-US"/>
        </w:rPr>
        <w:t xml:space="preserve">-ab </w:t>
      </w:r>
      <w:r w:rsidRPr="002224B3">
        <w:rPr>
          <w:rFonts w:ascii="Times New Roman" w:hAnsi="Times New Roman" w:cs="Times New Roman"/>
          <w:lang w:val="en-GB"/>
        </w:rPr>
        <w:t xml:space="preserve">levels, proteinuria, serum creatinine, percentage of </w:t>
      </w:r>
      <w:r w:rsidRPr="002224B3">
        <w:rPr>
          <w:rFonts w:ascii="Times New Roman" w:hAnsi="Times New Roman" w:cs="Times New Roman"/>
          <w:lang w:val="en-US"/>
        </w:rPr>
        <w:t>tubular atrophy and interstitial fibrosis</w:t>
      </w:r>
      <w:r w:rsidRPr="002224B3">
        <w:rPr>
          <w:rFonts w:ascii="Times New Roman" w:hAnsi="Times New Roman" w:cs="Times New Roman"/>
          <w:lang w:val="en-GB"/>
        </w:rPr>
        <w:t>, time between renal biopsy and study enrolment were transformed to their binary logarithm prior to using them in cox regression analyses. Statistical significance was defined as p&lt;0.05.  All tests were two-tailed. Statistical analyses were performed using SPSS version 25.0 software.</w:t>
      </w:r>
    </w:p>
    <w:p w14:paraId="24A8B61D" w14:textId="77777777" w:rsidR="0010178C" w:rsidRPr="002224B3" w:rsidRDefault="0010178C" w:rsidP="0010178C">
      <w:pPr>
        <w:spacing w:line="480" w:lineRule="auto"/>
        <w:rPr>
          <w:rFonts w:ascii="Times New Roman" w:hAnsi="Times New Roman" w:cs="Times New Roman"/>
          <w:b/>
          <w:lang w:val="en-GB"/>
        </w:rPr>
      </w:pPr>
    </w:p>
    <w:p w14:paraId="775F3AB8" w14:textId="77777777" w:rsidR="0010178C" w:rsidRPr="002224B3" w:rsidRDefault="0010178C" w:rsidP="0010178C">
      <w:pPr>
        <w:spacing w:line="480" w:lineRule="auto"/>
        <w:rPr>
          <w:rFonts w:ascii="Times New Roman" w:hAnsi="Times New Roman" w:cs="Times New Roman"/>
          <w:b/>
          <w:lang w:val="en-GB"/>
        </w:rPr>
      </w:pPr>
    </w:p>
    <w:p w14:paraId="1B5C89ED" w14:textId="77777777" w:rsidR="0010178C" w:rsidRPr="002224B3" w:rsidRDefault="0010178C" w:rsidP="0010178C">
      <w:pPr>
        <w:spacing w:line="480" w:lineRule="auto"/>
        <w:rPr>
          <w:rFonts w:ascii="Times New Roman" w:hAnsi="Times New Roman" w:cs="Times New Roman"/>
          <w:b/>
          <w:lang w:val="en-GB"/>
        </w:rPr>
      </w:pPr>
    </w:p>
    <w:p w14:paraId="4823FDEC" w14:textId="77777777" w:rsidR="0010178C" w:rsidRPr="002224B3" w:rsidRDefault="0010178C" w:rsidP="0010178C">
      <w:pPr>
        <w:spacing w:after="0" w:line="480" w:lineRule="auto"/>
        <w:rPr>
          <w:rFonts w:ascii="Times New Roman" w:hAnsi="Times New Roman" w:cs="Times New Roman"/>
          <w:lang w:val="en-GB"/>
        </w:rPr>
      </w:pPr>
    </w:p>
    <w:p w14:paraId="27D122C0" w14:textId="77777777" w:rsidR="0010178C" w:rsidRPr="002224B3" w:rsidRDefault="0010178C" w:rsidP="0010178C">
      <w:pPr>
        <w:spacing w:line="480" w:lineRule="auto"/>
        <w:rPr>
          <w:rFonts w:ascii="Times New Roman" w:hAnsi="Times New Roman" w:cs="Times New Roman"/>
          <w:b/>
          <w:lang w:val="en-GB"/>
        </w:rPr>
      </w:pPr>
    </w:p>
    <w:p w14:paraId="1D2ED554" w14:textId="77777777" w:rsidR="0010178C" w:rsidRPr="002224B3" w:rsidRDefault="0010178C" w:rsidP="0010178C">
      <w:pPr>
        <w:spacing w:line="480" w:lineRule="auto"/>
        <w:rPr>
          <w:rFonts w:ascii="Times New Roman" w:hAnsi="Times New Roman" w:cs="Times New Roman"/>
          <w:b/>
          <w:lang w:val="en-GB"/>
        </w:rPr>
      </w:pPr>
    </w:p>
    <w:p w14:paraId="28BAA61F" w14:textId="77777777" w:rsidR="0010178C" w:rsidRPr="002224B3" w:rsidRDefault="0010178C" w:rsidP="0010178C">
      <w:pPr>
        <w:spacing w:line="480" w:lineRule="auto"/>
        <w:rPr>
          <w:rFonts w:ascii="Times New Roman" w:hAnsi="Times New Roman" w:cs="Times New Roman"/>
          <w:b/>
          <w:lang w:val="en-GB"/>
        </w:rPr>
      </w:pPr>
    </w:p>
    <w:p w14:paraId="1B83CC5B" w14:textId="77777777" w:rsidR="0010178C" w:rsidRPr="002224B3" w:rsidRDefault="0010178C" w:rsidP="0010178C">
      <w:pPr>
        <w:spacing w:line="480" w:lineRule="auto"/>
        <w:rPr>
          <w:rFonts w:ascii="Times New Roman" w:hAnsi="Times New Roman" w:cs="Times New Roman"/>
          <w:lang w:val="en-GB"/>
        </w:rPr>
      </w:pPr>
      <w:bookmarkStart w:id="2" w:name="_Hlk2530244"/>
      <w:r w:rsidRPr="002224B3">
        <w:rPr>
          <w:rFonts w:ascii="Times New Roman" w:hAnsi="Times New Roman" w:cs="Times New Roman"/>
          <w:b/>
          <w:lang w:val="en-GB"/>
        </w:rPr>
        <w:t>The following colleagues participated in the recruitment of the patients for this study (in alphabetical order)</w:t>
      </w:r>
    </w:p>
    <w:p w14:paraId="2A437169" w14:textId="77777777" w:rsidR="0010178C" w:rsidRPr="002224B3" w:rsidRDefault="0010178C" w:rsidP="0010178C">
      <w:pPr>
        <w:spacing w:line="480" w:lineRule="auto"/>
        <w:rPr>
          <w:rFonts w:ascii="Times New Roman" w:hAnsi="Times New Roman" w:cs="Times New Roman"/>
        </w:rPr>
      </w:pPr>
      <w:r w:rsidRPr="002224B3">
        <w:rPr>
          <w:rFonts w:ascii="Times New Roman" w:eastAsia="Times New Roman" w:hAnsi="Times New Roman" w:cs="Times New Roman"/>
          <w:lang w:val="en-GB"/>
        </w:rPr>
        <w:t xml:space="preserve">Aedtner F, Halberstadt, Ahmed A, Freiburg, Aign S, Berlin, Alscher D, Stuttgart,  Altrogge H, Hamburg, Amir-Kabirian D, Hamburg, Arndt L, Buchholz, Arnold P, Siegen, Assenmacher A, Kamp-Lintfort, Baberg H, Berlin-Buch, Bachmann J, Arnsberg-Hüsten, Backs W, Hamburg, Bahte S, Stade, Bajeski V, Bielefeld, Baron J, Walsrode, Beck P, Langenfeld, Becker G, Becker S, Hamburg; Wattenscheid, Beckermann J, Vechta, Beckmann M-L, Bocholt, Beckmann S, Herford, Behrend M, Westerstede, Beimler J, Heidelberg, Bek M, Müllheim, Benz M, München, Benzing T, Köln, Beyer S, Hamburg, Bieringer M, Berlin-Buch, Biernat S, Varel, Biolik K, Berlin, Birkel J, Eggolsheim, Bischoff S, Dresden, Bödefeld T, Diepholz, Böhler J, Wiesbaden, Böhmer K P, Nürnberg, Bohling M, Wilhelmshaven, Bokemeyer D, Bochum, Bork T, Freiburg, Born B, Stade, Borst C, Neumünster, Boser M, Braunschweig, Bous A, Daun, Bozkurt F, Daun, Braasch E, Eberswalde, Bramstedt J, Bremerhaven, Braun J, Dingolfing, Breuer S, Kerpen, Brückner D, Dortmund, Brune K, Bad Rothenfelde, Bruns M, Hanau, Buchholz K, Emmendingen, Budde K, Berlin, Büldt E, Itzehoe, Burlage M, Hamburg, Burth E M, Paderborn, Busch M, Jena, Busch V, Münster, Büssemaker E, Hamm,  Buth W, Minden, Clasen W, Münster, Claus M, Essen, Dannemann E-G, Gelsenkirchen, Daul A, Essen, David-Walek T, Kiel, Degenhardt S, Nettetal, Dellanna F, Düsseldorf, Dieckmann K, Flensburg, Dieterich F, Bad Oldesloe, Dillmann A, Bremen, Disteldorf E, Hamburg, Donauer J, Freiburg, Dorsch O, Kronach, Dose U, Siegburg, Döhler I, Dresden, Duvigneau D, Hamburg, Eckardt K-U, Erlangen, Edelmann B, Gelsenkirchen, Endreß H, Lörrach, Ernst M, Iserlohn, Fahrner, A, Freiburg, Falcke M, Hamburg, Feddersen A, Hamburg, </w:t>
      </w:r>
      <w:r w:rsidRPr="002224B3">
        <w:rPr>
          <w:rFonts w:ascii="Times New Roman" w:hAnsi="Times New Roman" w:cs="Times New Roman"/>
          <w:lang w:val="en-GB"/>
        </w:rPr>
        <w:t xml:space="preserve">Fellenberg N, Hamburg, Ferber J, Leverkusen, </w:t>
      </w:r>
      <w:r w:rsidRPr="002224B3">
        <w:rPr>
          <w:rFonts w:ascii="Times New Roman" w:eastAsia="Times New Roman" w:hAnsi="Times New Roman" w:cs="Times New Roman"/>
          <w:lang w:val="en-GB"/>
        </w:rPr>
        <w:t xml:space="preserve">Feyerabend G, Reinbek, Fielitz J G, Elmshorn, Filejski W, Hamburg, Fina M, Hamburg, Fischer K-G, Lörrach, Floege J, Aachen, Fortnagel C, Pinneberg, Förster S, Ahrensburg,  Frahm M, Eckernförde, Frank M, Pforzheim, Fricke L, Bochum, Fricke L, Lübeck, Friedrich B, Leonberg, Friedrichs I, Ansbach, Fuchs D, Oldenburg, Funk L, Freiburg, Gäckler D, Bochum, Galle J, Lüdenscheid, Ganzemüller C, Minden, Gerhardt T, Bonn, Gerke P, Lübeck, Gerth J, Zwickau, Glorius P, Templin, </w:t>
      </w:r>
      <w:r w:rsidRPr="002224B3">
        <w:rPr>
          <w:rFonts w:ascii="Times New Roman" w:eastAsia="Times New Roman" w:hAnsi="Times New Roman" w:cs="Times New Roman"/>
          <w:lang w:val="en-GB"/>
        </w:rPr>
        <w:lastRenderedPageBreak/>
        <w:t>Gloy J, Hamburg, Gök Ö, Freiburg, Goldmann A, Neunkirchen, Gööck T, Arnstadt,  Göttmann U, Mannheim,  Graf G, Bad Bevensen, Gras K, Hamburg, Grewe B, Perleberg, Griesche-Philippi J, Lüneburg, Groll J, Berlin, Großer S, Hamburg, Grütter R, Dinslaken, Güz M A, Lüdenscheid, Haas C, Lübeck, Haberstroh U, Limburg, Hättig O, Offenburg, Hagenah F, Offenburg, Hahn K, Dortmund, Hamadeh A, Höxter,</w:t>
      </w:r>
      <w:r w:rsidRPr="002224B3">
        <w:rPr>
          <w:rFonts w:ascii="Times New Roman" w:hAnsi="Times New Roman" w:cs="Times New Roman"/>
          <w:lang w:val="en-GB"/>
        </w:rPr>
        <w:t xml:space="preserve"> </w:t>
      </w:r>
      <w:r w:rsidRPr="002224B3">
        <w:rPr>
          <w:rFonts w:ascii="Times New Roman" w:eastAsia="Times New Roman" w:hAnsi="Times New Roman" w:cs="Times New Roman"/>
          <w:lang w:val="en-GB"/>
        </w:rPr>
        <w:t xml:space="preserve">Hammerschmidt M, Erlangen, Heck M, Meppen, Heckel M, Kronach, Heering P J, Solingen, Hegner B, Berlin,  Heidenreich S, Aachen, Heinrichs S, Düsseldorf, Hengemühle H, Bremen, Henrici E, Hamburg, Herb M, Lörrach, Hermann R, Müllheim, Hermle T, Freiburg, Hetzel G R, Düsseldorf, Heuschert J, Hamburg, Hintzen-Kruse C, Chemnitz, Hochtritt M S, Celle, Hohenstein B, Dresden, Hohmann M, Vechta, Holl W, Solingen, Hollenbeck M, Bottrop, Horn G, Erlangen, Hörnig B, Berlin, Hoyer J, Marburg/Lahn, Hugo C, Dresden, Hyndisurya A, Wien, Isbell L K, Freiburg, Jabs W, Berlin, Jacobson J, Dortmund, Jacobsen J, Winsen, Jäkel S, Bochum, Jank S, Erlangen, Jankrift P, Unna, Jasinski R, Freiburg, Jung O, Frankfurt a.M., Kaan T G, Leer, Kahlke D, Hamburg, Kämpf H, Sonneberg Kappey U, Hamburg, Keller F, Ulm, Ketteler M, Coburg, Kidder D, Buchholz, Kiziler F, Bochum, Kisner T, Köln, Klause N, Eckernförde, Klehr H U, Bonn, Kleinecke R, Bamberg, Klemm A, Jena, Knevels U, Unna, Knittel M, Witten, Koch C, Nürnberg, Koch M, Velbert, König D, Braunschweig, </w:t>
      </w:r>
      <w:r w:rsidRPr="002224B3">
        <w:rPr>
          <w:rFonts w:ascii="Times New Roman" w:hAnsi="Times New Roman" w:cs="Times New Roman"/>
          <w:lang w:val="en-GB"/>
        </w:rPr>
        <w:t xml:space="preserve">Köstler F, Elmshorn, </w:t>
      </w:r>
      <w:r w:rsidRPr="002224B3">
        <w:rPr>
          <w:rFonts w:ascii="Times New Roman" w:eastAsia="Times New Roman" w:hAnsi="Times New Roman" w:cs="Times New Roman"/>
          <w:lang w:val="en-GB"/>
        </w:rPr>
        <w:t>Kohnle M, Hilden, Korschanowski A, Cuxhaven, Kortus-Götze B, Marburg/Lahn, Kositz H, Greiz, Krämer-Guth A, Freiburg, Kramer-Zucker A, Freiburg, Kreft B, Hildesheim, Kremerskothen R, Münster, Krenz I, Hamburg, Krumme B, Wiesbaden, Kube M, Hamburg, Kühns A, Hamburg, Kunigk F, Pinneberg, Kurschat C, Köln, Lange I, Perleberg, Lange D, Heilbad Heiligenstadt, Lange-Hüsken F, Hamburg, Laube C, Bremen, Laue O, Hannover-Langenhagen, Lauerwald W, Gera, Leidig B, Köln, Leimbach T, Berlin, Leingärtner T, Regensburg, Lepenies J, Berlin, Leschniewski M, Essen, Linden H M, Erfstedt, Linke B, Oldenburg in Holstein, Loke O, Lüdenscheid, Loley G, Osnabrück, Lohmann T, Dresden, Lorenz G, Melle, Lotz W P, Bremen, Loyen M, Münster, Lufft V, Rendsburg, Mander I, Lehrte, Marx C, Nordhausen, Meentzen C, Brake, Mees S, Hamburg, Meier-Sun</w:t>
      </w:r>
      <w:r w:rsidRPr="0010178C">
        <w:rPr>
          <w:rFonts w:ascii="Times New Roman" w:eastAsia="Times New Roman" w:hAnsi="Times New Roman" w:cs="Times New Roman"/>
        </w:rPr>
        <w:t xml:space="preserve">dhaußen G, Berlin-Marzahn, Meinke D, Lüdenscheid, Melching R, Gütersloh, Mertens P R, Magdeburg, Meßtorff K, Stade, Mettang T, Wiesbaden, Meyer E, Hamburg, Meyer W, Buchholz, Meyer-Delpho M, Siegburg, Middendorf C, Melle, Möller J, Leverkusen, Mohler C, Lüdenscheid, Morgenstern T, Koblenz, </w:t>
      </w:r>
      <w:r w:rsidRPr="0010178C">
        <w:rPr>
          <w:rFonts w:ascii="Times New Roman" w:hAnsi="Times New Roman" w:cs="Times New Roman"/>
        </w:rPr>
        <w:t xml:space="preserve">Müller R, </w:t>
      </w:r>
      <w:r w:rsidRPr="0010178C">
        <w:rPr>
          <w:rFonts w:ascii="Times New Roman" w:hAnsi="Times New Roman" w:cs="Times New Roman"/>
        </w:rPr>
        <w:lastRenderedPageBreak/>
        <w:t xml:space="preserve">Braunschweig, </w:t>
      </w:r>
      <w:r w:rsidRPr="0010178C">
        <w:rPr>
          <w:rFonts w:ascii="Times New Roman" w:eastAsia="Times New Roman" w:hAnsi="Times New Roman" w:cs="Times New Roman"/>
        </w:rPr>
        <w:t xml:space="preserve">Müller R, Westerstede, Nesbigall T, Kaiserslautern, Neuber F, Zittau, Neumayer H-H, Berlin, Nöthen W, Siegburg, Oberle G, Hannover-Langenhagen, Oppermann M, Perleberg, Orlt A, Heilbad Heiligenstadt, Özcan F, Dortmund, Pape A, Walsrode, Pätzold C, Kamen, Pavenstädt H-J, Münster, Petersen M, Hamburg, Pfalzer B, Hamburg, Pilz M, Nottuln, Plöger A, Bielefeld, Plogmann C, Essen, Pöge U, Bonn, Potratz J, Rotenburg, Pützfeld C, Oberhausen, Regenberg M, Cuxhaven, Reichenberger F, Cottbus, Reinking R, Hamburg, Rensinghoff E, Wattenscheid, Ricken J, Rheine, Riechers G, Braunschweig, Riedasch M, Coesfeld, Rob P M, Lübeck, Roch P, Regensburg, Rockstroh S, Dresden, Röben T, Vechta, Rösch M A, Hamburg, Rosenburg C, Aschersleben, Rudnicki M, Innsbruck, Ruhberg B, Hamburg, Rump C, Düsseldorf, Sass C, Braunschweig, Schäfers R F, Oberhausen, Schaumann D, Hameln, Schenk L K, Münster, Schilken P, Paderborn, Schlee H, Weißenfels, Schmedding I, Freiburg, Schmidt R, Wesel, Schmiedel D, Bad Nenndorf, Schmidtmann K, Westerstede-Ocholt, Schmitz F-J, Minden, Schnegelsberg O, Winsen/Luhe, Schneidenbach R, Hamburg, Schneider A, Neuwied, Schneider J, Freiburg,  Schneuzer C, Hamburg, Schnierda J, </w:t>
      </w:r>
      <w:r w:rsidRPr="002224B3">
        <w:rPr>
          <w:rFonts w:ascii="Times New Roman" w:eastAsia="Times New Roman" w:hAnsi="Times New Roman" w:cs="Times New Roman"/>
        </w:rPr>
        <w:t xml:space="preserve">Waldshut-Tiengen, Schnitzler A, Lüneburg, Schreiber R, Coesfeld, Schröder S, Glauchau, Schüler A, Bad Nenndorf, Schüler M, Erlangen, Schulte-Vorwick M, Unna, Schulze M, Bad Zwischenahn, Schümann E, Riesa, Schwarz M, Verden, Schwertfeger E, Freiburg, Seifert A, Schleswig, Seifert A, Schleswig,  Serwas A, Münster, Seuffert H-M, Karlsruhe, Seyfried J, Pforzheim, Siegmund J, Hamburg, Siwek-Orman, E, Arnstadt, Soldan E, Hamburg, Solf A, Heilbad Heiligenstadt, Sonneberg W P, Bad Rothenfelde, Spellmeyer G, Greven, Spieß M, Kaiserslautern, Stahn A, Hamburg, Steinhauer H B, Cottbus, Steinhoff J, Lübeck, Steinmetz M, Siegburg, Stiasny B, Schwabach, Storkenmaier R, Sindelfingen, Sturm E, Hamburg, Tacuri-Strasser D, Offenburg, Tegtmeier L, Bremen, Teichler S, Naumburg, </w:t>
      </w:r>
      <w:r w:rsidRPr="002224B3">
        <w:rPr>
          <w:rFonts w:ascii="Times New Roman" w:hAnsi="Times New Roman" w:cs="Times New Roman"/>
        </w:rPr>
        <w:t xml:space="preserve">Thiel M, Berlin, Thiele I, Reinbek, </w:t>
      </w:r>
      <w:r w:rsidRPr="002224B3">
        <w:rPr>
          <w:rFonts w:ascii="Times New Roman" w:eastAsia="Times New Roman" w:hAnsi="Times New Roman" w:cs="Times New Roman"/>
        </w:rPr>
        <w:t xml:space="preserve">Tholl U, Kleve, Tiedeken P, Hamburg, Tillmann F-P, Emsdetten, Tjiang D, Königslutter, Toussaint, K, Hamburg, Treiber W, </w:t>
      </w:r>
      <w:r w:rsidRPr="002224B3">
        <w:rPr>
          <w:rFonts w:ascii="Times New Roman" w:hAnsi="Times New Roman" w:cs="Times New Roman"/>
        </w:rPr>
        <w:t>Neuwied</w:t>
      </w:r>
      <w:r w:rsidRPr="002224B3">
        <w:rPr>
          <w:rFonts w:ascii="Times New Roman" w:eastAsia="Times New Roman" w:hAnsi="Times New Roman" w:cs="Times New Roman"/>
        </w:rPr>
        <w:t xml:space="preserve">, Tripps C, Oschersleben/OT Neindorf, Tröster S, Westerstede, Uhle A, Bochum, Unger T, Hamburg, Valentin R, Bielefeld, Vischedyk M, Paderborn, Vitu J, Hamburg, Volsek M, Essen, von Appen K, Hamburg, von Saß A Freiherr, Greiz, von Zitzewitz A, Ahrensburg, Voßkühler A, Bottrop, Wagner K, Hamburg, Walther T, Bad Kreuznach, Watter T, Freiburg, Weber M-H, Göttingen-Bovenden, Weidemann C, Erlangen, Weiner S, Trier, Weinert R, Bad Salzuflen, Weiß M, Hamburg, </w:t>
      </w:r>
      <w:r w:rsidRPr="002224B3">
        <w:rPr>
          <w:rFonts w:ascii="Times New Roman" w:eastAsia="Times New Roman" w:hAnsi="Times New Roman" w:cs="Times New Roman"/>
        </w:rPr>
        <w:lastRenderedPageBreak/>
        <w:t>Weitzell R, Uelzen, Wiedemann F, Nagold, Wienbeck C, Hamburg, Wiesener M, Erlangen, Willecke J, Freiburg, Wilms H, Hamburg, Wirtz G, Kamen, Wittberger W, Gladbeck, Witthus M, Köln, Wittmaack D, Itzehoe, Woggan J, Hamburg, Wolf G, Jena, Wolfram L, Hamburg, Wollweber T, Wadersloh, Wullstein H-G, Hamburg, Zander A, Verden, Zeier M, Heidelber</w:t>
      </w:r>
      <w:r w:rsidRPr="002224B3">
        <w:rPr>
          <w:rFonts w:ascii="Times New Roman" w:hAnsi="Times New Roman" w:cs="Times New Roman"/>
        </w:rPr>
        <w:t>g</w:t>
      </w:r>
      <w:bookmarkEnd w:id="2"/>
    </w:p>
    <w:p w14:paraId="7862A561" w14:textId="77777777" w:rsidR="0010178C" w:rsidRPr="002224B3" w:rsidRDefault="0010178C" w:rsidP="0010178C">
      <w:pPr>
        <w:spacing w:line="480" w:lineRule="auto"/>
        <w:rPr>
          <w:rFonts w:ascii="Times New Roman" w:hAnsi="Times New Roman" w:cs="Times New Roman"/>
        </w:rPr>
      </w:pPr>
    </w:p>
    <w:p w14:paraId="7B6F6B14" w14:textId="77777777" w:rsidR="0010178C" w:rsidRPr="002224B3" w:rsidRDefault="0010178C" w:rsidP="0010178C">
      <w:pPr>
        <w:spacing w:before="120" w:after="120" w:line="480" w:lineRule="auto"/>
        <w:rPr>
          <w:rFonts w:ascii="Times New Roman" w:hAnsi="Times New Roman" w:cs="Times New Roman"/>
          <w:b/>
        </w:rPr>
      </w:pPr>
    </w:p>
    <w:p w14:paraId="7C6BCD62" w14:textId="77777777" w:rsidR="0010178C" w:rsidRPr="00C36D7C" w:rsidRDefault="0010178C" w:rsidP="0010178C">
      <w:r w:rsidRPr="00C36D7C">
        <w:t xml:space="preserve"> </w:t>
      </w:r>
    </w:p>
    <w:p w14:paraId="4EB310D4" w14:textId="77777777" w:rsidR="0010178C" w:rsidRPr="00754F03" w:rsidRDefault="0010178C" w:rsidP="0010178C"/>
    <w:p w14:paraId="469961F8" w14:textId="77777777" w:rsidR="0010178C" w:rsidRPr="00346EF5" w:rsidRDefault="0010178C" w:rsidP="0010178C">
      <w:pPr>
        <w:spacing w:after="0" w:line="276" w:lineRule="auto"/>
        <w:rPr>
          <w:rFonts w:ascii="Times New Roman" w:hAnsi="Times New Roman" w:cs="Times New Roman"/>
          <w:sz w:val="20"/>
          <w:szCs w:val="20"/>
        </w:rPr>
      </w:pPr>
    </w:p>
    <w:p w14:paraId="05502F7A" w14:textId="77777777" w:rsidR="0010178C" w:rsidRPr="00C86D14" w:rsidRDefault="0010178C" w:rsidP="0010178C"/>
    <w:p w14:paraId="703A20A0" w14:textId="77777777" w:rsidR="0010178C" w:rsidRPr="004357AE" w:rsidRDefault="0010178C" w:rsidP="0010178C"/>
    <w:p w14:paraId="01029B01" w14:textId="77777777" w:rsidR="0010178C" w:rsidRPr="00BA46D7" w:rsidRDefault="0010178C" w:rsidP="0010178C"/>
    <w:p w14:paraId="5C013906" w14:textId="77777777" w:rsidR="0010178C" w:rsidRPr="00754ABE" w:rsidRDefault="0010178C" w:rsidP="0010178C"/>
    <w:p w14:paraId="35F575D8" w14:textId="77777777" w:rsidR="0010178C" w:rsidRPr="0069744D" w:rsidRDefault="0010178C" w:rsidP="0010178C"/>
    <w:p w14:paraId="24B6BC88" w14:textId="77777777" w:rsidR="0010178C" w:rsidRPr="00FF1EED" w:rsidRDefault="0010178C" w:rsidP="0010178C"/>
    <w:p w14:paraId="116B77D0" w14:textId="77777777" w:rsidR="0010178C" w:rsidRPr="007F6905" w:rsidRDefault="0010178C" w:rsidP="0010178C"/>
    <w:p w14:paraId="62E02833" w14:textId="77777777" w:rsidR="0010178C" w:rsidRPr="0066497C" w:rsidRDefault="0010178C" w:rsidP="0010178C"/>
    <w:p w14:paraId="4C730ADD" w14:textId="77777777" w:rsidR="0010178C" w:rsidRPr="000A5F8A" w:rsidRDefault="0010178C" w:rsidP="0010178C"/>
    <w:p w14:paraId="74748E0F" w14:textId="77777777" w:rsidR="0010178C" w:rsidRPr="00CC5D60" w:rsidRDefault="0010178C" w:rsidP="0010178C"/>
    <w:bookmarkEnd w:id="0"/>
    <w:p w14:paraId="1C910526" w14:textId="1B95CDA5" w:rsidR="00CC5D60" w:rsidRPr="0010178C" w:rsidRDefault="00CC5D60" w:rsidP="0010178C"/>
    <w:sectPr w:rsidR="00CC5D60" w:rsidRPr="0010178C" w:rsidSect="00A6744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6E25F" w14:textId="77777777" w:rsidR="003A79A3" w:rsidRDefault="003A79A3" w:rsidP="001F2BD5">
      <w:pPr>
        <w:spacing w:after="0" w:line="240" w:lineRule="auto"/>
      </w:pPr>
      <w:r>
        <w:separator/>
      </w:r>
    </w:p>
  </w:endnote>
  <w:endnote w:type="continuationSeparator" w:id="0">
    <w:p w14:paraId="590641FD" w14:textId="77777777" w:rsidR="003A79A3" w:rsidRDefault="003A79A3" w:rsidP="001F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75453"/>
      <w:docPartObj>
        <w:docPartGallery w:val="Page Numbers (Bottom of Page)"/>
        <w:docPartUnique/>
      </w:docPartObj>
    </w:sdtPr>
    <w:sdtEndPr>
      <w:rPr>
        <w:rFonts w:ascii="Arial" w:hAnsi="Arial" w:cs="Arial"/>
      </w:rPr>
    </w:sdtEndPr>
    <w:sdtContent>
      <w:p w14:paraId="5EEB4225" w14:textId="77777777" w:rsidR="00CC5D60" w:rsidRPr="001F2BD5" w:rsidRDefault="00CC5D60">
        <w:pPr>
          <w:pStyle w:val="Fuzeile"/>
          <w:jc w:val="right"/>
          <w:rPr>
            <w:rFonts w:ascii="Arial" w:hAnsi="Arial" w:cs="Arial"/>
          </w:rPr>
        </w:pPr>
        <w:r w:rsidRPr="001F2BD5">
          <w:rPr>
            <w:rFonts w:ascii="Arial" w:hAnsi="Arial" w:cs="Arial"/>
          </w:rPr>
          <w:fldChar w:fldCharType="begin"/>
        </w:r>
        <w:r w:rsidRPr="001F2BD5">
          <w:rPr>
            <w:rFonts w:ascii="Arial" w:hAnsi="Arial" w:cs="Arial"/>
          </w:rPr>
          <w:instrText>PAGE   \* MERGEFORMAT</w:instrText>
        </w:r>
        <w:r w:rsidRPr="001F2BD5">
          <w:rPr>
            <w:rFonts w:ascii="Arial" w:hAnsi="Arial" w:cs="Arial"/>
          </w:rPr>
          <w:fldChar w:fldCharType="separate"/>
        </w:r>
        <w:r w:rsidR="0010178C">
          <w:rPr>
            <w:rFonts w:ascii="Arial" w:hAnsi="Arial" w:cs="Arial"/>
            <w:noProof/>
          </w:rPr>
          <w:t>2</w:t>
        </w:r>
        <w:r w:rsidRPr="001F2BD5">
          <w:rPr>
            <w:rFonts w:ascii="Arial" w:hAnsi="Arial" w:cs="Arial"/>
          </w:rPr>
          <w:fldChar w:fldCharType="end"/>
        </w:r>
      </w:p>
    </w:sdtContent>
  </w:sdt>
  <w:p w14:paraId="02556AD3" w14:textId="77777777" w:rsidR="00CC5D60" w:rsidRDefault="00CC5D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B3452" w14:textId="77777777" w:rsidR="003A79A3" w:rsidRDefault="003A79A3" w:rsidP="001F2BD5">
      <w:pPr>
        <w:spacing w:after="0" w:line="240" w:lineRule="auto"/>
      </w:pPr>
      <w:r>
        <w:separator/>
      </w:r>
    </w:p>
  </w:footnote>
  <w:footnote w:type="continuationSeparator" w:id="0">
    <w:p w14:paraId="5BC4AAAE" w14:textId="77777777" w:rsidR="003A79A3" w:rsidRDefault="003A79A3" w:rsidP="001F2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0C4D"/>
    <w:multiLevelType w:val="hybridMultilevel"/>
    <w:tmpl w:val="4BB84AA6"/>
    <w:lvl w:ilvl="0" w:tplc="4746AE28">
      <w:start w:val="1"/>
      <w:numFmt w:val="bullet"/>
      <w:lvlText w:val="-"/>
      <w:lvlJc w:val="left"/>
      <w:pPr>
        <w:ind w:left="720" w:hanging="360"/>
      </w:pPr>
      <w:rPr>
        <w:rFonts w:ascii="Calibri" w:eastAsia="Calibri" w:hAnsi="Calibri" w:cs="Times New Roman"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6F4244"/>
    <w:multiLevelType w:val="hybridMultilevel"/>
    <w:tmpl w:val="F94E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02"/>
    <w:rsid w:val="00000CBD"/>
    <w:rsid w:val="00002BE2"/>
    <w:rsid w:val="0001180C"/>
    <w:rsid w:val="0001716D"/>
    <w:rsid w:val="000173E4"/>
    <w:rsid w:val="00020ECA"/>
    <w:rsid w:val="00031F02"/>
    <w:rsid w:val="00075DA3"/>
    <w:rsid w:val="00091D15"/>
    <w:rsid w:val="00097312"/>
    <w:rsid w:val="000A0FD2"/>
    <w:rsid w:val="000A3720"/>
    <w:rsid w:val="000A5F8A"/>
    <w:rsid w:val="000B5AF9"/>
    <w:rsid w:val="000C5877"/>
    <w:rsid w:val="000F0AA6"/>
    <w:rsid w:val="00100C43"/>
    <w:rsid w:val="0010178C"/>
    <w:rsid w:val="00134568"/>
    <w:rsid w:val="00137C87"/>
    <w:rsid w:val="001405EE"/>
    <w:rsid w:val="001571B7"/>
    <w:rsid w:val="0016489C"/>
    <w:rsid w:val="00174895"/>
    <w:rsid w:val="00180BFA"/>
    <w:rsid w:val="00181CFE"/>
    <w:rsid w:val="001868C7"/>
    <w:rsid w:val="00197A46"/>
    <w:rsid w:val="001A5F99"/>
    <w:rsid w:val="001E0D43"/>
    <w:rsid w:val="001E64E6"/>
    <w:rsid w:val="001F2BD5"/>
    <w:rsid w:val="0021433A"/>
    <w:rsid w:val="00220D91"/>
    <w:rsid w:val="002224B3"/>
    <w:rsid w:val="00222644"/>
    <w:rsid w:val="00223A63"/>
    <w:rsid w:val="00224E58"/>
    <w:rsid w:val="00265ED0"/>
    <w:rsid w:val="00270724"/>
    <w:rsid w:val="00280E3D"/>
    <w:rsid w:val="00296454"/>
    <w:rsid w:val="002A6098"/>
    <w:rsid w:val="002B1ADD"/>
    <w:rsid w:val="002B78A0"/>
    <w:rsid w:val="002C05C4"/>
    <w:rsid w:val="002E7072"/>
    <w:rsid w:val="002F081B"/>
    <w:rsid w:val="00302872"/>
    <w:rsid w:val="00305C6F"/>
    <w:rsid w:val="0031300B"/>
    <w:rsid w:val="003217EF"/>
    <w:rsid w:val="00346EF5"/>
    <w:rsid w:val="00380E8F"/>
    <w:rsid w:val="003936A1"/>
    <w:rsid w:val="003A79A3"/>
    <w:rsid w:val="003C60E4"/>
    <w:rsid w:val="003C7A98"/>
    <w:rsid w:val="003D2643"/>
    <w:rsid w:val="003D7D96"/>
    <w:rsid w:val="003E3091"/>
    <w:rsid w:val="00421FEE"/>
    <w:rsid w:val="004244E1"/>
    <w:rsid w:val="004357AE"/>
    <w:rsid w:val="004400D7"/>
    <w:rsid w:val="00445F79"/>
    <w:rsid w:val="00452AD5"/>
    <w:rsid w:val="004564EE"/>
    <w:rsid w:val="00480725"/>
    <w:rsid w:val="004860C5"/>
    <w:rsid w:val="004A09FA"/>
    <w:rsid w:val="004C0733"/>
    <w:rsid w:val="004E52F9"/>
    <w:rsid w:val="004F72ED"/>
    <w:rsid w:val="005031FD"/>
    <w:rsid w:val="00503FE5"/>
    <w:rsid w:val="005160BD"/>
    <w:rsid w:val="005400BD"/>
    <w:rsid w:val="00541641"/>
    <w:rsid w:val="00560C6E"/>
    <w:rsid w:val="00580F8E"/>
    <w:rsid w:val="0058241A"/>
    <w:rsid w:val="00582FDF"/>
    <w:rsid w:val="005B2DB0"/>
    <w:rsid w:val="005D75D5"/>
    <w:rsid w:val="005E1D6E"/>
    <w:rsid w:val="0062152B"/>
    <w:rsid w:val="00622400"/>
    <w:rsid w:val="0062704C"/>
    <w:rsid w:val="00633E9A"/>
    <w:rsid w:val="00635566"/>
    <w:rsid w:val="006364A3"/>
    <w:rsid w:val="006400CA"/>
    <w:rsid w:val="00657F01"/>
    <w:rsid w:val="00660B08"/>
    <w:rsid w:val="006647A2"/>
    <w:rsid w:val="0066497C"/>
    <w:rsid w:val="00671BF2"/>
    <w:rsid w:val="00677E38"/>
    <w:rsid w:val="00681690"/>
    <w:rsid w:val="00692C28"/>
    <w:rsid w:val="0069744D"/>
    <w:rsid w:val="006A7DFF"/>
    <w:rsid w:val="006C0B2A"/>
    <w:rsid w:val="006E5148"/>
    <w:rsid w:val="006F79BC"/>
    <w:rsid w:val="00704160"/>
    <w:rsid w:val="00732C9C"/>
    <w:rsid w:val="00741A47"/>
    <w:rsid w:val="00753CD9"/>
    <w:rsid w:val="00754ABE"/>
    <w:rsid w:val="00754F03"/>
    <w:rsid w:val="007700DC"/>
    <w:rsid w:val="007816F4"/>
    <w:rsid w:val="00787317"/>
    <w:rsid w:val="007928CF"/>
    <w:rsid w:val="00795A12"/>
    <w:rsid w:val="00797DBF"/>
    <w:rsid w:val="007A1B82"/>
    <w:rsid w:val="007A4652"/>
    <w:rsid w:val="007A66E6"/>
    <w:rsid w:val="007A7E67"/>
    <w:rsid w:val="007C2E36"/>
    <w:rsid w:val="007C3361"/>
    <w:rsid w:val="007D2B18"/>
    <w:rsid w:val="007D682E"/>
    <w:rsid w:val="007E3AD8"/>
    <w:rsid w:val="007F243F"/>
    <w:rsid w:val="007F6905"/>
    <w:rsid w:val="00813312"/>
    <w:rsid w:val="00815183"/>
    <w:rsid w:val="008156DA"/>
    <w:rsid w:val="008164A8"/>
    <w:rsid w:val="008275FB"/>
    <w:rsid w:val="00832E11"/>
    <w:rsid w:val="00841593"/>
    <w:rsid w:val="00847AC1"/>
    <w:rsid w:val="00863C6D"/>
    <w:rsid w:val="008709BE"/>
    <w:rsid w:val="00887299"/>
    <w:rsid w:val="008A69C1"/>
    <w:rsid w:val="008B7355"/>
    <w:rsid w:val="008D3216"/>
    <w:rsid w:val="008E0C34"/>
    <w:rsid w:val="008E1FEB"/>
    <w:rsid w:val="008F34B6"/>
    <w:rsid w:val="0091553B"/>
    <w:rsid w:val="009354D4"/>
    <w:rsid w:val="00937CFB"/>
    <w:rsid w:val="00952A3E"/>
    <w:rsid w:val="0095747E"/>
    <w:rsid w:val="009728EB"/>
    <w:rsid w:val="009816BD"/>
    <w:rsid w:val="00983047"/>
    <w:rsid w:val="009830D1"/>
    <w:rsid w:val="0098484C"/>
    <w:rsid w:val="00996C04"/>
    <w:rsid w:val="00997A0A"/>
    <w:rsid w:val="009C1614"/>
    <w:rsid w:val="009C2237"/>
    <w:rsid w:val="009D1089"/>
    <w:rsid w:val="009D79BE"/>
    <w:rsid w:val="009E3303"/>
    <w:rsid w:val="009E5920"/>
    <w:rsid w:val="009E73D1"/>
    <w:rsid w:val="009F5DA3"/>
    <w:rsid w:val="00A06F16"/>
    <w:rsid w:val="00A15052"/>
    <w:rsid w:val="00A332B1"/>
    <w:rsid w:val="00A36A89"/>
    <w:rsid w:val="00A414BE"/>
    <w:rsid w:val="00A46F51"/>
    <w:rsid w:val="00A536D3"/>
    <w:rsid w:val="00A6744F"/>
    <w:rsid w:val="00A71B8E"/>
    <w:rsid w:val="00A768D2"/>
    <w:rsid w:val="00A9620F"/>
    <w:rsid w:val="00A97EA7"/>
    <w:rsid w:val="00AA3045"/>
    <w:rsid w:val="00AA5130"/>
    <w:rsid w:val="00AB187A"/>
    <w:rsid w:val="00AB479A"/>
    <w:rsid w:val="00AB51EA"/>
    <w:rsid w:val="00AD51BB"/>
    <w:rsid w:val="00AE52E5"/>
    <w:rsid w:val="00AF71F4"/>
    <w:rsid w:val="00B03F0C"/>
    <w:rsid w:val="00B15D2D"/>
    <w:rsid w:val="00B210BF"/>
    <w:rsid w:val="00B2235E"/>
    <w:rsid w:val="00B24C13"/>
    <w:rsid w:val="00B34126"/>
    <w:rsid w:val="00B64B49"/>
    <w:rsid w:val="00B65F37"/>
    <w:rsid w:val="00B74310"/>
    <w:rsid w:val="00B743A5"/>
    <w:rsid w:val="00B77EBA"/>
    <w:rsid w:val="00BA46D7"/>
    <w:rsid w:val="00BB3D53"/>
    <w:rsid w:val="00BB559B"/>
    <w:rsid w:val="00BC51B4"/>
    <w:rsid w:val="00BD093F"/>
    <w:rsid w:val="00BD60CE"/>
    <w:rsid w:val="00BD6B52"/>
    <w:rsid w:val="00C23CC1"/>
    <w:rsid w:val="00C36D7C"/>
    <w:rsid w:val="00C37A6D"/>
    <w:rsid w:val="00C473BC"/>
    <w:rsid w:val="00C52C27"/>
    <w:rsid w:val="00C62128"/>
    <w:rsid w:val="00C633C5"/>
    <w:rsid w:val="00C63E75"/>
    <w:rsid w:val="00C64ABF"/>
    <w:rsid w:val="00C77473"/>
    <w:rsid w:val="00C86D14"/>
    <w:rsid w:val="00CA4BFD"/>
    <w:rsid w:val="00CC5D60"/>
    <w:rsid w:val="00CD5278"/>
    <w:rsid w:val="00CD76D2"/>
    <w:rsid w:val="00CF11B8"/>
    <w:rsid w:val="00D1318A"/>
    <w:rsid w:val="00D33B8E"/>
    <w:rsid w:val="00D3517B"/>
    <w:rsid w:val="00D52BB2"/>
    <w:rsid w:val="00D5656E"/>
    <w:rsid w:val="00D57913"/>
    <w:rsid w:val="00D66D91"/>
    <w:rsid w:val="00D76F97"/>
    <w:rsid w:val="00D90C5B"/>
    <w:rsid w:val="00D930A1"/>
    <w:rsid w:val="00DA399C"/>
    <w:rsid w:val="00DA76E0"/>
    <w:rsid w:val="00DD1177"/>
    <w:rsid w:val="00DD1849"/>
    <w:rsid w:val="00DD1A21"/>
    <w:rsid w:val="00DD53EF"/>
    <w:rsid w:val="00E000E7"/>
    <w:rsid w:val="00E3088B"/>
    <w:rsid w:val="00E64E43"/>
    <w:rsid w:val="00E73505"/>
    <w:rsid w:val="00E737CC"/>
    <w:rsid w:val="00E7625F"/>
    <w:rsid w:val="00E86F77"/>
    <w:rsid w:val="00E92AAE"/>
    <w:rsid w:val="00EE1E51"/>
    <w:rsid w:val="00EE2127"/>
    <w:rsid w:val="00F3141B"/>
    <w:rsid w:val="00F52240"/>
    <w:rsid w:val="00F5740E"/>
    <w:rsid w:val="00F65496"/>
    <w:rsid w:val="00F674B9"/>
    <w:rsid w:val="00F93199"/>
    <w:rsid w:val="00FB03D5"/>
    <w:rsid w:val="00FC7C30"/>
    <w:rsid w:val="00FC7F8A"/>
    <w:rsid w:val="00FD7602"/>
    <w:rsid w:val="00FE721E"/>
    <w:rsid w:val="00FF1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C7DF"/>
  <w15:chartTrackingRefBased/>
  <w15:docId w15:val="{061E8679-B838-45E3-A035-03F2B5D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52C27"/>
    <w:pPr>
      <w:spacing w:before="240" w:after="120" w:line="240" w:lineRule="auto"/>
      <w:outlineLvl w:val="0"/>
    </w:pPr>
    <w:rPr>
      <w:rFonts w:ascii="Times New Roman" w:eastAsia="Times New Roman" w:hAnsi="Times New Roman" w:cs="Times New Roman"/>
      <w:b/>
      <w:bCs/>
      <w:color w:val="000000"/>
      <w:kern w:val="36"/>
      <w:sz w:val="33"/>
      <w:szCs w:val="3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093F"/>
    <w:pPr>
      <w:spacing w:before="120" w:after="0" w:line="240" w:lineRule="auto"/>
      <w:ind w:left="720" w:hanging="360"/>
      <w:contextualSpacing/>
    </w:pPr>
    <w:rPr>
      <w:rFonts w:ascii="Calibri" w:eastAsia="Calibri" w:hAnsi="Calibri" w:cs="Times New Roman"/>
      <w:lang w:val="en-US"/>
    </w:rPr>
  </w:style>
  <w:style w:type="character" w:styleId="Hyperlink">
    <w:name w:val="Hyperlink"/>
    <w:basedOn w:val="Absatz-Standardschriftart"/>
    <w:uiPriority w:val="99"/>
    <w:unhideWhenUsed/>
    <w:rsid w:val="00BD093F"/>
    <w:rPr>
      <w:color w:val="0000FF"/>
      <w:u w:val="single"/>
    </w:rPr>
  </w:style>
  <w:style w:type="character" w:customStyle="1" w:styleId="berschrift1Zchn">
    <w:name w:val="Überschrift 1 Zchn"/>
    <w:basedOn w:val="Absatz-Standardschriftart"/>
    <w:link w:val="berschrift1"/>
    <w:uiPriority w:val="9"/>
    <w:rsid w:val="00C52C27"/>
    <w:rPr>
      <w:rFonts w:ascii="Times New Roman" w:eastAsia="Times New Roman" w:hAnsi="Times New Roman" w:cs="Times New Roman"/>
      <w:b/>
      <w:bCs/>
      <w:color w:val="000000"/>
      <w:kern w:val="36"/>
      <w:sz w:val="33"/>
      <w:szCs w:val="33"/>
      <w:lang w:eastAsia="de-DE"/>
    </w:rPr>
  </w:style>
  <w:style w:type="paragraph" w:customStyle="1" w:styleId="title1">
    <w:name w:val="title1"/>
    <w:basedOn w:val="Standard"/>
    <w:rsid w:val="00C52C27"/>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Standard"/>
    <w:rsid w:val="00C52C27"/>
    <w:pPr>
      <w:spacing w:after="0" w:line="240" w:lineRule="auto"/>
    </w:pPr>
    <w:rPr>
      <w:rFonts w:ascii="Times New Roman" w:eastAsia="Times New Roman" w:hAnsi="Times New Roman" w:cs="Times New Roman"/>
      <w:sz w:val="26"/>
      <w:szCs w:val="26"/>
      <w:lang w:eastAsia="de-DE"/>
    </w:rPr>
  </w:style>
  <w:style w:type="character" w:customStyle="1" w:styleId="jrnl">
    <w:name w:val="jrnl"/>
    <w:basedOn w:val="Absatz-Standardschriftart"/>
    <w:rsid w:val="00C52C27"/>
  </w:style>
  <w:style w:type="character" w:customStyle="1" w:styleId="highlight2">
    <w:name w:val="highlight2"/>
    <w:basedOn w:val="Absatz-Standardschriftart"/>
    <w:rsid w:val="00C52C27"/>
  </w:style>
  <w:style w:type="paragraph" w:styleId="Sprechblasentext">
    <w:name w:val="Balloon Text"/>
    <w:basedOn w:val="Standard"/>
    <w:link w:val="SprechblasentextZchn"/>
    <w:uiPriority w:val="99"/>
    <w:semiHidden/>
    <w:unhideWhenUsed/>
    <w:rsid w:val="000A37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720"/>
    <w:rPr>
      <w:rFonts w:ascii="Segoe UI" w:hAnsi="Segoe UI" w:cs="Segoe UI"/>
      <w:sz w:val="18"/>
      <w:szCs w:val="18"/>
    </w:rPr>
  </w:style>
  <w:style w:type="character" w:styleId="Kommentarzeichen">
    <w:name w:val="annotation reference"/>
    <w:basedOn w:val="Absatz-Standardschriftart"/>
    <w:uiPriority w:val="99"/>
    <w:semiHidden/>
    <w:unhideWhenUsed/>
    <w:rsid w:val="00EE2127"/>
    <w:rPr>
      <w:sz w:val="16"/>
      <w:szCs w:val="16"/>
    </w:rPr>
  </w:style>
  <w:style w:type="paragraph" w:styleId="Kommentartext">
    <w:name w:val="annotation text"/>
    <w:basedOn w:val="Standard"/>
    <w:link w:val="KommentartextZchn"/>
    <w:uiPriority w:val="99"/>
    <w:semiHidden/>
    <w:unhideWhenUsed/>
    <w:rsid w:val="00EE21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127"/>
    <w:rPr>
      <w:sz w:val="20"/>
      <w:szCs w:val="20"/>
    </w:rPr>
  </w:style>
  <w:style w:type="paragraph" w:styleId="Kommentarthema">
    <w:name w:val="annotation subject"/>
    <w:basedOn w:val="Kommentartext"/>
    <w:next w:val="Kommentartext"/>
    <w:link w:val="KommentarthemaZchn"/>
    <w:uiPriority w:val="99"/>
    <w:semiHidden/>
    <w:unhideWhenUsed/>
    <w:rsid w:val="00EE2127"/>
    <w:rPr>
      <w:b/>
      <w:bCs/>
    </w:rPr>
  </w:style>
  <w:style w:type="character" w:customStyle="1" w:styleId="KommentarthemaZchn">
    <w:name w:val="Kommentarthema Zchn"/>
    <w:basedOn w:val="KommentartextZchn"/>
    <w:link w:val="Kommentarthema"/>
    <w:uiPriority w:val="99"/>
    <w:semiHidden/>
    <w:rsid w:val="00EE2127"/>
    <w:rPr>
      <w:b/>
      <w:bCs/>
      <w:sz w:val="20"/>
      <w:szCs w:val="20"/>
    </w:rPr>
  </w:style>
  <w:style w:type="paragraph" w:styleId="Kopfzeile">
    <w:name w:val="header"/>
    <w:basedOn w:val="Standard"/>
    <w:link w:val="KopfzeileZchn"/>
    <w:uiPriority w:val="99"/>
    <w:unhideWhenUsed/>
    <w:rsid w:val="001F2B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2BD5"/>
  </w:style>
  <w:style w:type="paragraph" w:styleId="Fuzeile">
    <w:name w:val="footer"/>
    <w:basedOn w:val="Standard"/>
    <w:link w:val="FuzeileZchn"/>
    <w:uiPriority w:val="99"/>
    <w:unhideWhenUsed/>
    <w:rsid w:val="001F2B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2BD5"/>
  </w:style>
  <w:style w:type="paragraph" w:styleId="StandardWeb">
    <w:name w:val="Normal (Web)"/>
    <w:basedOn w:val="Standard"/>
    <w:uiPriority w:val="99"/>
    <w:semiHidden/>
    <w:unhideWhenUsed/>
    <w:rsid w:val="00B2235E"/>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424">
      <w:bodyDiv w:val="1"/>
      <w:marLeft w:val="0"/>
      <w:marRight w:val="0"/>
      <w:marTop w:val="0"/>
      <w:marBottom w:val="0"/>
      <w:divBdr>
        <w:top w:val="none" w:sz="0" w:space="0" w:color="auto"/>
        <w:left w:val="none" w:sz="0" w:space="0" w:color="auto"/>
        <w:bottom w:val="none" w:sz="0" w:space="0" w:color="auto"/>
        <w:right w:val="none" w:sz="0" w:space="0" w:color="auto"/>
      </w:divBdr>
    </w:div>
    <w:div w:id="429542634">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759376670">
      <w:bodyDiv w:val="1"/>
      <w:marLeft w:val="0"/>
      <w:marRight w:val="0"/>
      <w:marTop w:val="0"/>
      <w:marBottom w:val="0"/>
      <w:divBdr>
        <w:top w:val="none" w:sz="0" w:space="0" w:color="auto"/>
        <w:left w:val="none" w:sz="0" w:space="0" w:color="auto"/>
        <w:bottom w:val="none" w:sz="0" w:space="0" w:color="auto"/>
        <w:right w:val="none" w:sz="0" w:space="0" w:color="auto"/>
      </w:divBdr>
    </w:div>
    <w:div w:id="984435526">
      <w:bodyDiv w:val="1"/>
      <w:marLeft w:val="0"/>
      <w:marRight w:val="0"/>
      <w:marTop w:val="0"/>
      <w:marBottom w:val="0"/>
      <w:divBdr>
        <w:top w:val="none" w:sz="0" w:space="0" w:color="auto"/>
        <w:left w:val="none" w:sz="0" w:space="0" w:color="auto"/>
        <w:bottom w:val="none" w:sz="0" w:space="0" w:color="auto"/>
        <w:right w:val="none" w:sz="0" w:space="0" w:color="auto"/>
      </w:divBdr>
    </w:div>
    <w:div w:id="1088309565">
      <w:bodyDiv w:val="1"/>
      <w:marLeft w:val="0"/>
      <w:marRight w:val="0"/>
      <w:marTop w:val="0"/>
      <w:marBottom w:val="0"/>
      <w:divBdr>
        <w:top w:val="none" w:sz="0" w:space="0" w:color="auto"/>
        <w:left w:val="none" w:sz="0" w:space="0" w:color="auto"/>
        <w:bottom w:val="none" w:sz="0" w:space="0" w:color="auto"/>
        <w:right w:val="none" w:sz="0" w:space="0" w:color="auto"/>
      </w:divBdr>
    </w:div>
    <w:div w:id="1192181954">
      <w:bodyDiv w:val="1"/>
      <w:marLeft w:val="0"/>
      <w:marRight w:val="0"/>
      <w:marTop w:val="0"/>
      <w:marBottom w:val="0"/>
      <w:divBdr>
        <w:top w:val="none" w:sz="0" w:space="0" w:color="auto"/>
        <w:left w:val="none" w:sz="0" w:space="0" w:color="auto"/>
        <w:bottom w:val="none" w:sz="0" w:space="0" w:color="auto"/>
        <w:right w:val="none" w:sz="0" w:space="0" w:color="auto"/>
      </w:divBdr>
    </w:div>
    <w:div w:id="1482425748">
      <w:bodyDiv w:val="1"/>
      <w:marLeft w:val="0"/>
      <w:marRight w:val="0"/>
      <w:marTop w:val="0"/>
      <w:marBottom w:val="0"/>
      <w:divBdr>
        <w:top w:val="none" w:sz="0" w:space="0" w:color="auto"/>
        <w:left w:val="none" w:sz="0" w:space="0" w:color="auto"/>
        <w:bottom w:val="none" w:sz="0" w:space="0" w:color="auto"/>
        <w:right w:val="none" w:sz="0" w:space="0" w:color="auto"/>
      </w:divBdr>
    </w:div>
    <w:div w:id="1633363599">
      <w:bodyDiv w:val="1"/>
      <w:marLeft w:val="0"/>
      <w:marRight w:val="0"/>
      <w:marTop w:val="0"/>
      <w:marBottom w:val="0"/>
      <w:divBdr>
        <w:top w:val="none" w:sz="0" w:space="0" w:color="auto"/>
        <w:left w:val="none" w:sz="0" w:space="0" w:color="auto"/>
        <w:bottom w:val="none" w:sz="0" w:space="0" w:color="auto"/>
        <w:right w:val="none" w:sz="0" w:space="0" w:color="auto"/>
      </w:divBdr>
    </w:div>
    <w:div w:id="1683169423">
      <w:bodyDiv w:val="1"/>
      <w:marLeft w:val="0"/>
      <w:marRight w:val="0"/>
      <w:marTop w:val="0"/>
      <w:marBottom w:val="0"/>
      <w:divBdr>
        <w:top w:val="none" w:sz="0" w:space="0" w:color="auto"/>
        <w:left w:val="none" w:sz="0" w:space="0" w:color="auto"/>
        <w:bottom w:val="none" w:sz="0" w:space="0" w:color="auto"/>
        <w:right w:val="none" w:sz="0" w:space="0" w:color="auto"/>
      </w:divBdr>
    </w:div>
    <w:div w:id="1754037964">
      <w:bodyDiv w:val="1"/>
      <w:marLeft w:val="0"/>
      <w:marRight w:val="0"/>
      <w:marTop w:val="0"/>
      <w:marBottom w:val="0"/>
      <w:divBdr>
        <w:top w:val="none" w:sz="0" w:space="0" w:color="auto"/>
        <w:left w:val="none" w:sz="0" w:space="0" w:color="auto"/>
        <w:bottom w:val="none" w:sz="0" w:space="0" w:color="auto"/>
        <w:right w:val="none" w:sz="0" w:space="0" w:color="auto"/>
      </w:divBdr>
    </w:div>
    <w:div w:id="19223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E49C-F232-48FD-AEE2-C15C3EB7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Hoxha, Elion</dc:creator>
  <cp:keywords/>
  <dc:description/>
  <cp:lastModifiedBy>Elion Hoxha</cp:lastModifiedBy>
  <cp:revision>2</cp:revision>
  <cp:lastPrinted>2018-01-23T16:32:00Z</cp:lastPrinted>
  <dcterms:created xsi:type="dcterms:W3CDTF">2019-08-11T14:06:00Z</dcterms:created>
  <dcterms:modified xsi:type="dcterms:W3CDTF">2019-08-11T14:06:00Z</dcterms:modified>
</cp:coreProperties>
</file>