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8A" w:rsidRDefault="00C461D1" w:rsidP="00512A89">
      <w:pPr>
        <w:spacing w:line="480" w:lineRule="auto"/>
        <w:rPr>
          <w:rFonts w:ascii="Arial" w:eastAsia="Calibri" w:hAnsi="Arial" w:cs="Arial"/>
          <w:b/>
          <w:bCs/>
          <w:color w:val="000000"/>
          <w:kern w:val="1"/>
        </w:rPr>
      </w:pPr>
      <w:r>
        <w:rPr>
          <w:rFonts w:ascii="Arial" w:eastAsia="Calibri" w:hAnsi="Arial" w:cs="Arial"/>
          <w:b/>
          <w:bCs/>
          <w:color w:val="000000"/>
          <w:kern w:val="1"/>
        </w:rPr>
        <w:t>S Table</w:t>
      </w:r>
      <w:r w:rsidR="0084764A">
        <w:rPr>
          <w:rFonts w:ascii="Arial" w:eastAsia="Calibri" w:hAnsi="Arial" w:cs="Arial"/>
          <w:b/>
          <w:bCs/>
          <w:color w:val="000000"/>
          <w:kern w:val="1"/>
        </w:rPr>
        <w:t xml:space="preserve"> 1</w:t>
      </w:r>
      <w:r w:rsidR="0086098A" w:rsidRPr="00C75E4C">
        <w:rPr>
          <w:rFonts w:ascii="Arial" w:eastAsia="Calibri" w:hAnsi="Arial" w:cs="Arial"/>
          <w:b/>
          <w:bCs/>
          <w:color w:val="000000"/>
          <w:kern w:val="1"/>
        </w:rPr>
        <w:t xml:space="preserve">. Results from the general linear model on semen parameters in a </w:t>
      </w:r>
      <w:r w:rsidR="0084764A">
        <w:rPr>
          <w:rFonts w:ascii="Arial" w:eastAsia="Calibri" w:hAnsi="Arial" w:cs="Arial"/>
          <w:b/>
          <w:bCs/>
          <w:color w:val="000000"/>
          <w:kern w:val="1"/>
        </w:rPr>
        <w:t xml:space="preserve">subgroup of </w:t>
      </w:r>
      <w:r w:rsidR="00512A89">
        <w:rPr>
          <w:rFonts w:ascii="Arial" w:eastAsia="Calibri" w:hAnsi="Arial" w:cs="Arial"/>
          <w:b/>
          <w:bCs/>
          <w:color w:val="000000"/>
          <w:kern w:val="1"/>
        </w:rPr>
        <w:t xml:space="preserve">413 </w:t>
      </w:r>
      <w:proofErr w:type="spellStart"/>
      <w:r w:rsidR="00512A89">
        <w:rPr>
          <w:rFonts w:ascii="Arial" w:eastAsia="Calibri" w:hAnsi="Arial" w:cs="Arial"/>
          <w:b/>
          <w:bCs/>
          <w:color w:val="000000"/>
          <w:kern w:val="1"/>
        </w:rPr>
        <w:t>aviremic</w:t>
      </w:r>
      <w:proofErr w:type="spellEnd"/>
      <w:r w:rsidR="0086098A" w:rsidRPr="00C75E4C">
        <w:rPr>
          <w:rFonts w:ascii="Arial" w:eastAsia="Calibri" w:hAnsi="Arial" w:cs="Arial"/>
          <w:b/>
          <w:bCs/>
          <w:color w:val="000000"/>
          <w:kern w:val="1"/>
        </w:rPr>
        <w:t xml:space="preserve"> patients</w:t>
      </w:r>
      <w:r w:rsidR="0084764A">
        <w:rPr>
          <w:rFonts w:ascii="Arial" w:eastAsia="Calibri" w:hAnsi="Arial" w:cs="Arial"/>
          <w:b/>
          <w:bCs/>
          <w:color w:val="000000"/>
          <w:kern w:val="1"/>
        </w:rPr>
        <w:t>.</w:t>
      </w:r>
      <w:r w:rsidR="0086098A">
        <w:rPr>
          <w:rFonts w:ascii="Arial" w:eastAsia="Calibri" w:hAnsi="Arial" w:cs="Arial"/>
          <w:b/>
          <w:bCs/>
          <w:color w:val="000000"/>
          <w:kern w:val="1"/>
        </w:rPr>
        <w:t xml:space="preserve"> </w:t>
      </w:r>
    </w:p>
    <w:p w:rsidR="0086098A" w:rsidRDefault="0086098A" w:rsidP="008609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3283"/>
        <w:gridCol w:w="1056"/>
      </w:tblGrid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suppressLineNumbers/>
              <w:jc w:val="center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Dependent variable</w:t>
            </w:r>
          </w:p>
        </w:tc>
        <w:tc>
          <w:tcPr>
            <w:tcW w:w="3283" w:type="dxa"/>
            <w:shd w:val="clear" w:color="auto" w:fill="auto"/>
          </w:tcPr>
          <w:p w:rsidR="004D5760" w:rsidRPr="00AD4C05" w:rsidRDefault="004D5760" w:rsidP="00AD4C05">
            <w:pPr>
              <w:suppressLineNumbers/>
              <w:jc w:val="center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Parameter estimates</w:t>
            </w:r>
          </w:p>
          <w:p w:rsidR="004D5760" w:rsidRPr="00AD4C05" w:rsidRDefault="004D5760" w:rsidP="00AD4C05">
            <w:pPr>
              <w:suppressLineNumbers/>
              <w:jc w:val="center"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ascii="Lucida Grande" w:hAnsi="Lucida Grande" w:cs="Lucida Grande"/>
                <w:color w:val="000000"/>
              </w:rPr>
              <w:t>β</w:t>
            </w:r>
            <w:r w:rsidRPr="00AD4C05">
              <w:rPr>
                <w:color w:val="000000"/>
              </w:rPr>
              <w:t xml:space="preserve"> (95% CI)</w:t>
            </w:r>
          </w:p>
        </w:tc>
        <w:tc>
          <w:tcPr>
            <w:tcW w:w="1056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p-value</w:t>
            </w:r>
          </w:p>
        </w:tc>
      </w:tr>
      <w:tr w:rsidR="004D5760" w:rsidRPr="00AD4C05" w:rsidTr="00AD4C05">
        <w:trPr>
          <w:trHeight w:val="268"/>
        </w:trPr>
        <w:tc>
          <w:tcPr>
            <w:tcW w:w="7621" w:type="dxa"/>
            <w:gridSpan w:val="3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Volume (ml)</w:t>
            </w:r>
          </w:p>
        </w:tc>
      </w:tr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type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-0.11 (-0.51; 0.28)</w:t>
            </w:r>
          </w:p>
        </w:tc>
        <w:tc>
          <w:tcPr>
            <w:tcW w:w="1056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0.58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</w:tr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duration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-0.02 (-0.04; 0.00)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0.03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</w:tr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Age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-0.00 (-0.03; 0.03)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0.84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</w:tr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CD4 count</w:t>
            </w:r>
          </w:p>
        </w:tc>
        <w:tc>
          <w:tcPr>
            <w:tcW w:w="3283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0.00 (-0.00; 0.00)</w:t>
            </w:r>
          </w:p>
        </w:tc>
        <w:tc>
          <w:tcPr>
            <w:tcW w:w="1056" w:type="dxa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0.30</w:t>
            </w:r>
          </w:p>
        </w:tc>
      </w:tr>
      <w:tr w:rsidR="004D5760" w:rsidRPr="00AD4C05" w:rsidTr="00AD4C05">
        <w:trPr>
          <w:trHeight w:val="286"/>
        </w:trPr>
        <w:tc>
          <w:tcPr>
            <w:tcW w:w="7621" w:type="dxa"/>
            <w:gridSpan w:val="3"/>
            <w:shd w:val="clear" w:color="auto" w:fill="auto"/>
          </w:tcPr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 xml:space="preserve">Sperm concentration </w:t>
            </w:r>
            <w:r w:rsidRPr="00AD4C05">
              <w:rPr>
                <w:b/>
                <w:bCs/>
              </w:rPr>
              <w:t>(x10</w:t>
            </w:r>
            <w:r w:rsidRPr="00AD4C05">
              <w:rPr>
                <w:b/>
                <w:bCs/>
                <w:vertAlign w:val="superscript"/>
              </w:rPr>
              <w:t>6</w:t>
            </w:r>
            <w:r w:rsidRPr="00AD4C05">
              <w:rPr>
                <w:b/>
                <w:bCs/>
              </w:rPr>
              <w:t>/ml)</w:t>
            </w:r>
          </w:p>
        </w:tc>
      </w:tr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type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-6.04 (-22.2; 10.1)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4D5760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0.46</w:t>
            </w:r>
          </w:p>
        </w:tc>
      </w:tr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duration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-0.11 (-0.96; 0.73)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4D5760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0.80</w:t>
            </w:r>
          </w:p>
        </w:tc>
      </w:tr>
      <w:tr w:rsidR="004D5760" w:rsidRPr="00AD4C05" w:rsidTr="000402CC">
        <w:tc>
          <w:tcPr>
            <w:tcW w:w="3282" w:type="dxa"/>
            <w:shd w:val="clear" w:color="auto" w:fill="auto"/>
          </w:tcPr>
          <w:p w:rsidR="004D5760" w:rsidRPr="00AD4C05" w:rsidRDefault="004D5760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Age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-0.48 (-0.70; 1.67)</w:t>
            </w:r>
          </w:p>
          <w:p w:rsidR="004D5760" w:rsidRPr="00AD4C05" w:rsidRDefault="004D5760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4D5760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0.42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CD4 count</w:t>
            </w: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-0.01 (-0.03; 0.01)</w:t>
            </w: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0.57</w:t>
            </w:r>
          </w:p>
        </w:tc>
      </w:tr>
      <w:tr w:rsidR="00AD4C05" w:rsidRPr="00AD4C05" w:rsidTr="00AD4C05">
        <w:trPr>
          <w:trHeight w:val="310"/>
        </w:trPr>
        <w:tc>
          <w:tcPr>
            <w:tcW w:w="7621" w:type="dxa"/>
            <w:gridSpan w:val="3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 xml:space="preserve">Progressive motility </w:t>
            </w:r>
            <w:r w:rsidRPr="00AD4C05">
              <w:rPr>
                <w:b/>
                <w:bCs/>
              </w:rPr>
              <w:t>(%)</w:t>
            </w:r>
          </w:p>
        </w:tc>
      </w:tr>
      <w:tr w:rsidR="00AD4C05" w:rsidRPr="00AD4C05" w:rsidTr="00AD4C05">
        <w:trPr>
          <w:trHeight w:val="286"/>
        </w:trPr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type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2.4 (-1.62; 6.32)</w:t>
            </w: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0.25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duration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0.00 (-0.20; 0.21)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0.99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Age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kern w:val="1"/>
              </w:rPr>
            </w:pPr>
            <w:r w:rsidRPr="00AD4C05">
              <w:rPr>
                <w:rFonts w:eastAsia="Calibri"/>
                <w:bCs/>
                <w:kern w:val="1"/>
              </w:rPr>
              <w:t>-0.25 (-0.54; -0.05)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0.10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CD4 count</w:t>
            </w: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0.00(-0.00; 0.00)</w:t>
            </w: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0.40</w:t>
            </w:r>
          </w:p>
        </w:tc>
      </w:tr>
      <w:tr w:rsidR="00AD4C05" w:rsidRPr="00AD4C05" w:rsidTr="00AD4C05">
        <w:trPr>
          <w:trHeight w:val="266"/>
        </w:trPr>
        <w:tc>
          <w:tcPr>
            <w:tcW w:w="7621" w:type="dxa"/>
            <w:gridSpan w:val="3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 xml:space="preserve">Morphology </w:t>
            </w:r>
            <w:r w:rsidRPr="00AD4C05">
              <w:rPr>
                <w:b/>
                <w:bCs/>
              </w:rPr>
              <w:t>(%)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type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1.36 (-0.37; 3.08)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0.12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  <w:lang w:val="nl-NL"/>
              </w:rPr>
              <w:t>HAART duration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0.02 (-0.11; 0.07)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0.63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Age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/>
                <w:bCs/>
                <w:color w:val="000000"/>
                <w:kern w:val="1"/>
                <w:lang w:val="nl-NL"/>
              </w:rPr>
            </w:pP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-0.01 (-0.14; 0.12)</w:t>
            </w:r>
          </w:p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0.87</w:t>
            </w:r>
          </w:p>
        </w:tc>
      </w:tr>
      <w:tr w:rsidR="00AD4C05" w:rsidRPr="00AD4C05" w:rsidTr="000402CC">
        <w:tc>
          <w:tcPr>
            <w:tcW w:w="3282" w:type="dxa"/>
            <w:shd w:val="clear" w:color="auto" w:fill="auto"/>
          </w:tcPr>
          <w:p w:rsidR="00AD4C05" w:rsidRPr="00AD4C05" w:rsidRDefault="00AD4C05" w:rsidP="00AD4C05">
            <w:pPr>
              <w:pStyle w:val="ColorfulList-Accent11"/>
              <w:suppressLineNumbers/>
              <w:jc w:val="right"/>
              <w:rPr>
                <w:rFonts w:eastAsia="Calibri"/>
                <w:b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/>
                <w:bCs/>
                <w:color w:val="000000"/>
                <w:kern w:val="1"/>
              </w:rPr>
              <w:t>CD4 count</w:t>
            </w:r>
          </w:p>
        </w:tc>
        <w:tc>
          <w:tcPr>
            <w:tcW w:w="3283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-0.00 (-0.00; 0.00)</w:t>
            </w:r>
          </w:p>
        </w:tc>
        <w:tc>
          <w:tcPr>
            <w:tcW w:w="1056" w:type="dxa"/>
            <w:shd w:val="clear" w:color="auto" w:fill="auto"/>
          </w:tcPr>
          <w:p w:rsidR="00AD4C05" w:rsidRPr="00AD4C05" w:rsidRDefault="00AD4C05" w:rsidP="00AD4C05">
            <w:pPr>
              <w:suppressLineNumbers/>
              <w:rPr>
                <w:rFonts w:eastAsia="Calibri"/>
                <w:bCs/>
                <w:color w:val="000000"/>
                <w:kern w:val="1"/>
              </w:rPr>
            </w:pPr>
            <w:r w:rsidRPr="00AD4C05">
              <w:rPr>
                <w:rFonts w:eastAsia="Calibri"/>
                <w:bCs/>
                <w:color w:val="000000"/>
                <w:kern w:val="1"/>
              </w:rPr>
              <w:t>0.21</w:t>
            </w:r>
          </w:p>
        </w:tc>
      </w:tr>
    </w:tbl>
    <w:p w:rsidR="00AD4C05" w:rsidRDefault="00AD4C05" w:rsidP="0086098A">
      <w:pPr>
        <w:suppressLineNumbers/>
        <w:spacing w:line="480" w:lineRule="auto"/>
        <w:rPr>
          <w:rFonts w:ascii="Arial" w:eastAsia="Calibri" w:hAnsi="Arial" w:cs="Arial"/>
          <w:bCs/>
          <w:color w:val="000000"/>
          <w:kern w:val="1"/>
        </w:rPr>
      </w:pPr>
    </w:p>
    <w:p w:rsidR="0086098A" w:rsidRDefault="0086098A" w:rsidP="00AD4C05">
      <w:pPr>
        <w:suppressLineNumbers/>
        <w:spacing w:line="480" w:lineRule="auto"/>
      </w:pPr>
      <w:r w:rsidRPr="00C75E4C">
        <w:rPr>
          <w:rFonts w:ascii="Arial" w:eastAsia="Calibri" w:hAnsi="Arial" w:cs="Arial"/>
          <w:bCs/>
          <w:color w:val="000000"/>
          <w:kern w:val="1"/>
        </w:rPr>
        <w:t xml:space="preserve">Values are regression coefficients (95% confidence interval) from the general linear model that reflect differences in semen parameters per standard-deviation scores change in age, HAART duration, viral load and CD4 count and per unit of change in HAART type (1: </w:t>
      </w:r>
      <w:r w:rsidRPr="00C75E4C">
        <w:rPr>
          <w:rFonts w:ascii="Arial" w:eastAsia="Calibri" w:hAnsi="Arial" w:cs="Arial"/>
          <w:kern w:val="1"/>
        </w:rPr>
        <w:t>NRTI</w:t>
      </w:r>
      <w:r w:rsidRPr="00C75E4C">
        <w:rPr>
          <w:rFonts w:ascii="Arial" w:eastAsia="Calibri" w:hAnsi="Arial" w:cs="Arial"/>
          <w:bCs/>
          <w:color w:val="000000"/>
          <w:kern w:val="1"/>
        </w:rPr>
        <w:t xml:space="preserve">, 2: </w:t>
      </w:r>
      <w:r w:rsidRPr="00C75E4C">
        <w:rPr>
          <w:rFonts w:ascii="Arial" w:eastAsia="Calibri" w:hAnsi="Arial" w:cs="Arial"/>
          <w:kern w:val="1"/>
        </w:rPr>
        <w:t>NRTI+IP</w:t>
      </w:r>
      <w:r w:rsidRPr="00C75E4C">
        <w:rPr>
          <w:rFonts w:ascii="Arial" w:eastAsia="Calibri" w:hAnsi="Arial" w:cs="Arial"/>
          <w:bCs/>
          <w:color w:val="000000"/>
          <w:kern w:val="1"/>
        </w:rPr>
        <w:t xml:space="preserve">, 3: </w:t>
      </w:r>
      <w:r w:rsidRPr="00C75E4C">
        <w:rPr>
          <w:rFonts w:ascii="Arial" w:eastAsia="Calibri" w:hAnsi="Arial" w:cs="Arial"/>
          <w:kern w:val="1"/>
        </w:rPr>
        <w:t>NRTI+ NNRTI</w:t>
      </w:r>
      <w:r w:rsidRPr="00C75E4C">
        <w:rPr>
          <w:rFonts w:ascii="Arial" w:eastAsia="Calibri" w:hAnsi="Arial" w:cs="Arial"/>
          <w:bCs/>
          <w:color w:val="000000"/>
          <w:kern w:val="1"/>
        </w:rPr>
        <w:t>). The analysis was performed in the</w:t>
      </w:r>
      <w:r>
        <w:rPr>
          <w:rFonts w:ascii="Arial" w:eastAsia="Calibri" w:hAnsi="Arial" w:cs="Arial"/>
          <w:bCs/>
          <w:color w:val="000000"/>
          <w:kern w:val="1"/>
        </w:rPr>
        <w:t xml:space="preserve"> subgroup of 413 </w:t>
      </w:r>
      <w:proofErr w:type="spellStart"/>
      <w:r>
        <w:rPr>
          <w:rFonts w:ascii="Arial" w:eastAsia="Calibri" w:hAnsi="Arial" w:cs="Arial"/>
          <w:bCs/>
          <w:color w:val="000000"/>
          <w:kern w:val="1"/>
        </w:rPr>
        <w:t>aviremic</w:t>
      </w:r>
      <w:proofErr w:type="spellEnd"/>
      <w:r>
        <w:rPr>
          <w:rFonts w:ascii="Arial" w:eastAsia="Calibri" w:hAnsi="Arial" w:cs="Arial"/>
          <w:bCs/>
          <w:color w:val="000000"/>
          <w:kern w:val="1"/>
        </w:rPr>
        <w:t xml:space="preserve"> </w:t>
      </w:r>
      <w:r w:rsidRPr="00C75E4C">
        <w:rPr>
          <w:rFonts w:ascii="Arial" w:eastAsia="Calibri" w:hAnsi="Arial" w:cs="Arial"/>
          <w:bCs/>
          <w:color w:val="000000"/>
          <w:kern w:val="1"/>
        </w:rPr>
        <w:t>patients</w:t>
      </w:r>
      <w:r w:rsidR="00512A89">
        <w:rPr>
          <w:rFonts w:ascii="Arial" w:eastAsia="Calibri" w:hAnsi="Arial" w:cs="Arial"/>
          <w:bCs/>
          <w:color w:val="000000"/>
          <w:kern w:val="1"/>
        </w:rPr>
        <w:t xml:space="preserve"> (</w:t>
      </w:r>
      <w:r w:rsidR="007D1C8B">
        <w:rPr>
          <w:rFonts w:ascii="Arial" w:eastAsia="Calibri" w:hAnsi="Arial" w:cs="Arial"/>
          <w:bCs/>
          <w:color w:val="000000"/>
          <w:kern w:val="1"/>
        </w:rPr>
        <w:t xml:space="preserve">&lt; 50 copies </w:t>
      </w:r>
      <w:r>
        <w:rPr>
          <w:rFonts w:ascii="Arial" w:eastAsia="Calibri" w:hAnsi="Arial" w:cs="Arial"/>
          <w:bCs/>
          <w:color w:val="000000"/>
          <w:kern w:val="1"/>
        </w:rPr>
        <w:t xml:space="preserve">/ml) </w:t>
      </w:r>
      <w:r w:rsidRPr="00C75E4C">
        <w:rPr>
          <w:rFonts w:ascii="Arial" w:eastAsia="Calibri" w:hAnsi="Arial" w:cs="Arial"/>
          <w:bCs/>
          <w:color w:val="000000"/>
          <w:kern w:val="1"/>
        </w:rPr>
        <w:t xml:space="preserve">with known HAART </w:t>
      </w:r>
      <w:r w:rsidR="00476D3D">
        <w:rPr>
          <w:rFonts w:ascii="Arial" w:eastAsia="Calibri" w:hAnsi="Arial" w:cs="Arial"/>
          <w:bCs/>
          <w:color w:val="000000"/>
          <w:kern w:val="1"/>
        </w:rPr>
        <w:t>characteristics.</w:t>
      </w:r>
      <w:bookmarkStart w:id="0" w:name="_GoBack"/>
      <w:bookmarkEnd w:id="0"/>
    </w:p>
    <w:sectPr w:rsidR="0086098A" w:rsidSect="000770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62F06"/>
    <w:rsid w:val="00077003"/>
    <w:rsid w:val="00476D3D"/>
    <w:rsid w:val="004D5760"/>
    <w:rsid w:val="00512A89"/>
    <w:rsid w:val="007D1C8B"/>
    <w:rsid w:val="0084764A"/>
    <w:rsid w:val="0086098A"/>
    <w:rsid w:val="008A5AA8"/>
    <w:rsid w:val="009243F7"/>
    <w:rsid w:val="00AC6543"/>
    <w:rsid w:val="00AD4C05"/>
    <w:rsid w:val="00C461D1"/>
    <w:rsid w:val="00F62F06"/>
    <w:rsid w:val="00F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F06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F62F06"/>
    <w:pPr>
      <w:ind w:left="720"/>
      <w:contextualSpacing/>
    </w:pPr>
  </w:style>
  <w:style w:type="paragraph" w:customStyle="1" w:styleId="ColorfulList-Accent11">
    <w:name w:val="Colorful List - Accent 11"/>
    <w:basedOn w:val="Normale"/>
    <w:uiPriority w:val="34"/>
    <w:qFormat/>
    <w:rsid w:val="004D5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Salvasi</dc:creator>
  <cp:lastModifiedBy>aida.quarenghi</cp:lastModifiedBy>
  <cp:revision>5</cp:revision>
  <dcterms:created xsi:type="dcterms:W3CDTF">2019-02-01T14:24:00Z</dcterms:created>
  <dcterms:modified xsi:type="dcterms:W3CDTF">2019-02-01T14:29:00Z</dcterms:modified>
</cp:coreProperties>
</file>