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87636F" w:rsidTr="0087636F">
        <w:trPr>
          <w:trHeight w:val="285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7636F" w:rsidRDefault="0087636F">
            <w:pPr>
              <w:spacing w:after="120" w:line="276" w:lineRule="auto"/>
              <w:contextualSpacing/>
              <w:rPr>
                <w:b/>
                <w:szCs w:val="24"/>
              </w:rPr>
            </w:pPr>
          </w:p>
          <w:p w:rsidR="0087636F" w:rsidRDefault="0087636F">
            <w:pPr>
              <w:spacing w:after="120"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S2 Table. </w:t>
            </w:r>
            <w:r>
              <w:rPr>
                <w:szCs w:val="24"/>
              </w:rPr>
              <w:t xml:space="preserve">Univariate logistic regression analyses of functional independence (FI, </w:t>
            </w:r>
            <w:proofErr w:type="spellStart"/>
            <w:r>
              <w:rPr>
                <w:szCs w:val="24"/>
              </w:rPr>
              <w:t>mRS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0–2</w:t>
            </w:r>
            <w:r>
              <w:rPr>
                <w:szCs w:val="24"/>
              </w:rPr>
              <w:t>) at 3 months after discharge</w:t>
            </w:r>
          </w:p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82"/>
              <w:gridCol w:w="2170"/>
              <w:gridCol w:w="2261"/>
            </w:tblGrid>
            <w:tr w:rsidR="0087636F">
              <w:trPr>
                <w:trHeight w:val="285"/>
              </w:trPr>
              <w:tc>
                <w:tcPr>
                  <w:tcW w:w="3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Variables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OR (95% CI)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i/>
                      <w:iCs/>
                      <w:szCs w:val="24"/>
                    </w:rPr>
                  </w:pPr>
                  <w:r>
                    <w:rPr>
                      <w:i/>
                      <w:iCs/>
                      <w:szCs w:val="24"/>
                    </w:rPr>
                    <w:t>p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Age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0.98 (0.94, 1.02)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0.299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Male sex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1.94 (1.00, 3.76)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0.051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Premorbid </w:t>
                  </w:r>
                  <w:proofErr w:type="spellStart"/>
                  <w:r>
                    <w:rPr>
                      <w:szCs w:val="24"/>
                    </w:rPr>
                    <w:t>mRS</w:t>
                  </w:r>
                  <w:proofErr w:type="spellEnd"/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 (0.00, 0.00)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0.999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Time from onset to sampling, h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1.01 (0.94, 1.09)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0.767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Coronary heart disease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0.42 (0.12, 1.61)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0.205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Hypertension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1.28 (0.65, 2.50)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0.477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Diabetes mellitus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1.05 (0.36, 3.03)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0.930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Hyperlipemia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0.56 (0.30, 1.06)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0.075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History of stroke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0.55 (0.26, 1.16)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0.115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Intensive care unit (ICU)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0.05 (0.02, 0.11)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Endotracheal intubation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0.05 (0.22, 0.10)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Nasogastric feeding tube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0.04 (0.01, 0.13)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Catheter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 (0.00, 0.00)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0.997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Operation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0.19 (0.10, 0.37)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Infection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0.06 (0.02, 0.17)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8213" w:type="dxa"/>
                  <w:gridSpan w:val="3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Duration of hospitalization, d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5952" w:type="dxa"/>
                  <w:gridSpan w:val="2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≤</w:t>
                  </w: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7–14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0.18 (0.08, 0.39)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&gt;</w:t>
                  </w: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0.69 (0.31, 1.55)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0.364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Infratentorial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0.66 (0.27, 1.65)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0.375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Intraventricular hemorrhage, IVH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0.39 (0.20, 0.78)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0.008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Larger ICH volume (</w:t>
                  </w:r>
                  <w:r>
                    <w:rPr>
                      <w:rFonts w:eastAsia="MS Gothic" w:cs="Times New Roman"/>
                      <w:szCs w:val="24"/>
                    </w:rPr>
                    <w:t>&gt;</w:t>
                  </w:r>
                  <w:r>
                    <w:rPr>
                      <w:szCs w:val="24"/>
                    </w:rPr>
                    <w:t>30 cm³)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0.07 (0.04, 0.15)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NIHSS admission score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0.77 (0.72, 0.83)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Glasgow coma scale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1.40 (1.28, 1.54)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White cell counts, 1000/mm³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0.86 (0.80, 0.92)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Neutrophil counts, 1000/mm³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0.85 (0.80, 0.92)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Lymphocyte counts, 1000/mm³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1.28 (0.85, 1.93)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0.246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Lymphopenia on admission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0.75(0.40, 1.40)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0.364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NLR0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0.94 (0.91, 0.97)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rFonts w:eastAsia="MS Gothic" w:cs="Times New Roman"/>
                      <w:szCs w:val="24"/>
                    </w:rPr>
                    <w:t>&lt;</w:t>
                  </w:r>
                  <w:r>
                    <w:rPr>
                      <w:szCs w:val="24"/>
                    </w:rPr>
                    <w:t>0.001</w:t>
                  </w:r>
                  <w:r>
                    <w:rPr>
                      <w:szCs w:val="24"/>
                      <w:vertAlign w:val="superscript"/>
                    </w:rPr>
                    <w:t>a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87636F">
              <w:trPr>
                <w:trHeight w:val="285"/>
              </w:trPr>
              <w:tc>
                <w:tcPr>
                  <w:tcW w:w="3782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Monocyte counts, 1000/mm³</w:t>
                  </w:r>
                </w:p>
              </w:tc>
              <w:tc>
                <w:tcPr>
                  <w:tcW w:w="2170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0.55 (0.19, 1.63)</w:t>
                  </w:r>
                </w:p>
              </w:tc>
              <w:tc>
                <w:tcPr>
                  <w:tcW w:w="2261" w:type="dxa"/>
                  <w:noWrap/>
                  <w:hideMark/>
                </w:tcPr>
                <w:p w:rsidR="0087636F" w:rsidRDefault="0087636F">
                  <w:pPr>
                    <w:spacing w:after="120" w:line="48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0.280</w:t>
                  </w:r>
                </w:p>
              </w:tc>
            </w:tr>
          </w:tbl>
          <w:p w:rsidR="0087636F" w:rsidRDefault="0087636F">
            <w:pPr>
              <w:keepNext/>
              <w:spacing w:after="120" w:line="276" w:lineRule="auto"/>
              <w:contextualSpacing/>
            </w:pPr>
          </w:p>
        </w:tc>
      </w:tr>
    </w:tbl>
    <w:p w:rsidR="0087636F" w:rsidRDefault="0087636F" w:rsidP="0087636F">
      <w:pPr>
        <w:keepNext/>
        <w:spacing w:after="120"/>
        <w:contextualSpacing/>
      </w:pPr>
      <w:r>
        <w:lastRenderedPageBreak/>
        <w:t xml:space="preserve">ICH, intracerebral hemorrhage; </w:t>
      </w:r>
      <w:proofErr w:type="spellStart"/>
      <w:r>
        <w:t>mRS</w:t>
      </w:r>
      <w:proofErr w:type="spellEnd"/>
      <w:r>
        <w:t>, modified Rankin scale; NLR, neutrophil-to-lymphocyte ratio</w:t>
      </w:r>
    </w:p>
    <w:p w:rsidR="0087636F" w:rsidRDefault="0087636F" w:rsidP="0087636F">
      <w:pPr>
        <w:spacing w:after="120"/>
        <w:contextualSpacing/>
      </w:pPr>
      <w:r>
        <w:rPr>
          <w:rFonts w:cs="Times New Roman"/>
          <w:szCs w:val="24"/>
          <w:vertAlign w:val="superscript"/>
        </w:rPr>
        <w:t>a</w:t>
      </w:r>
      <w:r>
        <w:rPr>
          <w:rFonts w:cs="Times New Roman"/>
          <w:i/>
          <w:szCs w:val="24"/>
        </w:rPr>
        <w:t>p</w:t>
      </w:r>
      <w:r>
        <w:rPr>
          <w:rFonts w:eastAsia="MS Gothic" w:cs="Times New Roman"/>
          <w:szCs w:val="24"/>
        </w:rPr>
        <w:t xml:space="preserve"> &lt; </w:t>
      </w:r>
      <w:r>
        <w:rPr>
          <w:rFonts w:cs="Times New Roman"/>
          <w:szCs w:val="24"/>
        </w:rPr>
        <w:t>0.1 were the candidate confounders for multivariate logistic regression analysis</w:t>
      </w:r>
    </w:p>
    <w:p w:rsidR="00336775" w:rsidRDefault="0087636F">
      <w:bookmarkStart w:id="0" w:name="_GoBack"/>
      <w:bookmarkEnd w:id="0"/>
    </w:p>
    <w:sectPr w:rsidR="0033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F"/>
    <w:rsid w:val="00227BF4"/>
    <w:rsid w:val="0087636F"/>
    <w:rsid w:val="00B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FC494-70A0-44B6-8412-63059B8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6F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Washburn</dc:creator>
  <cp:keywords/>
  <dc:description/>
  <cp:lastModifiedBy>Caitlin Washburn</cp:lastModifiedBy>
  <cp:revision>1</cp:revision>
  <dcterms:created xsi:type="dcterms:W3CDTF">2019-01-29T18:01:00Z</dcterms:created>
  <dcterms:modified xsi:type="dcterms:W3CDTF">2019-01-29T18:02:00Z</dcterms:modified>
</cp:coreProperties>
</file>