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5A" w:rsidRDefault="00733074"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ragraph">
                  <wp:posOffset>2286000</wp:posOffset>
                </wp:positionV>
                <wp:extent cx="1905000" cy="4330700"/>
                <wp:effectExtent l="0" t="0" r="1905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33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74" w:rsidRPr="007F6AFA" w:rsidRDefault="007F6AFA" w:rsidP="00733074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7F6AFA">
                              <w:rPr>
                                <w:lang w:val="en-US"/>
                              </w:rPr>
                              <w:t>Supplementary material Appendix 1. Fig. A1</w:t>
                            </w:r>
                            <w:r w:rsidRPr="007F6AFA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733074" w:rsidRPr="007F6AFA">
                              <w:rPr>
                                <w:lang w:val="en-US"/>
                              </w:rPr>
                              <w:t xml:space="preserve"> Chao2 </w:t>
                            </w:r>
                            <w:r w:rsidR="003E256E" w:rsidRPr="007F6AFA">
                              <w:rPr>
                                <w:lang w:val="en-US"/>
                              </w:rPr>
                              <w:t xml:space="preserve">estimation of species richness </w:t>
                            </w:r>
                            <w:r w:rsidR="00733074" w:rsidRPr="007F6AFA">
                              <w:rPr>
                                <w:lang w:val="en-US"/>
                              </w:rPr>
                              <w:t>and 95% confidence intervals (thin lines) for the upper continental shelf (red) and continental slope (blue) for each taxa and merge</w:t>
                            </w:r>
                            <w:r w:rsidR="003E256E" w:rsidRPr="007F6AFA">
                              <w:rPr>
                                <w:lang w:val="en-US"/>
                              </w:rPr>
                              <w:t>d</w:t>
                            </w:r>
                            <w:r w:rsidR="00733074" w:rsidRPr="007F6AFA">
                              <w:rPr>
                                <w:lang w:val="en-US"/>
                              </w:rPr>
                              <w:t xml:space="preserve"> assemblage</w:t>
                            </w:r>
                            <w:r w:rsidR="003E256E" w:rsidRPr="007F6AFA">
                              <w:rPr>
                                <w:lang w:val="en-US"/>
                              </w:rPr>
                              <w:t xml:space="preserve"> at the Caribbean Basin and Guiana ecoregion</w:t>
                            </w:r>
                            <w:r w:rsidR="00733074" w:rsidRPr="007F6AFA">
                              <w:rPr>
                                <w:lang w:val="en-US"/>
                              </w:rPr>
                              <w:t>. All differences between depth ranges were sign</w:t>
                            </w:r>
                            <w:r w:rsidR="003E256E" w:rsidRPr="007F6AFA">
                              <w:rPr>
                                <w:lang w:val="en-US"/>
                              </w:rPr>
                              <w:t>ificant in each case (t-test, p&lt; 0.05).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67pt;margin-top:180pt;width:150pt;height:3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">
                <v:textbox>
                  <w:txbxContent>
                    <w:p w:rsidR="00733074" w:rsidRPr="007F6AFA" w:rsidRDefault="007F6AFA" w:rsidP="00733074">
                      <w:pPr>
                        <w:spacing w:line="360" w:lineRule="auto"/>
                        <w:rPr>
                          <w:lang w:val="en-US"/>
                        </w:rPr>
                      </w:pPr>
                      <w:r w:rsidRPr="007F6AFA">
                        <w:rPr>
                          <w:lang w:val="en-US"/>
                        </w:rPr>
                        <w:t>Supplementary material Appendix 1. Fig. A1</w:t>
                      </w:r>
                      <w:r w:rsidRPr="007F6AFA">
                        <w:rPr>
                          <w:lang w:val="en-US"/>
                        </w:rPr>
                        <w:t xml:space="preserve">. </w:t>
                      </w:r>
                      <w:r w:rsidR="00733074" w:rsidRPr="007F6AFA">
                        <w:rPr>
                          <w:lang w:val="en-US"/>
                        </w:rPr>
                        <w:t xml:space="preserve"> Chao2 </w:t>
                      </w:r>
                      <w:r w:rsidR="003E256E" w:rsidRPr="007F6AFA">
                        <w:rPr>
                          <w:lang w:val="en-US"/>
                        </w:rPr>
                        <w:t xml:space="preserve">estimation of species richness </w:t>
                      </w:r>
                      <w:r w:rsidR="00733074" w:rsidRPr="007F6AFA">
                        <w:rPr>
                          <w:lang w:val="en-US"/>
                        </w:rPr>
                        <w:t>and 95% confidence intervals (thin lines) for the upper continental shelf (red) and continental slope (blue) for each taxa and merge</w:t>
                      </w:r>
                      <w:r w:rsidR="003E256E" w:rsidRPr="007F6AFA">
                        <w:rPr>
                          <w:lang w:val="en-US"/>
                        </w:rPr>
                        <w:t>d</w:t>
                      </w:r>
                      <w:r w:rsidR="00733074" w:rsidRPr="007F6AFA">
                        <w:rPr>
                          <w:lang w:val="en-US"/>
                        </w:rPr>
                        <w:t xml:space="preserve"> assemblage</w:t>
                      </w:r>
                      <w:r w:rsidR="003E256E" w:rsidRPr="007F6AFA">
                        <w:rPr>
                          <w:lang w:val="en-US"/>
                        </w:rPr>
                        <w:t xml:space="preserve"> at the Caribbean Basin and Guiana ecoregion</w:t>
                      </w:r>
                      <w:r w:rsidR="00733074" w:rsidRPr="007F6AFA">
                        <w:rPr>
                          <w:lang w:val="en-US"/>
                        </w:rPr>
                        <w:t>. All differences between depth ranges were sign</w:t>
                      </w:r>
                      <w:r w:rsidR="003E256E" w:rsidRPr="007F6AFA">
                        <w:rPr>
                          <w:lang w:val="en-US"/>
                        </w:rPr>
                        <w:t>ificant in each case (t-test, p&lt; 0.05).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4D654BD6">
            <wp:extent cx="8202448" cy="7002780"/>
            <wp:effectExtent l="0" t="0" r="8255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026" cy="701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95A" w:rsidSect="00160559">
      <w:pgSz w:w="16838" w:h="11906" w:orient="landscape"/>
      <w:pgMar w:top="540" w:right="14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EE"/>
    <w:rsid w:val="00160559"/>
    <w:rsid w:val="0021659F"/>
    <w:rsid w:val="002970B7"/>
    <w:rsid w:val="003E256E"/>
    <w:rsid w:val="00504EEE"/>
    <w:rsid w:val="006933AC"/>
    <w:rsid w:val="00733074"/>
    <w:rsid w:val="007F6AFA"/>
    <w:rsid w:val="009178FB"/>
    <w:rsid w:val="00B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B0D38-8689-47E1-A61B-5B1775EF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Hernández</dc:creator>
  <cp:keywords/>
  <dc:description/>
  <cp:lastModifiedBy>Ivan H</cp:lastModifiedBy>
  <cp:revision>3</cp:revision>
  <dcterms:created xsi:type="dcterms:W3CDTF">2018-05-04T14:43:00Z</dcterms:created>
  <dcterms:modified xsi:type="dcterms:W3CDTF">2018-05-07T15:29:00Z</dcterms:modified>
</cp:coreProperties>
</file>