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6F" w:rsidRDefault="009B29B7" w:rsidP="00DF3FCF">
      <w:pPr>
        <w:spacing w:after="0"/>
        <w:jc w:val="both"/>
        <w:rPr>
          <w:b/>
          <w:sz w:val="36"/>
          <w:szCs w:val="24"/>
          <w:lang w:val="en-GB"/>
        </w:rPr>
      </w:pPr>
      <w:r w:rsidRPr="000900A1">
        <w:rPr>
          <w:b/>
          <w:sz w:val="36"/>
          <w:szCs w:val="24"/>
          <w:lang w:val="en-GB"/>
        </w:rPr>
        <w:t>S1 Appendix</w:t>
      </w:r>
      <w:r w:rsidR="00DF3FCF" w:rsidRPr="000900A1">
        <w:rPr>
          <w:b/>
          <w:sz w:val="36"/>
          <w:szCs w:val="24"/>
          <w:lang w:val="en-GB"/>
        </w:rPr>
        <w:t xml:space="preserve">. </w:t>
      </w:r>
      <w:r w:rsidRPr="000900A1">
        <w:rPr>
          <w:b/>
          <w:sz w:val="36"/>
          <w:szCs w:val="24"/>
          <w:lang w:val="en-GB"/>
        </w:rPr>
        <w:t xml:space="preserve">The </w:t>
      </w:r>
      <w:proofErr w:type="spellStart"/>
      <w:r w:rsidRPr="000900A1">
        <w:rPr>
          <w:b/>
          <w:sz w:val="36"/>
          <w:szCs w:val="24"/>
          <w:lang w:val="en-GB"/>
        </w:rPr>
        <w:t>PeNSAMI</w:t>
      </w:r>
      <w:proofErr w:type="spellEnd"/>
      <w:r w:rsidRPr="000900A1">
        <w:rPr>
          <w:b/>
          <w:sz w:val="36"/>
          <w:szCs w:val="24"/>
          <w:lang w:val="en-GB"/>
        </w:rPr>
        <w:t xml:space="preserve"> trial</w:t>
      </w:r>
      <w:r w:rsidR="0047066F" w:rsidRPr="000900A1">
        <w:rPr>
          <w:b/>
          <w:sz w:val="36"/>
          <w:szCs w:val="24"/>
          <w:lang w:val="en-GB"/>
        </w:rPr>
        <w:t xml:space="preserve">: Inclusion criteria and </w:t>
      </w:r>
      <w:r w:rsidR="003C3D1E" w:rsidRPr="000900A1">
        <w:rPr>
          <w:b/>
          <w:sz w:val="36"/>
          <w:szCs w:val="24"/>
          <w:lang w:val="en-GB"/>
        </w:rPr>
        <w:t xml:space="preserve">intervention </w:t>
      </w:r>
      <w:r w:rsidR="0047066F" w:rsidRPr="000900A1">
        <w:rPr>
          <w:b/>
          <w:sz w:val="36"/>
          <w:szCs w:val="24"/>
          <w:lang w:val="en-GB"/>
        </w:rPr>
        <w:t xml:space="preserve">description </w:t>
      </w:r>
    </w:p>
    <w:p w:rsidR="000900A1" w:rsidRPr="000900A1" w:rsidRDefault="000900A1" w:rsidP="00DF3FCF">
      <w:pPr>
        <w:spacing w:after="0"/>
        <w:jc w:val="both"/>
        <w:rPr>
          <w:b/>
          <w:sz w:val="36"/>
          <w:szCs w:val="24"/>
          <w:lang w:val="en-GB"/>
        </w:rPr>
      </w:pPr>
      <w:bookmarkStart w:id="0" w:name="_GoBack"/>
      <w:bookmarkEnd w:id="0"/>
    </w:p>
    <w:p w:rsidR="0047066F" w:rsidRPr="00F22C0B" w:rsidRDefault="00EC3BA9" w:rsidP="00DF3FCF">
      <w:pPr>
        <w:spacing w:after="0"/>
        <w:jc w:val="both"/>
        <w:rPr>
          <w:sz w:val="24"/>
          <w:szCs w:val="24"/>
          <w:lang w:val="en-GB"/>
        </w:rPr>
      </w:pPr>
      <w:r w:rsidRPr="00EC3BA9">
        <w:rPr>
          <w:sz w:val="24"/>
          <w:szCs w:val="24"/>
          <w:lang w:val="en-GB"/>
        </w:rPr>
        <w:t xml:space="preserve">The </w:t>
      </w:r>
      <w:proofErr w:type="spellStart"/>
      <w:r w:rsidRPr="00EC3BA9">
        <w:rPr>
          <w:sz w:val="24"/>
          <w:szCs w:val="24"/>
          <w:lang w:val="en-GB"/>
        </w:rPr>
        <w:t>PeNSAMI</w:t>
      </w:r>
      <w:proofErr w:type="spellEnd"/>
      <w:r w:rsidRPr="00EC3BA9">
        <w:rPr>
          <w:sz w:val="24"/>
          <w:szCs w:val="24"/>
          <w:lang w:val="en-GB"/>
        </w:rPr>
        <w:t xml:space="preserve"> trial</w:t>
      </w:r>
      <w:r>
        <w:rPr>
          <w:sz w:val="24"/>
          <w:szCs w:val="24"/>
          <w:lang w:val="en-GB"/>
        </w:rPr>
        <w:t xml:space="preserve"> was a m</w:t>
      </w:r>
      <w:r w:rsidR="0047066F" w:rsidRPr="00EC3BA9">
        <w:rPr>
          <w:sz w:val="24"/>
          <w:szCs w:val="24"/>
          <w:lang w:val="en-GB"/>
        </w:rPr>
        <w:t>ult</w:t>
      </w:r>
      <w:r w:rsidR="0047066F" w:rsidRPr="00F22C0B">
        <w:rPr>
          <w:sz w:val="24"/>
          <w:szCs w:val="24"/>
          <w:lang w:val="en-GB"/>
        </w:rPr>
        <w:t>icentr</w:t>
      </w:r>
      <w:r w:rsidR="00F22C0B" w:rsidRPr="00F22C0B">
        <w:rPr>
          <w:sz w:val="24"/>
          <w:szCs w:val="24"/>
          <w:lang w:val="en-GB"/>
        </w:rPr>
        <w:t>e</w:t>
      </w:r>
      <w:r w:rsidR="0047066F" w:rsidRPr="00F22C0B">
        <w:rPr>
          <w:sz w:val="24"/>
          <w:szCs w:val="24"/>
          <w:lang w:val="en-GB"/>
        </w:rPr>
        <w:t xml:space="preserve"> phase II/III single-blind randomized</w:t>
      </w:r>
      <w:r w:rsidR="00A93ED1" w:rsidRPr="00F22C0B">
        <w:rPr>
          <w:sz w:val="24"/>
          <w:szCs w:val="24"/>
          <w:lang w:val="en-GB"/>
        </w:rPr>
        <w:t xml:space="preserve"> </w:t>
      </w:r>
      <w:r w:rsidR="0047066F" w:rsidRPr="00F22C0B">
        <w:rPr>
          <w:sz w:val="24"/>
          <w:szCs w:val="24"/>
          <w:lang w:val="en-GB"/>
        </w:rPr>
        <w:t>controlled trial. Participants (dyads of adults with severe</w:t>
      </w:r>
      <w:r w:rsidR="00A93ED1" w:rsidRPr="00F22C0B">
        <w:rPr>
          <w:sz w:val="24"/>
          <w:szCs w:val="24"/>
          <w:lang w:val="en-GB"/>
        </w:rPr>
        <w:t xml:space="preserve"> </w:t>
      </w:r>
      <w:r w:rsidR="00DF3FCF">
        <w:rPr>
          <w:sz w:val="24"/>
          <w:szCs w:val="24"/>
          <w:lang w:val="en-GB"/>
        </w:rPr>
        <w:t>multiple sclerosis (</w:t>
      </w:r>
      <w:r w:rsidR="0047066F" w:rsidRPr="00F22C0B">
        <w:rPr>
          <w:sz w:val="24"/>
          <w:szCs w:val="24"/>
          <w:lang w:val="en-GB"/>
        </w:rPr>
        <w:t>MS</w:t>
      </w:r>
      <w:r w:rsidR="00DF3FCF">
        <w:rPr>
          <w:sz w:val="24"/>
          <w:szCs w:val="24"/>
          <w:lang w:val="en-GB"/>
        </w:rPr>
        <w:t>)</w:t>
      </w:r>
      <w:r w:rsidR="0047066F" w:rsidRPr="00F22C0B">
        <w:rPr>
          <w:sz w:val="24"/>
          <w:szCs w:val="24"/>
          <w:lang w:val="en-GB"/>
        </w:rPr>
        <w:t xml:space="preserve"> and their carers) </w:t>
      </w:r>
      <w:r w:rsidR="00A93ED1" w:rsidRPr="00F22C0B">
        <w:rPr>
          <w:sz w:val="24"/>
          <w:szCs w:val="24"/>
          <w:lang w:val="en-GB"/>
        </w:rPr>
        <w:t>we</w:t>
      </w:r>
      <w:r w:rsidR="0047066F" w:rsidRPr="00F22C0B">
        <w:rPr>
          <w:sz w:val="24"/>
          <w:szCs w:val="24"/>
          <w:lang w:val="en-GB"/>
        </w:rPr>
        <w:t xml:space="preserve">re randomized to either </w:t>
      </w:r>
      <w:r w:rsidR="00476CAD">
        <w:rPr>
          <w:sz w:val="24"/>
          <w:szCs w:val="24"/>
          <w:lang w:val="en-GB"/>
        </w:rPr>
        <w:t>six-month</w:t>
      </w:r>
      <w:r w:rsidR="0047066F" w:rsidRPr="00F22C0B">
        <w:rPr>
          <w:sz w:val="24"/>
          <w:szCs w:val="24"/>
          <w:lang w:val="en-GB"/>
        </w:rPr>
        <w:t xml:space="preserve"> </w:t>
      </w:r>
      <w:r w:rsidR="00A93ED1" w:rsidRPr="00F22C0B">
        <w:rPr>
          <w:sz w:val="24"/>
          <w:szCs w:val="24"/>
          <w:lang w:val="en-GB"/>
        </w:rPr>
        <w:t>home-based palliative care approach (</w:t>
      </w:r>
      <w:r w:rsidR="0047066F" w:rsidRPr="00F22C0B">
        <w:rPr>
          <w:sz w:val="24"/>
          <w:szCs w:val="24"/>
          <w:lang w:val="en-GB"/>
        </w:rPr>
        <w:t>HPA</w:t>
      </w:r>
      <w:r w:rsidR="00A93ED1" w:rsidRPr="00F22C0B">
        <w:rPr>
          <w:sz w:val="24"/>
          <w:szCs w:val="24"/>
          <w:lang w:val="en-GB"/>
        </w:rPr>
        <w:t>)</w:t>
      </w:r>
      <w:r w:rsidR="0047066F" w:rsidRPr="00F22C0B">
        <w:rPr>
          <w:sz w:val="24"/>
          <w:szCs w:val="24"/>
          <w:lang w:val="en-GB"/>
        </w:rPr>
        <w:t xml:space="preserve"> or usual care. </w:t>
      </w:r>
      <w:r w:rsidR="00B655AE" w:rsidRPr="00B655AE">
        <w:rPr>
          <w:sz w:val="24"/>
          <w:szCs w:val="24"/>
          <w:lang w:val="en-GB"/>
        </w:rPr>
        <w:t>The trial was registered with Current Controlled Trials (ISRCTN73082124)</w:t>
      </w:r>
      <w:r w:rsidR="00B655AE">
        <w:rPr>
          <w:sz w:val="24"/>
          <w:szCs w:val="24"/>
          <w:lang w:val="en-GB"/>
        </w:rPr>
        <w:t>. The study protocol was published</w:t>
      </w:r>
      <w:r w:rsidR="00476CAD">
        <w:rPr>
          <w:sz w:val="24"/>
          <w:szCs w:val="24"/>
          <w:lang w:val="en-GB"/>
        </w:rPr>
        <w:t xml:space="preserve"> [10].</w:t>
      </w:r>
      <w:r>
        <w:rPr>
          <w:sz w:val="24"/>
          <w:szCs w:val="24"/>
          <w:lang w:val="en-GB"/>
        </w:rPr>
        <w:t xml:space="preserve"> </w:t>
      </w:r>
    </w:p>
    <w:p w:rsidR="003C3D1E" w:rsidRDefault="003C3D1E" w:rsidP="00DF3FCF">
      <w:pPr>
        <w:spacing w:after="0"/>
        <w:jc w:val="both"/>
        <w:rPr>
          <w:i/>
          <w:sz w:val="24"/>
          <w:szCs w:val="24"/>
          <w:lang w:val="en-GB"/>
        </w:rPr>
      </w:pPr>
    </w:p>
    <w:p w:rsidR="0047066F" w:rsidRPr="00F22C0B" w:rsidRDefault="003C3D1E" w:rsidP="00DF3FCF">
      <w:pPr>
        <w:spacing w:after="0"/>
        <w:jc w:val="both"/>
        <w:rPr>
          <w:i/>
          <w:sz w:val="24"/>
          <w:szCs w:val="24"/>
          <w:lang w:val="en-GB"/>
        </w:rPr>
      </w:pPr>
      <w:r>
        <w:rPr>
          <w:i/>
          <w:sz w:val="24"/>
          <w:szCs w:val="24"/>
          <w:lang w:val="en-GB"/>
        </w:rPr>
        <w:t>Inclusion criteria</w:t>
      </w:r>
    </w:p>
    <w:p w:rsidR="0047066F" w:rsidRPr="00F22C0B" w:rsidRDefault="0047066F" w:rsidP="00DF3FCF">
      <w:pPr>
        <w:spacing w:after="0"/>
        <w:jc w:val="both"/>
        <w:rPr>
          <w:sz w:val="24"/>
          <w:szCs w:val="24"/>
          <w:lang w:val="en-GB"/>
        </w:rPr>
      </w:pPr>
      <w:r w:rsidRPr="00F22C0B">
        <w:rPr>
          <w:sz w:val="24"/>
          <w:szCs w:val="24"/>
          <w:lang w:val="en-GB"/>
        </w:rPr>
        <w:t>All adults (18 years or older) who fulfill</w:t>
      </w:r>
      <w:r w:rsidR="001E6E4E" w:rsidRPr="00F22C0B">
        <w:rPr>
          <w:sz w:val="24"/>
          <w:szCs w:val="24"/>
          <w:lang w:val="en-GB"/>
        </w:rPr>
        <w:t>ed</w:t>
      </w:r>
      <w:r w:rsidRPr="00F22C0B">
        <w:rPr>
          <w:sz w:val="24"/>
          <w:szCs w:val="24"/>
          <w:lang w:val="en-GB"/>
        </w:rPr>
        <w:t xml:space="preserve"> all the following</w:t>
      </w:r>
      <w:r w:rsidR="001E6E4E" w:rsidRPr="00F22C0B">
        <w:rPr>
          <w:sz w:val="24"/>
          <w:szCs w:val="24"/>
          <w:lang w:val="en-GB"/>
        </w:rPr>
        <w:t xml:space="preserve"> </w:t>
      </w:r>
      <w:r w:rsidRPr="00F22C0B">
        <w:rPr>
          <w:sz w:val="24"/>
          <w:szCs w:val="24"/>
          <w:lang w:val="en-GB"/>
        </w:rPr>
        <w:t xml:space="preserve">criteria </w:t>
      </w:r>
      <w:r w:rsidR="001E6E4E" w:rsidRPr="00F22C0B">
        <w:rPr>
          <w:sz w:val="24"/>
          <w:szCs w:val="24"/>
          <w:lang w:val="en-GB"/>
        </w:rPr>
        <w:t>were</w:t>
      </w:r>
      <w:r w:rsidRPr="00F22C0B">
        <w:rPr>
          <w:sz w:val="24"/>
          <w:szCs w:val="24"/>
          <w:lang w:val="en-GB"/>
        </w:rPr>
        <w:t xml:space="preserve"> potentially eligible:</w:t>
      </w:r>
    </w:p>
    <w:p w:rsidR="0047066F" w:rsidRPr="00F22C0B" w:rsidRDefault="0047066F" w:rsidP="00DF3FCF">
      <w:pPr>
        <w:pStyle w:val="Paragrafoelenco"/>
        <w:numPr>
          <w:ilvl w:val="0"/>
          <w:numId w:val="1"/>
        </w:numPr>
        <w:spacing w:after="0"/>
        <w:jc w:val="both"/>
        <w:rPr>
          <w:sz w:val="24"/>
          <w:szCs w:val="24"/>
          <w:lang w:val="en-GB"/>
        </w:rPr>
      </w:pPr>
      <w:r w:rsidRPr="00F22C0B">
        <w:rPr>
          <w:sz w:val="24"/>
          <w:szCs w:val="24"/>
          <w:lang w:val="en-GB"/>
        </w:rPr>
        <w:t xml:space="preserve">Diagnosis of MS </w:t>
      </w:r>
      <w:r w:rsidR="006B7703">
        <w:rPr>
          <w:sz w:val="24"/>
          <w:szCs w:val="24"/>
          <w:lang w:val="en-GB"/>
        </w:rPr>
        <w:t>(</w:t>
      </w:r>
      <w:proofErr w:type="spellStart"/>
      <w:r w:rsidR="006B7703">
        <w:rPr>
          <w:sz w:val="24"/>
          <w:szCs w:val="24"/>
          <w:lang w:val="en-GB"/>
        </w:rPr>
        <w:t>Polman</w:t>
      </w:r>
      <w:proofErr w:type="spellEnd"/>
      <w:r w:rsidR="006B7703">
        <w:rPr>
          <w:sz w:val="24"/>
          <w:szCs w:val="24"/>
          <w:lang w:val="en-GB"/>
        </w:rPr>
        <w:t xml:space="preserve"> 2011</w:t>
      </w:r>
      <w:r w:rsidR="008A7701">
        <w:rPr>
          <w:sz w:val="24"/>
          <w:szCs w:val="24"/>
          <w:lang w:val="en-GB"/>
        </w:rPr>
        <w:t xml:space="preserve"> criteria</w:t>
      </w:r>
      <w:r w:rsidR="006B7703">
        <w:rPr>
          <w:sz w:val="24"/>
          <w:szCs w:val="24"/>
          <w:lang w:val="en-GB"/>
        </w:rPr>
        <w:t>)</w:t>
      </w:r>
      <w:r w:rsidR="009B25B8">
        <w:rPr>
          <w:sz w:val="24"/>
          <w:szCs w:val="24"/>
          <w:lang w:val="en-GB"/>
        </w:rPr>
        <w:t>;</w:t>
      </w:r>
    </w:p>
    <w:p w:rsidR="0047066F" w:rsidRPr="00F22C0B" w:rsidRDefault="0047066F" w:rsidP="00DF3FCF">
      <w:pPr>
        <w:pStyle w:val="Paragrafoelenco"/>
        <w:numPr>
          <w:ilvl w:val="0"/>
          <w:numId w:val="1"/>
        </w:numPr>
        <w:spacing w:after="0"/>
        <w:jc w:val="both"/>
        <w:rPr>
          <w:sz w:val="24"/>
          <w:szCs w:val="24"/>
          <w:lang w:val="en-GB"/>
        </w:rPr>
      </w:pPr>
      <w:r w:rsidRPr="00F22C0B">
        <w:rPr>
          <w:sz w:val="24"/>
          <w:szCs w:val="24"/>
          <w:lang w:val="en-GB"/>
        </w:rPr>
        <w:t>Expanded Disability Status Scale (EDSS) ≥8.0 [</w:t>
      </w:r>
      <w:r w:rsidR="008A7701">
        <w:rPr>
          <w:sz w:val="24"/>
          <w:szCs w:val="24"/>
          <w:lang w:val="en-GB"/>
        </w:rPr>
        <w:t>21</w:t>
      </w:r>
      <w:r w:rsidRPr="00F22C0B">
        <w:rPr>
          <w:sz w:val="24"/>
          <w:szCs w:val="24"/>
          <w:lang w:val="en-GB"/>
        </w:rPr>
        <w:t>]</w:t>
      </w:r>
      <w:r w:rsidR="009B25B8">
        <w:rPr>
          <w:sz w:val="24"/>
          <w:szCs w:val="24"/>
          <w:lang w:val="en-GB"/>
        </w:rPr>
        <w:t>;</w:t>
      </w:r>
    </w:p>
    <w:p w:rsidR="0047066F" w:rsidRPr="00F22C0B" w:rsidRDefault="0047066F" w:rsidP="00DF3FCF">
      <w:pPr>
        <w:pStyle w:val="Paragrafoelenco"/>
        <w:numPr>
          <w:ilvl w:val="0"/>
          <w:numId w:val="1"/>
        </w:numPr>
        <w:spacing w:after="0"/>
        <w:jc w:val="both"/>
        <w:rPr>
          <w:sz w:val="24"/>
          <w:szCs w:val="24"/>
          <w:lang w:val="en-GB"/>
        </w:rPr>
      </w:pPr>
      <w:r w:rsidRPr="00F22C0B">
        <w:rPr>
          <w:sz w:val="24"/>
          <w:szCs w:val="24"/>
          <w:lang w:val="en-GB"/>
        </w:rPr>
        <w:t>Primary or secondary progressive course</w:t>
      </w:r>
      <w:r w:rsidR="009B25B8">
        <w:rPr>
          <w:sz w:val="24"/>
          <w:szCs w:val="24"/>
          <w:lang w:val="en-GB"/>
        </w:rPr>
        <w:t>;</w:t>
      </w:r>
    </w:p>
    <w:p w:rsidR="001E6E4E" w:rsidRPr="00F22C0B" w:rsidRDefault="0047066F" w:rsidP="00DF3FCF">
      <w:pPr>
        <w:pStyle w:val="Paragrafoelenco"/>
        <w:numPr>
          <w:ilvl w:val="0"/>
          <w:numId w:val="1"/>
        </w:numPr>
        <w:spacing w:after="0"/>
        <w:jc w:val="both"/>
        <w:rPr>
          <w:sz w:val="24"/>
          <w:szCs w:val="24"/>
          <w:lang w:val="en-GB"/>
        </w:rPr>
      </w:pPr>
      <w:r w:rsidRPr="00F22C0B">
        <w:rPr>
          <w:sz w:val="24"/>
          <w:szCs w:val="24"/>
          <w:lang w:val="en-GB"/>
        </w:rPr>
        <w:t xml:space="preserve">Presence of a </w:t>
      </w:r>
      <w:proofErr w:type="spellStart"/>
      <w:r w:rsidRPr="00F22C0B">
        <w:rPr>
          <w:sz w:val="24"/>
          <w:szCs w:val="24"/>
          <w:lang w:val="en-GB"/>
        </w:rPr>
        <w:t>carer</w:t>
      </w:r>
      <w:proofErr w:type="spellEnd"/>
      <w:r w:rsidR="009B25B8">
        <w:rPr>
          <w:sz w:val="24"/>
          <w:szCs w:val="24"/>
          <w:lang w:val="en-GB"/>
        </w:rPr>
        <w:t xml:space="preserve">: </w:t>
      </w:r>
      <w:r w:rsidRPr="00F22C0B">
        <w:rPr>
          <w:sz w:val="24"/>
          <w:szCs w:val="24"/>
          <w:lang w:val="en-GB"/>
        </w:rPr>
        <w:t>family member, relative, or</w:t>
      </w:r>
      <w:r w:rsidR="00A93ED1" w:rsidRPr="00F22C0B">
        <w:rPr>
          <w:sz w:val="24"/>
          <w:szCs w:val="24"/>
          <w:lang w:val="en-GB"/>
        </w:rPr>
        <w:t xml:space="preserve"> </w:t>
      </w:r>
      <w:r w:rsidRPr="00F22C0B">
        <w:rPr>
          <w:sz w:val="24"/>
          <w:szCs w:val="24"/>
          <w:lang w:val="en-GB"/>
        </w:rPr>
        <w:t xml:space="preserve">friend, who </w:t>
      </w:r>
      <w:r w:rsidR="009B25B8">
        <w:rPr>
          <w:sz w:val="24"/>
          <w:szCs w:val="24"/>
          <w:lang w:val="en-GB"/>
        </w:rPr>
        <w:t>was</w:t>
      </w:r>
      <w:r w:rsidRPr="00F22C0B">
        <w:rPr>
          <w:sz w:val="24"/>
          <w:szCs w:val="24"/>
          <w:lang w:val="en-GB"/>
        </w:rPr>
        <w:t xml:space="preserve"> next of kin or key decision maker</w:t>
      </w:r>
      <w:r w:rsidR="00F22C0B" w:rsidRPr="00F22C0B">
        <w:rPr>
          <w:sz w:val="24"/>
          <w:szCs w:val="24"/>
          <w:lang w:val="en-GB"/>
        </w:rPr>
        <w:t xml:space="preserve"> </w:t>
      </w:r>
      <w:r w:rsidR="001E6E4E" w:rsidRPr="00F22C0B">
        <w:rPr>
          <w:sz w:val="24"/>
          <w:szCs w:val="24"/>
          <w:lang w:val="en-GB"/>
        </w:rPr>
        <w:t>as designated by the (cognitively competent) MS patient and with whom the patient share</w:t>
      </w:r>
      <w:r w:rsidR="009B25B8">
        <w:rPr>
          <w:sz w:val="24"/>
          <w:szCs w:val="24"/>
          <w:lang w:val="en-GB"/>
        </w:rPr>
        <w:t>d</w:t>
      </w:r>
      <w:r w:rsidR="001E6E4E" w:rsidRPr="00F22C0B">
        <w:rPr>
          <w:sz w:val="24"/>
          <w:szCs w:val="24"/>
          <w:lang w:val="en-GB"/>
        </w:rPr>
        <w:t xml:space="preserve"> his/her life</w:t>
      </w:r>
      <w:r w:rsidR="009B25B8">
        <w:rPr>
          <w:sz w:val="24"/>
          <w:szCs w:val="24"/>
          <w:lang w:val="en-GB"/>
        </w:rPr>
        <w:t>;</w:t>
      </w:r>
    </w:p>
    <w:p w:rsidR="001E6E4E" w:rsidRPr="006B7703" w:rsidRDefault="001E6E4E" w:rsidP="00DF3FCF">
      <w:pPr>
        <w:pStyle w:val="Paragrafoelenco"/>
        <w:numPr>
          <w:ilvl w:val="0"/>
          <w:numId w:val="1"/>
        </w:numPr>
        <w:spacing w:after="0"/>
        <w:jc w:val="both"/>
        <w:rPr>
          <w:sz w:val="24"/>
          <w:szCs w:val="24"/>
          <w:lang w:val="en-GB"/>
        </w:rPr>
      </w:pPr>
      <w:r w:rsidRPr="006B7703">
        <w:rPr>
          <w:sz w:val="24"/>
          <w:szCs w:val="24"/>
          <w:lang w:val="en-GB"/>
        </w:rPr>
        <w:t xml:space="preserve">At least two unmet care needs among the categories identified in the </w:t>
      </w:r>
      <w:proofErr w:type="spellStart"/>
      <w:r w:rsidRPr="006B7703">
        <w:rPr>
          <w:sz w:val="24"/>
          <w:szCs w:val="24"/>
          <w:lang w:val="en-GB"/>
        </w:rPr>
        <w:t>PeNSAMI</w:t>
      </w:r>
      <w:proofErr w:type="spellEnd"/>
      <w:r w:rsidRPr="006B7703">
        <w:rPr>
          <w:sz w:val="24"/>
          <w:szCs w:val="24"/>
          <w:lang w:val="en-GB"/>
        </w:rPr>
        <w:t xml:space="preserve"> qualitative study</w:t>
      </w:r>
      <w:r w:rsidR="008A7701">
        <w:rPr>
          <w:sz w:val="24"/>
          <w:szCs w:val="24"/>
          <w:lang w:val="en-GB"/>
        </w:rPr>
        <w:t xml:space="preserve"> preceding the trial</w:t>
      </w:r>
      <w:r w:rsidRPr="006B7703">
        <w:rPr>
          <w:sz w:val="24"/>
          <w:szCs w:val="24"/>
          <w:lang w:val="en-GB"/>
        </w:rPr>
        <w:t xml:space="preserve"> (Table) [</w:t>
      </w:r>
      <w:r w:rsidR="008A7701">
        <w:rPr>
          <w:sz w:val="24"/>
          <w:szCs w:val="24"/>
          <w:lang w:val="en-GB"/>
        </w:rPr>
        <w:t>6</w:t>
      </w:r>
      <w:r w:rsidRPr="006B7703">
        <w:rPr>
          <w:sz w:val="24"/>
          <w:szCs w:val="24"/>
          <w:lang w:val="en-GB"/>
        </w:rPr>
        <w:t>], or the patient declare</w:t>
      </w:r>
      <w:r w:rsidR="00B655AE">
        <w:rPr>
          <w:sz w:val="24"/>
          <w:szCs w:val="24"/>
          <w:lang w:val="en-GB"/>
        </w:rPr>
        <w:t>d</w:t>
      </w:r>
      <w:r w:rsidRPr="006B7703">
        <w:rPr>
          <w:sz w:val="24"/>
          <w:szCs w:val="24"/>
          <w:lang w:val="en-GB"/>
        </w:rPr>
        <w:t xml:space="preserve"> for comfort care only</w:t>
      </w:r>
      <w:r w:rsidR="00F173FD" w:rsidRPr="006B7703">
        <w:rPr>
          <w:sz w:val="24"/>
          <w:szCs w:val="24"/>
          <w:lang w:val="en-GB"/>
        </w:rPr>
        <w:t>;</w:t>
      </w:r>
    </w:p>
    <w:p w:rsidR="0047066F" w:rsidRPr="00DF3FCF" w:rsidRDefault="001E6E4E" w:rsidP="00DF3FCF">
      <w:pPr>
        <w:pStyle w:val="Paragrafoelenco"/>
        <w:numPr>
          <w:ilvl w:val="0"/>
          <w:numId w:val="1"/>
        </w:numPr>
        <w:spacing w:after="0"/>
        <w:jc w:val="both"/>
        <w:rPr>
          <w:sz w:val="24"/>
          <w:szCs w:val="24"/>
          <w:lang w:val="en-GB"/>
        </w:rPr>
      </w:pPr>
      <w:r w:rsidRPr="00702764">
        <w:rPr>
          <w:sz w:val="24"/>
          <w:szCs w:val="24"/>
          <w:lang w:val="en-GB"/>
        </w:rPr>
        <w:t>One or more of the following: significant complex</w:t>
      </w:r>
      <w:r w:rsidR="00F22C0B" w:rsidRPr="00702764">
        <w:rPr>
          <w:sz w:val="24"/>
          <w:szCs w:val="24"/>
          <w:lang w:val="en-GB"/>
        </w:rPr>
        <w:t xml:space="preserve"> </w:t>
      </w:r>
      <w:r w:rsidRPr="00702764">
        <w:rPr>
          <w:sz w:val="24"/>
          <w:szCs w:val="24"/>
          <w:lang w:val="en-GB"/>
        </w:rPr>
        <w:t>symptoms/medical complications, dysphagia/poor</w:t>
      </w:r>
      <w:r w:rsidR="00F22C0B" w:rsidRPr="00702764">
        <w:rPr>
          <w:sz w:val="24"/>
          <w:szCs w:val="24"/>
          <w:lang w:val="en-GB"/>
        </w:rPr>
        <w:t xml:space="preserve"> </w:t>
      </w:r>
      <w:r w:rsidRPr="00702764">
        <w:rPr>
          <w:sz w:val="24"/>
          <w:szCs w:val="24"/>
          <w:lang w:val="en-GB"/>
        </w:rPr>
        <w:t xml:space="preserve">nutritional status, communication difficulties </w:t>
      </w:r>
      <w:r w:rsidR="00702764" w:rsidRPr="00702764">
        <w:rPr>
          <w:sz w:val="24"/>
          <w:szCs w:val="24"/>
          <w:lang w:val="en-GB"/>
        </w:rPr>
        <w:t>(</w:t>
      </w:r>
      <w:r w:rsidR="00702764" w:rsidRPr="00DF3FCF">
        <w:rPr>
          <w:sz w:val="24"/>
          <w:szCs w:val="24"/>
          <w:lang w:val="en-GB"/>
        </w:rPr>
        <w:t>http://www.goldstandards</w:t>
      </w:r>
      <w:r w:rsidR="00702764" w:rsidRPr="00702764">
        <w:rPr>
          <w:sz w:val="24"/>
          <w:szCs w:val="24"/>
          <w:lang w:val="en-GB"/>
        </w:rPr>
        <w:t xml:space="preserve"> framework.org.u</w:t>
      </w:r>
      <w:r w:rsidR="00DF3FCF">
        <w:rPr>
          <w:sz w:val="24"/>
          <w:szCs w:val="24"/>
          <w:lang w:val="en-GB"/>
        </w:rPr>
        <w:t>k</w:t>
      </w:r>
      <w:r w:rsidR="00702764" w:rsidRPr="00DF3FCF">
        <w:rPr>
          <w:sz w:val="24"/>
          <w:szCs w:val="24"/>
          <w:lang w:val="en-GB"/>
        </w:rPr>
        <w:t>)</w:t>
      </w:r>
      <w:r w:rsidRPr="00DF3FCF">
        <w:rPr>
          <w:sz w:val="24"/>
          <w:szCs w:val="24"/>
          <w:lang w:val="en-GB"/>
        </w:rPr>
        <w:t>.</w:t>
      </w:r>
    </w:p>
    <w:p w:rsidR="00DF3FCF" w:rsidRDefault="00DF3FCF" w:rsidP="00DF3FCF">
      <w:pPr>
        <w:spacing w:after="0"/>
        <w:jc w:val="both"/>
        <w:rPr>
          <w:rFonts w:cs="KcffhvAdvTT86d47313"/>
          <w:sz w:val="24"/>
          <w:szCs w:val="24"/>
        </w:rPr>
      </w:pPr>
    </w:p>
    <w:p w:rsidR="00F22C0B" w:rsidRPr="00F22C0B" w:rsidRDefault="00F22C0B" w:rsidP="00DF3FCF">
      <w:pPr>
        <w:spacing w:after="0"/>
        <w:jc w:val="both"/>
        <w:rPr>
          <w:sz w:val="24"/>
          <w:szCs w:val="24"/>
          <w:lang w:val="en-GB"/>
        </w:rPr>
      </w:pPr>
      <w:r w:rsidRPr="00DF3FCF">
        <w:rPr>
          <w:rFonts w:cs="KcffhvAdvTT86d47313"/>
          <w:i/>
          <w:sz w:val="24"/>
          <w:szCs w:val="24"/>
        </w:rPr>
        <w:t>Exclusion criteria</w:t>
      </w:r>
      <w:r w:rsidRPr="00F22C0B">
        <w:rPr>
          <w:rFonts w:cs="KcffhvAdvTT86d47313"/>
          <w:sz w:val="24"/>
          <w:szCs w:val="24"/>
        </w:rPr>
        <w:t xml:space="preserve"> were:</w:t>
      </w:r>
    </w:p>
    <w:p w:rsidR="00F22C0B" w:rsidRPr="00F22C0B" w:rsidRDefault="00F22C0B" w:rsidP="00DF3FCF">
      <w:pPr>
        <w:pStyle w:val="Paragrafoelenco"/>
        <w:numPr>
          <w:ilvl w:val="0"/>
          <w:numId w:val="2"/>
        </w:numPr>
        <w:spacing w:after="0"/>
        <w:jc w:val="both"/>
        <w:rPr>
          <w:sz w:val="24"/>
          <w:szCs w:val="24"/>
          <w:lang w:val="en-GB"/>
        </w:rPr>
      </w:pPr>
      <w:r w:rsidRPr="00F22C0B">
        <w:rPr>
          <w:sz w:val="24"/>
          <w:szCs w:val="24"/>
          <w:lang w:val="en-GB"/>
        </w:rPr>
        <w:t>Hospitalized/institutionalized patients</w:t>
      </w:r>
      <w:r>
        <w:rPr>
          <w:sz w:val="24"/>
          <w:szCs w:val="24"/>
          <w:lang w:val="en-GB"/>
        </w:rPr>
        <w:t>;</w:t>
      </w:r>
    </w:p>
    <w:p w:rsidR="00F22C0B" w:rsidRPr="00F22C0B" w:rsidRDefault="00F22C0B" w:rsidP="00DF3FCF">
      <w:pPr>
        <w:pStyle w:val="Paragrafoelenco"/>
        <w:numPr>
          <w:ilvl w:val="0"/>
          <w:numId w:val="2"/>
        </w:numPr>
        <w:spacing w:after="0"/>
        <w:jc w:val="both"/>
        <w:rPr>
          <w:sz w:val="24"/>
          <w:szCs w:val="24"/>
          <w:lang w:val="en-GB"/>
        </w:rPr>
      </w:pPr>
      <w:r w:rsidRPr="00F22C0B">
        <w:rPr>
          <w:sz w:val="24"/>
          <w:szCs w:val="24"/>
          <w:lang w:val="en-GB"/>
        </w:rPr>
        <w:t>Patients already receiving palliative care</w:t>
      </w:r>
      <w:r w:rsidR="00F173FD">
        <w:rPr>
          <w:sz w:val="24"/>
          <w:szCs w:val="24"/>
          <w:lang w:val="en-GB"/>
        </w:rPr>
        <w:t>;</w:t>
      </w:r>
    </w:p>
    <w:p w:rsidR="00F22C0B" w:rsidRDefault="00F22C0B" w:rsidP="00DF3FCF">
      <w:pPr>
        <w:pStyle w:val="Paragrafoelenco"/>
        <w:numPr>
          <w:ilvl w:val="0"/>
          <w:numId w:val="2"/>
        </w:numPr>
        <w:spacing w:after="0"/>
        <w:jc w:val="both"/>
        <w:rPr>
          <w:sz w:val="24"/>
          <w:szCs w:val="24"/>
          <w:lang w:val="en-GB"/>
        </w:rPr>
      </w:pPr>
      <w:r w:rsidRPr="00F22C0B">
        <w:rPr>
          <w:sz w:val="24"/>
          <w:szCs w:val="24"/>
          <w:lang w:val="en-GB"/>
        </w:rPr>
        <w:t>Dyads living out of study area</w:t>
      </w:r>
      <w:r w:rsidR="00F173FD">
        <w:rPr>
          <w:sz w:val="24"/>
          <w:szCs w:val="24"/>
          <w:lang w:val="en-GB"/>
        </w:rPr>
        <w:t>.</w:t>
      </w:r>
    </w:p>
    <w:p w:rsidR="00F173FD" w:rsidRDefault="00F173FD" w:rsidP="00DF3FCF">
      <w:pPr>
        <w:spacing w:after="0"/>
        <w:jc w:val="both"/>
        <w:rPr>
          <w:sz w:val="24"/>
          <w:szCs w:val="24"/>
          <w:lang w:val="en-GB"/>
        </w:rPr>
      </w:pPr>
    </w:p>
    <w:p w:rsidR="00F173FD" w:rsidRDefault="00F173FD" w:rsidP="00DF3FCF">
      <w:pPr>
        <w:spacing w:after="0"/>
        <w:jc w:val="both"/>
        <w:rPr>
          <w:sz w:val="24"/>
          <w:szCs w:val="24"/>
          <w:lang w:val="en-GB"/>
        </w:rPr>
      </w:pPr>
      <w:r w:rsidRPr="00DF3FCF">
        <w:rPr>
          <w:b/>
          <w:sz w:val="24"/>
          <w:szCs w:val="24"/>
          <w:lang w:val="en-GB"/>
        </w:rPr>
        <w:t xml:space="preserve">Table. </w:t>
      </w:r>
      <w:r w:rsidRPr="00F173FD">
        <w:rPr>
          <w:sz w:val="24"/>
          <w:szCs w:val="24"/>
          <w:lang w:val="en-GB"/>
        </w:rPr>
        <w:t>List of main care need categories, as identified in</w:t>
      </w:r>
      <w:r>
        <w:rPr>
          <w:sz w:val="24"/>
          <w:szCs w:val="24"/>
          <w:lang w:val="en-GB"/>
        </w:rPr>
        <w:t xml:space="preserve"> </w:t>
      </w:r>
      <w:r w:rsidRPr="00F173FD">
        <w:rPr>
          <w:sz w:val="24"/>
          <w:szCs w:val="24"/>
          <w:lang w:val="en-GB"/>
        </w:rPr>
        <w:t xml:space="preserve">the </w:t>
      </w:r>
      <w:proofErr w:type="spellStart"/>
      <w:r w:rsidRPr="00F173FD">
        <w:rPr>
          <w:sz w:val="24"/>
          <w:szCs w:val="24"/>
          <w:lang w:val="en-GB"/>
        </w:rPr>
        <w:t>PeNSAMI</w:t>
      </w:r>
      <w:proofErr w:type="spellEnd"/>
      <w:r w:rsidRPr="00F173FD">
        <w:rPr>
          <w:sz w:val="24"/>
          <w:szCs w:val="24"/>
          <w:lang w:val="en-GB"/>
        </w:rPr>
        <w:t xml:space="preserve"> Phase 1 qualitative study</w:t>
      </w:r>
    </w:p>
    <w:tbl>
      <w:tblPr>
        <w:tblStyle w:val="Grigliatabella"/>
        <w:tblW w:w="0" w:type="auto"/>
        <w:tblLook w:val="04A0" w:firstRow="1" w:lastRow="0" w:firstColumn="1" w:lastColumn="0" w:noHBand="0" w:noVBand="1"/>
      </w:tblPr>
      <w:tblGrid>
        <w:gridCol w:w="3396"/>
        <w:gridCol w:w="6777"/>
      </w:tblGrid>
      <w:tr w:rsidR="00CE26EA" w:rsidTr="00CE26EA">
        <w:tc>
          <w:tcPr>
            <w:tcW w:w="3396" w:type="dxa"/>
          </w:tcPr>
          <w:p w:rsidR="00CE26EA" w:rsidRPr="00702764" w:rsidRDefault="00CE26EA" w:rsidP="00DF3FCF">
            <w:pPr>
              <w:jc w:val="both"/>
              <w:rPr>
                <w:b/>
                <w:sz w:val="24"/>
                <w:szCs w:val="24"/>
                <w:lang w:val="en-GB"/>
              </w:rPr>
            </w:pPr>
            <w:r w:rsidRPr="00702764">
              <w:rPr>
                <w:b/>
                <w:sz w:val="24"/>
                <w:szCs w:val="24"/>
                <w:lang w:val="en-GB"/>
              </w:rPr>
              <w:t>Domain</w:t>
            </w:r>
          </w:p>
        </w:tc>
        <w:tc>
          <w:tcPr>
            <w:tcW w:w="6777" w:type="dxa"/>
          </w:tcPr>
          <w:p w:rsidR="00CE26EA" w:rsidRPr="00702764" w:rsidRDefault="00CE26EA" w:rsidP="00DF3FCF">
            <w:pPr>
              <w:jc w:val="both"/>
              <w:rPr>
                <w:b/>
                <w:sz w:val="24"/>
                <w:szCs w:val="24"/>
                <w:lang w:val="en-GB"/>
              </w:rPr>
            </w:pPr>
            <w:r w:rsidRPr="00702764">
              <w:rPr>
                <w:b/>
                <w:sz w:val="24"/>
                <w:szCs w:val="24"/>
                <w:lang w:val="en-GB"/>
              </w:rPr>
              <w:t>Category</w:t>
            </w:r>
          </w:p>
        </w:tc>
      </w:tr>
      <w:tr w:rsidR="00CE26EA" w:rsidTr="00CE26EA">
        <w:tc>
          <w:tcPr>
            <w:tcW w:w="3396" w:type="dxa"/>
          </w:tcPr>
          <w:p w:rsidR="00CE26EA" w:rsidRDefault="00CE26EA" w:rsidP="00DF3FCF">
            <w:pPr>
              <w:jc w:val="both"/>
              <w:rPr>
                <w:sz w:val="24"/>
                <w:szCs w:val="24"/>
                <w:lang w:val="en-GB"/>
              </w:rPr>
            </w:pPr>
            <w:r w:rsidRPr="00F173FD">
              <w:rPr>
                <w:sz w:val="24"/>
                <w:szCs w:val="24"/>
                <w:lang w:val="en-GB"/>
              </w:rPr>
              <w:t xml:space="preserve">‘Managing everyday life’ </w:t>
            </w:r>
          </w:p>
          <w:p w:rsidR="00CE26EA" w:rsidRDefault="00CE26EA" w:rsidP="00DF3FCF">
            <w:pPr>
              <w:jc w:val="both"/>
              <w:rPr>
                <w:sz w:val="24"/>
                <w:szCs w:val="24"/>
                <w:lang w:val="en-GB"/>
              </w:rPr>
            </w:pPr>
          </w:p>
        </w:tc>
        <w:tc>
          <w:tcPr>
            <w:tcW w:w="6777" w:type="dxa"/>
          </w:tcPr>
          <w:p w:rsidR="00CE26EA" w:rsidRPr="00F173FD" w:rsidRDefault="00CE26EA" w:rsidP="00DF3FCF">
            <w:pPr>
              <w:jc w:val="both"/>
              <w:rPr>
                <w:sz w:val="24"/>
                <w:szCs w:val="24"/>
                <w:lang w:val="en-GB"/>
              </w:rPr>
            </w:pPr>
            <w:r w:rsidRPr="00F173FD">
              <w:rPr>
                <w:sz w:val="24"/>
                <w:szCs w:val="24"/>
                <w:lang w:val="en-GB"/>
              </w:rPr>
              <w:t>Symptoms management</w:t>
            </w:r>
          </w:p>
          <w:p w:rsidR="00CE26EA" w:rsidRPr="00F173FD" w:rsidRDefault="00CE26EA" w:rsidP="00DF3FCF">
            <w:pPr>
              <w:jc w:val="both"/>
              <w:rPr>
                <w:sz w:val="24"/>
                <w:szCs w:val="24"/>
                <w:lang w:val="en-GB"/>
              </w:rPr>
            </w:pPr>
            <w:r w:rsidRPr="00F173FD">
              <w:rPr>
                <w:sz w:val="24"/>
                <w:szCs w:val="24"/>
                <w:lang w:val="en-GB"/>
              </w:rPr>
              <w:t>Personal care/hygiene</w:t>
            </w:r>
          </w:p>
          <w:p w:rsidR="00CE26EA" w:rsidRPr="00F173FD" w:rsidRDefault="00CE26EA" w:rsidP="00DF3FCF">
            <w:pPr>
              <w:jc w:val="both"/>
              <w:rPr>
                <w:sz w:val="24"/>
                <w:szCs w:val="24"/>
                <w:lang w:val="en-GB"/>
              </w:rPr>
            </w:pPr>
            <w:r w:rsidRPr="00F173FD">
              <w:rPr>
                <w:sz w:val="24"/>
                <w:szCs w:val="24"/>
                <w:lang w:val="en-GB"/>
              </w:rPr>
              <w:t>Activities of daily living</w:t>
            </w:r>
          </w:p>
          <w:p w:rsidR="00CE26EA" w:rsidRDefault="00CE26EA" w:rsidP="00DF3FCF">
            <w:pPr>
              <w:jc w:val="both"/>
              <w:rPr>
                <w:sz w:val="24"/>
                <w:szCs w:val="24"/>
                <w:lang w:val="en-GB"/>
              </w:rPr>
            </w:pPr>
            <w:r w:rsidRPr="00F173FD">
              <w:rPr>
                <w:sz w:val="24"/>
                <w:szCs w:val="24"/>
                <w:lang w:val="en-GB"/>
              </w:rPr>
              <w:t>Outdoor mobility and transport</w:t>
            </w:r>
          </w:p>
        </w:tc>
      </w:tr>
      <w:tr w:rsidR="00CE26EA" w:rsidTr="00CE26EA">
        <w:tc>
          <w:tcPr>
            <w:tcW w:w="3396" w:type="dxa"/>
          </w:tcPr>
          <w:p w:rsidR="00CE26EA" w:rsidRPr="00F173FD" w:rsidRDefault="00CE26EA" w:rsidP="00DF3FCF">
            <w:pPr>
              <w:jc w:val="both"/>
              <w:rPr>
                <w:sz w:val="24"/>
                <w:szCs w:val="24"/>
                <w:lang w:val="en-GB"/>
              </w:rPr>
            </w:pPr>
            <w:r w:rsidRPr="00CE26EA">
              <w:rPr>
                <w:sz w:val="24"/>
                <w:szCs w:val="24"/>
                <w:lang w:val="en-GB"/>
              </w:rPr>
              <w:t xml:space="preserve">‘Psychosocial’ </w:t>
            </w:r>
          </w:p>
          <w:p w:rsidR="00CE26EA" w:rsidRPr="00F173FD" w:rsidRDefault="00CE26EA" w:rsidP="00DF3FCF">
            <w:pPr>
              <w:jc w:val="both"/>
              <w:rPr>
                <w:sz w:val="24"/>
                <w:szCs w:val="24"/>
                <w:lang w:val="en-GB"/>
              </w:rPr>
            </w:pPr>
          </w:p>
        </w:tc>
        <w:tc>
          <w:tcPr>
            <w:tcW w:w="6777" w:type="dxa"/>
          </w:tcPr>
          <w:p w:rsidR="00CE26EA" w:rsidRPr="00CE26EA" w:rsidRDefault="00CE26EA" w:rsidP="00DF3FCF">
            <w:pPr>
              <w:jc w:val="both"/>
              <w:rPr>
                <w:sz w:val="24"/>
                <w:szCs w:val="24"/>
                <w:lang w:val="en-GB"/>
              </w:rPr>
            </w:pPr>
            <w:r w:rsidRPr="00CE26EA">
              <w:rPr>
                <w:sz w:val="24"/>
                <w:szCs w:val="24"/>
                <w:lang w:val="en-GB"/>
              </w:rPr>
              <w:t>Relationships/communication</w:t>
            </w:r>
          </w:p>
          <w:p w:rsidR="00CE26EA" w:rsidRPr="00CE26EA" w:rsidRDefault="00CE26EA" w:rsidP="00DF3FCF">
            <w:pPr>
              <w:jc w:val="both"/>
              <w:rPr>
                <w:sz w:val="24"/>
                <w:szCs w:val="24"/>
                <w:lang w:val="en-GB"/>
              </w:rPr>
            </w:pPr>
            <w:r w:rsidRPr="00CE26EA">
              <w:rPr>
                <w:sz w:val="24"/>
                <w:szCs w:val="24"/>
                <w:lang w:val="en-GB"/>
              </w:rPr>
              <w:t>Leisure/holidays</w:t>
            </w:r>
          </w:p>
          <w:p w:rsidR="00CE26EA" w:rsidRPr="00F173FD" w:rsidRDefault="00CE26EA" w:rsidP="00DF3FCF">
            <w:pPr>
              <w:jc w:val="both"/>
              <w:rPr>
                <w:sz w:val="24"/>
                <w:szCs w:val="24"/>
                <w:lang w:val="en-GB"/>
              </w:rPr>
            </w:pPr>
            <w:r w:rsidRPr="00CE26EA">
              <w:rPr>
                <w:sz w:val="24"/>
                <w:szCs w:val="24"/>
                <w:lang w:val="en-GB"/>
              </w:rPr>
              <w:t>Psychological well-being/social role</w:t>
            </w:r>
          </w:p>
        </w:tc>
      </w:tr>
      <w:tr w:rsidR="00CE26EA" w:rsidTr="00CE26EA">
        <w:tc>
          <w:tcPr>
            <w:tcW w:w="3396" w:type="dxa"/>
          </w:tcPr>
          <w:p w:rsidR="00CE26EA" w:rsidRPr="00CE26EA" w:rsidRDefault="00CE26EA" w:rsidP="00DF3FCF">
            <w:pPr>
              <w:jc w:val="both"/>
              <w:rPr>
                <w:sz w:val="24"/>
                <w:szCs w:val="24"/>
                <w:lang w:val="en-GB"/>
              </w:rPr>
            </w:pPr>
            <w:r w:rsidRPr="00CE26EA">
              <w:rPr>
                <w:sz w:val="24"/>
                <w:szCs w:val="24"/>
                <w:lang w:val="en-GB"/>
              </w:rPr>
              <w:t>‘Organization’ Information</w:t>
            </w:r>
          </w:p>
          <w:p w:rsidR="00CE26EA" w:rsidRPr="00CE26EA" w:rsidRDefault="00CE26EA" w:rsidP="00DF3FCF">
            <w:pPr>
              <w:jc w:val="both"/>
              <w:rPr>
                <w:sz w:val="24"/>
                <w:szCs w:val="24"/>
                <w:lang w:val="en-GB"/>
              </w:rPr>
            </w:pPr>
          </w:p>
        </w:tc>
        <w:tc>
          <w:tcPr>
            <w:tcW w:w="6777" w:type="dxa"/>
          </w:tcPr>
          <w:p w:rsidR="00CE26EA" w:rsidRPr="00CE26EA" w:rsidRDefault="00CE26EA" w:rsidP="00DF3FCF">
            <w:pPr>
              <w:jc w:val="both"/>
              <w:rPr>
                <w:sz w:val="24"/>
                <w:szCs w:val="24"/>
                <w:lang w:val="en-GB"/>
              </w:rPr>
            </w:pPr>
            <w:r w:rsidRPr="00CE26EA">
              <w:rPr>
                <w:sz w:val="24"/>
                <w:szCs w:val="24"/>
                <w:lang w:val="en-GB"/>
              </w:rPr>
              <w:t>Access to services</w:t>
            </w:r>
          </w:p>
          <w:p w:rsidR="00CE26EA" w:rsidRPr="00CE26EA" w:rsidRDefault="00CE26EA" w:rsidP="00DF3FCF">
            <w:pPr>
              <w:jc w:val="both"/>
              <w:rPr>
                <w:sz w:val="24"/>
                <w:szCs w:val="24"/>
                <w:lang w:val="en-GB"/>
              </w:rPr>
            </w:pPr>
            <w:r w:rsidRPr="00CE26EA">
              <w:rPr>
                <w:sz w:val="24"/>
                <w:szCs w:val="24"/>
                <w:lang w:val="en-GB"/>
              </w:rPr>
              <w:t>Co-ordination of services</w:t>
            </w:r>
          </w:p>
          <w:p w:rsidR="00CE26EA" w:rsidRPr="00CE26EA" w:rsidRDefault="00CE26EA" w:rsidP="00DF3FCF">
            <w:pPr>
              <w:jc w:val="both"/>
              <w:rPr>
                <w:sz w:val="24"/>
                <w:szCs w:val="24"/>
                <w:lang w:val="en-GB"/>
              </w:rPr>
            </w:pPr>
            <w:r w:rsidRPr="00CE26EA">
              <w:rPr>
                <w:sz w:val="24"/>
                <w:szCs w:val="24"/>
                <w:lang w:val="en-GB"/>
              </w:rPr>
              <w:t>Competent professionals</w:t>
            </w:r>
          </w:p>
        </w:tc>
      </w:tr>
    </w:tbl>
    <w:p w:rsidR="00F173FD" w:rsidRDefault="00F173FD" w:rsidP="00DF3FCF">
      <w:pPr>
        <w:spacing w:after="0"/>
        <w:jc w:val="both"/>
        <w:rPr>
          <w:sz w:val="24"/>
          <w:szCs w:val="24"/>
          <w:lang w:val="en-GB"/>
        </w:rPr>
      </w:pPr>
    </w:p>
    <w:p w:rsidR="00DF3FCF" w:rsidRDefault="00DF3FCF" w:rsidP="00DF3FCF">
      <w:pPr>
        <w:spacing w:after="0"/>
        <w:jc w:val="both"/>
        <w:rPr>
          <w:sz w:val="24"/>
          <w:szCs w:val="24"/>
          <w:lang w:val="en-GB"/>
        </w:rPr>
      </w:pPr>
    </w:p>
    <w:p w:rsidR="00DF3FCF" w:rsidRDefault="00DF3FCF" w:rsidP="00DF3FCF">
      <w:pPr>
        <w:spacing w:after="0"/>
        <w:jc w:val="both"/>
        <w:rPr>
          <w:sz w:val="24"/>
          <w:szCs w:val="24"/>
          <w:lang w:val="en-GB"/>
        </w:rPr>
      </w:pPr>
    </w:p>
    <w:p w:rsidR="006B7703" w:rsidRPr="00702764" w:rsidRDefault="006B7703" w:rsidP="00DF3FCF">
      <w:pPr>
        <w:spacing w:after="0"/>
        <w:jc w:val="both"/>
        <w:rPr>
          <w:i/>
          <w:sz w:val="24"/>
          <w:szCs w:val="24"/>
          <w:lang w:val="en-GB"/>
        </w:rPr>
      </w:pPr>
      <w:r w:rsidRPr="00702764">
        <w:rPr>
          <w:i/>
          <w:sz w:val="24"/>
          <w:szCs w:val="24"/>
          <w:lang w:val="en-GB"/>
        </w:rPr>
        <w:t>I</w:t>
      </w:r>
      <w:r w:rsidR="00702764" w:rsidRPr="00702764">
        <w:rPr>
          <w:i/>
          <w:sz w:val="24"/>
          <w:szCs w:val="24"/>
          <w:lang w:val="en-GB"/>
        </w:rPr>
        <w:t>ntervention</w:t>
      </w:r>
    </w:p>
    <w:p w:rsidR="006B7703" w:rsidRPr="00F173FD" w:rsidRDefault="006B7703" w:rsidP="00DF3FCF">
      <w:pPr>
        <w:spacing w:after="0"/>
        <w:jc w:val="both"/>
        <w:rPr>
          <w:sz w:val="24"/>
          <w:szCs w:val="24"/>
          <w:lang w:val="en-GB"/>
        </w:rPr>
      </w:pPr>
      <w:r w:rsidRPr="006B7703">
        <w:rPr>
          <w:sz w:val="24"/>
          <w:szCs w:val="24"/>
          <w:lang w:val="en-GB"/>
        </w:rPr>
        <w:t xml:space="preserve">The </w:t>
      </w:r>
      <w:r w:rsidR="009B25B8">
        <w:rPr>
          <w:sz w:val="24"/>
          <w:szCs w:val="24"/>
          <w:lang w:val="en-GB"/>
        </w:rPr>
        <w:t>HPA</w:t>
      </w:r>
      <w:r w:rsidRPr="006B7703">
        <w:rPr>
          <w:sz w:val="24"/>
          <w:szCs w:val="24"/>
          <w:lang w:val="en-GB"/>
        </w:rPr>
        <w:t xml:space="preserve"> was based on the principles of palliative care as described in the 2010 guidance document of the UK National Council for Palliative Care, Neurological Alliance, and National End of Life Care Programme. Each centr</w:t>
      </w:r>
      <w:r w:rsidR="009B25B8">
        <w:rPr>
          <w:sz w:val="24"/>
          <w:szCs w:val="24"/>
          <w:lang w:val="en-GB"/>
        </w:rPr>
        <w:t>e</w:t>
      </w:r>
      <w:r w:rsidRPr="006B7703">
        <w:rPr>
          <w:sz w:val="24"/>
          <w:szCs w:val="24"/>
          <w:lang w:val="en-GB"/>
        </w:rPr>
        <w:t xml:space="preserve"> had a team consisting of a neurologist, a nurse (case manager and team leader), a psychologist, and a social worker. The nurses of the centr</w:t>
      </w:r>
      <w:r w:rsidR="009B25B8">
        <w:rPr>
          <w:sz w:val="24"/>
          <w:szCs w:val="24"/>
          <w:lang w:val="en-GB"/>
        </w:rPr>
        <w:t>e</w:t>
      </w:r>
      <w:r w:rsidRPr="006B7703">
        <w:rPr>
          <w:sz w:val="24"/>
          <w:szCs w:val="24"/>
          <w:lang w:val="en-GB"/>
        </w:rPr>
        <w:t>s of Milan and Rome had degrees in palliative care; the Catania nurse attended a week-long individual training course. All team members were trained in the intervention. Initially, the team formed a comprehensive assessment of each dyad. The intervention content for each dyad was then developed, discussed with the dyad and the patient caring physician, and delivered over six months, with involvement of local services (the intervention was not intended to replace existing services but to complement and enhance them). Subsequently, the team verified program implementation, and reviewed/modified it as necessary. Home visits by one or more team members took place at least twice a month in the first trimester, and as needed thereafter; which professionals attended for home visits depended on the intensity of care and the type of symptoms. A dedicated phone number was given to dyads to enable easy communication with the team. The team was not on call for patients: in the event of emergencies, dyads contact the caring physician or emergency medical services.</w:t>
      </w:r>
    </w:p>
    <w:sectPr w:rsidR="006B7703" w:rsidRPr="00F173F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KcffhvAdvTT86d47313">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EF9"/>
    <w:multiLevelType w:val="hybridMultilevel"/>
    <w:tmpl w:val="CA5CBB48"/>
    <w:lvl w:ilvl="0" w:tplc="E8D83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F1FFC"/>
    <w:multiLevelType w:val="hybridMultilevel"/>
    <w:tmpl w:val="85FE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B7"/>
    <w:rsid w:val="000900A1"/>
    <w:rsid w:val="001962B1"/>
    <w:rsid w:val="001E6E4E"/>
    <w:rsid w:val="002B7F56"/>
    <w:rsid w:val="003C3D1E"/>
    <w:rsid w:val="0047066F"/>
    <w:rsid w:val="00476CAD"/>
    <w:rsid w:val="006B7703"/>
    <w:rsid w:val="00702764"/>
    <w:rsid w:val="007358D4"/>
    <w:rsid w:val="008A7701"/>
    <w:rsid w:val="008C6C6E"/>
    <w:rsid w:val="009B25B8"/>
    <w:rsid w:val="009B29B7"/>
    <w:rsid w:val="00A93ED1"/>
    <w:rsid w:val="00B655AE"/>
    <w:rsid w:val="00CD762B"/>
    <w:rsid w:val="00CE26EA"/>
    <w:rsid w:val="00DF3FCF"/>
    <w:rsid w:val="00E65233"/>
    <w:rsid w:val="00E666E4"/>
    <w:rsid w:val="00EC3BA9"/>
    <w:rsid w:val="00F173FD"/>
    <w:rsid w:val="00F22C0B"/>
    <w:rsid w:val="00F5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6E4E"/>
    <w:pPr>
      <w:ind w:left="720"/>
      <w:contextualSpacing/>
    </w:pPr>
  </w:style>
  <w:style w:type="table" w:styleId="Grigliatabella">
    <w:name w:val="Table Grid"/>
    <w:basedOn w:val="Tabellanormale"/>
    <w:uiPriority w:val="59"/>
    <w:rsid w:val="00F1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027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6E4E"/>
    <w:pPr>
      <w:ind w:left="720"/>
      <w:contextualSpacing/>
    </w:pPr>
  </w:style>
  <w:style w:type="table" w:styleId="Grigliatabella">
    <w:name w:val="Table Grid"/>
    <w:basedOn w:val="Tabellanormale"/>
    <w:uiPriority w:val="59"/>
    <w:rsid w:val="00F1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02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Solari Alessandra</dc:creator>
  <cp:lastModifiedBy>Giovannetti Ambra</cp:lastModifiedBy>
  <cp:revision>4</cp:revision>
  <dcterms:created xsi:type="dcterms:W3CDTF">2018-04-23T12:53:00Z</dcterms:created>
  <dcterms:modified xsi:type="dcterms:W3CDTF">2018-07-03T10:55:00Z</dcterms:modified>
</cp:coreProperties>
</file>