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4F328" w14:textId="77777777" w:rsidR="003F212F" w:rsidRPr="00776F03" w:rsidRDefault="003F212F" w:rsidP="003F212F">
      <w:pPr>
        <w:rPr>
          <w:rFonts w:ascii="Helvetica" w:hAnsi="Helvetica" w:cs="Arial"/>
          <w:sz w:val="24"/>
        </w:rPr>
      </w:pPr>
      <w:r w:rsidRPr="00776F03">
        <w:rPr>
          <w:rFonts w:ascii="Helvetica" w:hAnsi="Helvetica" w:cs="Arial"/>
          <w:sz w:val="24"/>
        </w:rPr>
        <w:t>A. During no distention</w:t>
      </w:r>
    </w:p>
    <w:tbl>
      <w:tblPr>
        <w:tblW w:w="10348" w:type="dxa"/>
        <w:tblInd w:w="-1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0"/>
        <w:gridCol w:w="1437"/>
        <w:gridCol w:w="1134"/>
        <w:gridCol w:w="1276"/>
        <w:gridCol w:w="1134"/>
        <w:gridCol w:w="567"/>
        <w:gridCol w:w="1134"/>
        <w:gridCol w:w="425"/>
        <w:gridCol w:w="1276"/>
        <w:gridCol w:w="425"/>
      </w:tblGrid>
      <w:tr w:rsidR="003F212F" w:rsidRPr="00776F03" w14:paraId="3EBD8407" w14:textId="77777777" w:rsidTr="00CA31D3">
        <w:trPr>
          <w:trHeight w:val="360"/>
        </w:trPr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12AAF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F5DA8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8C708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83EF2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396DE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ACTH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F8B07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57738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Cortisol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B5392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1D2AC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Ad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BD7AB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F212F" w:rsidRPr="00776F03" w14:paraId="0C70073F" w14:textId="77777777" w:rsidTr="00CA31D3">
        <w:trPr>
          <w:trHeight w:val="360"/>
        </w:trPr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D045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HC with placebo injection (n = 16)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A4BC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8695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C423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73E3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D15D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A70B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04B2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</w:tr>
      <w:tr w:rsidR="003F212F" w:rsidRPr="00776F03" w14:paraId="708D64D9" w14:textId="77777777" w:rsidTr="00CA31D3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A28D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CA92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ACTH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2A97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28.35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BDE4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13.43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C845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BCE1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FE52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6FEC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8C4B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181A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</w:tr>
      <w:tr w:rsidR="003F212F" w:rsidRPr="00776F03" w14:paraId="0F220206" w14:textId="77777777" w:rsidTr="00CA31D3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DD01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5917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proofErr w:type="spellStart"/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Cort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8639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13.56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FB64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3.32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1E7E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A8A7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099F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1BD0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C88F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1985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</w:tr>
      <w:tr w:rsidR="003F212F" w:rsidRPr="00776F03" w14:paraId="449A8A3A" w14:textId="77777777" w:rsidTr="00CA31D3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5994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3B7C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Ad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F125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16.75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DDE6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11.55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A901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6D24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FFDB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3F1E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0B1C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0743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</w:tr>
      <w:tr w:rsidR="003F212F" w:rsidRPr="00776F03" w14:paraId="5CCEF9E9" w14:textId="77777777" w:rsidTr="00CA31D3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BAB1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2086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70D9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143.38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0933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101.85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D798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-0.34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DBE7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0627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1330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C638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-0.36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2B82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</w:tr>
      <w:tr w:rsidR="003F212F" w:rsidRPr="00776F03" w14:paraId="1F88E623" w14:textId="77777777" w:rsidTr="00CA31D3">
        <w:trPr>
          <w:trHeight w:val="360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37C4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HC with CRH injection (n = 16)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FEB2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B7BF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065C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C773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39F4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21CD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9F59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</w:tr>
      <w:tr w:rsidR="003F212F" w:rsidRPr="00776F03" w14:paraId="271EB782" w14:textId="77777777" w:rsidTr="00CA31D3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8728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FD73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ACTH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D82E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80.77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276B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43.94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EB04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ECAB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2B65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A247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3671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4CD0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</w:tr>
      <w:tr w:rsidR="003F212F" w:rsidRPr="00776F03" w14:paraId="182382D9" w14:textId="77777777" w:rsidTr="00CA31D3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B816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173C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proofErr w:type="spellStart"/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Cort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1A36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17.26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530D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4.17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CD7F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6EAF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F87B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5669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B7CF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6CD8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</w:tr>
      <w:tr w:rsidR="003F212F" w:rsidRPr="00776F03" w14:paraId="14AF997E" w14:textId="77777777" w:rsidTr="00CA31D3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7349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70B0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Ad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007C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16.69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41C8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10.16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59FE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31EC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23F7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B708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BB4D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2329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</w:tr>
      <w:tr w:rsidR="003F212F" w:rsidRPr="00776F03" w14:paraId="216DC684" w14:textId="77777777" w:rsidTr="00CA31D3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26B8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3507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1702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139.25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9888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52.15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71C0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8C24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4686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-0.26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6FD9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CA9F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1A16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</w:tr>
      <w:tr w:rsidR="003F212F" w:rsidRPr="00776F03" w14:paraId="5A4F5774" w14:textId="77777777" w:rsidTr="00CA31D3">
        <w:trPr>
          <w:trHeight w:val="360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67A2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IBS with placebo injection (n = 16)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75BC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9CDE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B5E3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72A5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1216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B049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8F46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</w:tr>
      <w:tr w:rsidR="003F212F" w:rsidRPr="00776F03" w14:paraId="7BBE1D87" w14:textId="77777777" w:rsidTr="00CA31D3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F3FA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9ACE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ACTH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BAA3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28.98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C4F9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21.44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626A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742C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729C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8E1C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8DEE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C16D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</w:tr>
      <w:tr w:rsidR="003F212F" w:rsidRPr="00776F03" w14:paraId="4CF3D701" w14:textId="77777777" w:rsidTr="00CA31D3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C751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5142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proofErr w:type="spellStart"/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Cort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1ADC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12.87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2125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5.54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5D44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9E7E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28BB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696B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25C1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4EEE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</w:tr>
      <w:tr w:rsidR="003F212F" w:rsidRPr="00776F03" w14:paraId="6A03B769" w14:textId="77777777" w:rsidTr="00CA31D3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1356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9925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Ad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DE2E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22.56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7E54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21.73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1A68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E2F7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201A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87C0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7F6F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7F05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</w:tr>
      <w:tr w:rsidR="003F212F" w:rsidRPr="00776F03" w14:paraId="1575536D" w14:textId="77777777" w:rsidTr="00CA31D3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13C2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C06F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3CB0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171.06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0807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107.69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B115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69D7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3691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543D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496D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CD50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</w:tr>
      <w:tr w:rsidR="003F212F" w:rsidRPr="00776F03" w14:paraId="305F0AD0" w14:textId="77777777" w:rsidTr="00CA31D3">
        <w:trPr>
          <w:trHeight w:val="360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3C83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IBS with CRH injection (n = 16)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451C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FCA5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05A2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DA77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CD10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C3BF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1D34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</w:tr>
      <w:tr w:rsidR="003F212F" w:rsidRPr="00776F03" w14:paraId="6411BB02" w14:textId="77777777" w:rsidTr="00CA31D3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ACDF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C2A7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ACTH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39C4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71.18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D769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28.13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D4B9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A787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DC94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0164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3B2F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5C74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</w:tr>
      <w:tr w:rsidR="003F212F" w:rsidRPr="00776F03" w14:paraId="1D5C3A37" w14:textId="77777777" w:rsidTr="00CA31D3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3902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D02E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proofErr w:type="spellStart"/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Cort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2F02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16.74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1F58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3.14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2E9D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06FE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FC77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31EE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42FD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C159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</w:tr>
      <w:tr w:rsidR="003F212F" w:rsidRPr="00776F03" w14:paraId="05C99EBA" w14:textId="77777777" w:rsidTr="00CA31D3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235F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FA14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Ad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DA28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16.31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2B58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7.94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775A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B439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EA91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79E4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0907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2C48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</w:tr>
      <w:tr w:rsidR="003F212F" w:rsidRPr="00776F03" w14:paraId="301D6FA1" w14:textId="77777777" w:rsidTr="00CA31D3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AED82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666F3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84023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194.38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1399B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92.13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BE6AB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D1599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26293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C92FF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00232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135E5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 xml:space="preserve">　</w:t>
            </w:r>
          </w:p>
        </w:tc>
      </w:tr>
    </w:tbl>
    <w:p w14:paraId="74503A5E" w14:textId="77777777" w:rsidR="003F212F" w:rsidRPr="00776F03" w:rsidRDefault="003F212F" w:rsidP="003F212F">
      <w:pPr>
        <w:rPr>
          <w:rFonts w:ascii="Helvetica" w:hAnsi="Helvetica" w:cs="Arial"/>
        </w:rPr>
      </w:pPr>
    </w:p>
    <w:p w14:paraId="44DC21E8" w14:textId="77777777" w:rsidR="003F212F" w:rsidRPr="00776F03" w:rsidRDefault="003F212F" w:rsidP="003F212F">
      <w:pPr>
        <w:rPr>
          <w:rFonts w:ascii="Helvetica" w:hAnsi="Helvetica" w:cs="Arial"/>
        </w:rPr>
      </w:pPr>
      <w:r w:rsidRPr="00776F03">
        <w:rPr>
          <w:rFonts w:ascii="Helvetica" w:hAnsi="Helvetica" w:cs="Arial"/>
        </w:rPr>
        <w:br w:type="page"/>
      </w:r>
    </w:p>
    <w:p w14:paraId="4C0DA190" w14:textId="77777777" w:rsidR="003F212F" w:rsidRPr="00776F03" w:rsidRDefault="003F212F" w:rsidP="003F212F">
      <w:pPr>
        <w:rPr>
          <w:rFonts w:ascii="Helvetica" w:hAnsi="Helvetica" w:cs="Arial"/>
          <w:sz w:val="24"/>
        </w:rPr>
      </w:pPr>
      <w:r w:rsidRPr="00776F03">
        <w:rPr>
          <w:rFonts w:ascii="Helvetica" w:hAnsi="Helvetica" w:cs="Arial"/>
          <w:sz w:val="24"/>
        </w:rPr>
        <w:lastRenderedPageBreak/>
        <w:t>B. During 20 mmHg distention</w:t>
      </w:r>
    </w:p>
    <w:tbl>
      <w:tblPr>
        <w:tblW w:w="10101" w:type="dxa"/>
        <w:tblInd w:w="-1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0"/>
        <w:gridCol w:w="1437"/>
        <w:gridCol w:w="1134"/>
        <w:gridCol w:w="1276"/>
        <w:gridCol w:w="1134"/>
        <w:gridCol w:w="567"/>
        <w:gridCol w:w="1134"/>
        <w:gridCol w:w="425"/>
        <w:gridCol w:w="1134"/>
        <w:gridCol w:w="320"/>
      </w:tblGrid>
      <w:tr w:rsidR="003F212F" w:rsidRPr="00776F03" w14:paraId="245FC6F7" w14:textId="77777777" w:rsidTr="00CA31D3">
        <w:trPr>
          <w:trHeight w:val="360"/>
        </w:trPr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BFAD0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1CDCF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16CA4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1C5E4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18E66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ACTH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0BF57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92FBF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Cortisol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95C46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5B182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Ad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7BE63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F212F" w:rsidRPr="00776F03" w14:paraId="3D5126EA" w14:textId="77777777" w:rsidTr="00CA31D3">
        <w:trPr>
          <w:trHeight w:val="360"/>
        </w:trPr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B3E5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HC with placebo injection (n = 16)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1A94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770F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4561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664A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0CBC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58D8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3A6D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</w:tr>
      <w:tr w:rsidR="003F212F" w:rsidRPr="00776F03" w14:paraId="3EE787E3" w14:textId="77777777" w:rsidTr="00CA31D3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A524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3BFA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ACTH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E739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28.09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43DC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13.56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13B6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D6DB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49B5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566E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A436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74D2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</w:tr>
      <w:tr w:rsidR="003F212F" w:rsidRPr="00776F03" w14:paraId="6110DE62" w14:textId="77777777" w:rsidTr="00CA31D3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E302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B1DE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proofErr w:type="spellStart"/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Cort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924D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13.05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692B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3.76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5E41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AFF6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7417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7CC8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EA1C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0BEA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</w:tr>
      <w:tr w:rsidR="003F212F" w:rsidRPr="00776F03" w14:paraId="4820512C" w14:textId="77777777" w:rsidTr="00CA31D3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2F4A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13FB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Ad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65D0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17.56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D067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13.70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D236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56CE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F9F8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96D4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26E4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FDE7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</w:tr>
      <w:tr w:rsidR="003F212F" w:rsidRPr="00776F03" w14:paraId="6C2EC323" w14:textId="77777777" w:rsidTr="00CA31D3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DF0D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B5F0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8537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148.06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5E54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99.55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A412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-0.42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FB10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7B51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987B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A084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-0.27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CF47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</w:tr>
      <w:tr w:rsidR="003F212F" w:rsidRPr="00776F03" w14:paraId="711C85B8" w14:textId="77777777" w:rsidTr="00CA31D3">
        <w:trPr>
          <w:trHeight w:val="360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08BB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HC with CRH injection (n = 16)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C0E2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5480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8765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FFD0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AB66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43EC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5C5E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</w:tr>
      <w:tr w:rsidR="003F212F" w:rsidRPr="00776F03" w14:paraId="044638D2" w14:textId="77777777" w:rsidTr="00CA31D3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E28C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F4B2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ACTH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106E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76.03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158A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25.75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3736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D1A1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047A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80E1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194B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3F1E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</w:tr>
      <w:tr w:rsidR="003F212F" w:rsidRPr="00776F03" w14:paraId="14920C14" w14:textId="77777777" w:rsidTr="00CA31D3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7861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DB89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proofErr w:type="spellStart"/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Cort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D662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17.92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4F9B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E916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F3E5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5840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9B11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B2EA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AFBF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</w:tr>
      <w:tr w:rsidR="003F212F" w:rsidRPr="00776F03" w14:paraId="06332D66" w14:textId="77777777" w:rsidTr="00CA31D3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1F00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24A2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Ad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2854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26.88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F150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24.23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58E4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D999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BA51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9975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E3DD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5E44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</w:tr>
      <w:tr w:rsidR="003F212F" w:rsidRPr="00776F03" w14:paraId="73450738" w14:textId="77777777" w:rsidTr="00CA31D3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5B99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E99A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9DDF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146.56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678E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73.06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69A9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-0.22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3F47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5A30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-0.22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C3A6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7379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BD54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</w:tr>
      <w:tr w:rsidR="003F212F" w:rsidRPr="00776F03" w14:paraId="764B7322" w14:textId="77777777" w:rsidTr="00CA31D3">
        <w:trPr>
          <w:trHeight w:val="360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E907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IBS with placebo injection (n = 16)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8AC8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014F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07B2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02E5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CCC0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DF7A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4396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</w:tr>
      <w:tr w:rsidR="003F212F" w:rsidRPr="00776F03" w14:paraId="7F863387" w14:textId="77777777" w:rsidTr="00CA31D3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CE8C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999C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ACTH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042F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28.40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6B7F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17.92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BA9B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B37C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7A75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AF40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EE70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FD67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</w:tr>
      <w:tr w:rsidR="003F212F" w:rsidRPr="00776F03" w14:paraId="0CED4FC3" w14:textId="77777777" w:rsidTr="00CA31D3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BD73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C4EA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proofErr w:type="spellStart"/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Cort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FA34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13.28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9BBF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4.52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B5B8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2AB0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696C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12A6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4FE8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5CCF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</w:tr>
      <w:tr w:rsidR="003F212F" w:rsidRPr="00776F03" w14:paraId="7AD31113" w14:textId="77777777" w:rsidTr="00CA31D3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A829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E8D5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Ad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3F93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26.50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9830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22.18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1C3C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2FD7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49A9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AA38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E74F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87AF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</w:tr>
      <w:tr w:rsidR="003F212F" w:rsidRPr="00776F03" w14:paraId="08FE6C33" w14:textId="77777777" w:rsidTr="00CA31D3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F134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0F90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DF93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185.69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098F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108.79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6FCA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851A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25CB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8D13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F1CF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7F39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</w:tr>
      <w:tr w:rsidR="003F212F" w:rsidRPr="00776F03" w14:paraId="098A34CA" w14:textId="77777777" w:rsidTr="00CA31D3">
        <w:trPr>
          <w:trHeight w:val="360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A6BD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IBS with CRH injection (n = 16)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5BB3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E752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3A63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BCB6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564D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AD0D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A6D6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</w:tr>
      <w:tr w:rsidR="003F212F" w:rsidRPr="00776F03" w14:paraId="2F579095" w14:textId="77777777" w:rsidTr="00CA31D3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E315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4ADC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ACTH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B689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72.77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6CBA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25.43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F5F0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ADE9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A68D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4013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CC01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178E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</w:tr>
      <w:tr w:rsidR="003F212F" w:rsidRPr="00776F03" w14:paraId="2F407560" w14:textId="77777777" w:rsidTr="00CA31D3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707B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FC0B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proofErr w:type="spellStart"/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Cort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1846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17.64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0D05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3.38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5F9E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1255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09DD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4BF6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ECB1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115A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</w:tr>
      <w:tr w:rsidR="003F212F" w:rsidRPr="00776F03" w14:paraId="4A5F1EDF" w14:textId="77777777" w:rsidTr="00CA31D3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A8E2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CB1A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Ad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9EF5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21.88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CFE1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11.57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D164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BD53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E461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4529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33B3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32F8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</w:tr>
      <w:tr w:rsidR="003F212F" w:rsidRPr="00776F03" w14:paraId="20497B67" w14:textId="77777777" w:rsidTr="00CA31D3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0357E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0EC80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DE084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192.00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ADEA7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85.89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C7713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-0.25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0D589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CED78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-0.31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EE272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1FEAF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48684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 xml:space="preserve">　</w:t>
            </w:r>
          </w:p>
        </w:tc>
      </w:tr>
    </w:tbl>
    <w:p w14:paraId="3E0FE53A" w14:textId="77777777" w:rsidR="003F212F" w:rsidRPr="00776F03" w:rsidRDefault="003F212F" w:rsidP="003F212F">
      <w:pPr>
        <w:rPr>
          <w:rFonts w:ascii="Helvetica" w:hAnsi="Helvetica" w:cs="Arial"/>
        </w:rPr>
      </w:pPr>
    </w:p>
    <w:p w14:paraId="02D9AE80" w14:textId="77777777" w:rsidR="003F212F" w:rsidRPr="00776F03" w:rsidRDefault="003F212F" w:rsidP="003F212F">
      <w:pPr>
        <w:rPr>
          <w:rFonts w:ascii="Helvetica" w:hAnsi="Helvetica" w:cs="Arial"/>
        </w:rPr>
      </w:pPr>
      <w:r w:rsidRPr="00776F03">
        <w:rPr>
          <w:rFonts w:ascii="Helvetica" w:hAnsi="Helvetica" w:cs="Arial"/>
        </w:rPr>
        <w:br w:type="page"/>
      </w:r>
    </w:p>
    <w:p w14:paraId="74082276" w14:textId="77777777" w:rsidR="003F212F" w:rsidRPr="00776F03" w:rsidRDefault="003F212F" w:rsidP="003F212F">
      <w:pPr>
        <w:rPr>
          <w:rFonts w:ascii="Helvetica" w:hAnsi="Helvetica" w:cs="Arial"/>
          <w:sz w:val="24"/>
        </w:rPr>
      </w:pPr>
      <w:r w:rsidRPr="00776F03">
        <w:rPr>
          <w:rFonts w:ascii="Helvetica" w:hAnsi="Helvetica" w:cs="Arial"/>
          <w:sz w:val="24"/>
        </w:rPr>
        <w:t>C. During 40 mmHg distention</w:t>
      </w:r>
    </w:p>
    <w:tbl>
      <w:tblPr>
        <w:tblW w:w="10101" w:type="dxa"/>
        <w:tblInd w:w="-1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0"/>
        <w:gridCol w:w="1437"/>
        <w:gridCol w:w="1134"/>
        <w:gridCol w:w="1276"/>
        <w:gridCol w:w="1134"/>
        <w:gridCol w:w="567"/>
        <w:gridCol w:w="1134"/>
        <w:gridCol w:w="425"/>
        <w:gridCol w:w="1134"/>
        <w:gridCol w:w="320"/>
      </w:tblGrid>
      <w:tr w:rsidR="003F212F" w:rsidRPr="00776F03" w14:paraId="7FB96DB1" w14:textId="77777777" w:rsidTr="00CA31D3">
        <w:trPr>
          <w:trHeight w:val="360"/>
        </w:trPr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F1163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AF1EE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0381D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585BA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81E90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ACTH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96D06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882FB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Cortisol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59E25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0A570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Ad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7BC24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F212F" w:rsidRPr="00776F03" w14:paraId="10B23004" w14:textId="77777777" w:rsidTr="00CA31D3">
        <w:trPr>
          <w:trHeight w:val="360"/>
        </w:trPr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1D7C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HC with placebo injection (n = 16)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CD07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5B1C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2BA5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370E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CCF5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A7AC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5510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</w:tr>
      <w:tr w:rsidR="003F212F" w:rsidRPr="00776F03" w14:paraId="1B26DE88" w14:textId="77777777" w:rsidTr="00CA31D3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BDD5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4694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ACTH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906E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27.09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9EAE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14.18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676E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C838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DD57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3A02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2BAD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7A97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</w:tr>
      <w:tr w:rsidR="003F212F" w:rsidRPr="00776F03" w14:paraId="1D70F198" w14:textId="77777777" w:rsidTr="00CA31D3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BBA2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007C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proofErr w:type="spellStart"/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Cort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453A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11.63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940B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3.58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38E6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8D4C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69DD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012D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F689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C1C8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</w:tr>
      <w:tr w:rsidR="003F212F" w:rsidRPr="00776F03" w14:paraId="658E476D" w14:textId="77777777" w:rsidTr="00CA31D3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2931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EF88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Ad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E6C2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25.63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7CB6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17.37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42F7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A01F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AD69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8CE1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779E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C71B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</w:tr>
      <w:tr w:rsidR="003F212F" w:rsidRPr="00776F03" w14:paraId="1CC3352A" w14:textId="77777777" w:rsidTr="00CA31D3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FAAA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0BFA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1C7C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151.06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9066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101.75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5A3D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-0.61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D769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BDB9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2F3C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E025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D2FF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</w:tr>
      <w:tr w:rsidR="003F212F" w:rsidRPr="00776F03" w14:paraId="51468ADA" w14:textId="77777777" w:rsidTr="00CA31D3">
        <w:trPr>
          <w:trHeight w:val="360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4C66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HC with CRH injection (n = 16)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AB1E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4B01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4C8B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3F8C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A98A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D823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C216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</w:tr>
      <w:tr w:rsidR="003F212F" w:rsidRPr="00776F03" w14:paraId="070D82FC" w14:textId="77777777" w:rsidTr="00CA31D3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A444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7ABB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ACTH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09FD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105.84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EF47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72.07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2B66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88CD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F968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E8C7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024A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D594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</w:tr>
      <w:tr w:rsidR="003F212F" w:rsidRPr="00776F03" w14:paraId="56275296" w14:textId="77777777" w:rsidTr="00CA31D3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A676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B715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proofErr w:type="spellStart"/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Cort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A600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18.63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3420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3.70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9FA5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459F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C5F1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9EF1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6F12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F87B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</w:tr>
      <w:tr w:rsidR="003F212F" w:rsidRPr="00776F03" w14:paraId="717DC3C7" w14:textId="77777777" w:rsidTr="00CA31D3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1E68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546D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Ad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8881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67.69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8B76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66.53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1C77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B89B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CEB3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924D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75AD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68A8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</w:tr>
      <w:tr w:rsidR="003F212F" w:rsidRPr="00776F03" w14:paraId="086E9604" w14:textId="77777777" w:rsidTr="00CA31D3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A5D4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654C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DFB0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166.31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4865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63.39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FBEC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4D2B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72EA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646F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BF9B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6983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</w:tr>
      <w:tr w:rsidR="003F212F" w:rsidRPr="00776F03" w14:paraId="577E727C" w14:textId="77777777" w:rsidTr="00CA31D3">
        <w:trPr>
          <w:trHeight w:val="360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DF9D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IBS with placebo injection (n = 16)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3A71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C191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9A37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EED9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BD86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6F9F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EFDA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</w:tr>
      <w:tr w:rsidR="003F212F" w:rsidRPr="00776F03" w14:paraId="6B1FC2BD" w14:textId="77777777" w:rsidTr="00CA31D3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D54B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5458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ACTH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935A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30.58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C64D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23.28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5350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E7A5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9EFF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98CB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7CD6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F675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</w:tr>
      <w:tr w:rsidR="003F212F" w:rsidRPr="00776F03" w14:paraId="1812A529" w14:textId="77777777" w:rsidTr="00CA31D3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BD81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C69E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proofErr w:type="spellStart"/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Cort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838C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12.66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7E23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A3E4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0485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56FA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7FFA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546A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4200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</w:tr>
      <w:tr w:rsidR="003F212F" w:rsidRPr="00776F03" w14:paraId="28F851C5" w14:textId="77777777" w:rsidTr="00CA31D3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E15A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E9CE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Ad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287A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37.31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A357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28.25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2455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C804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13F3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2A97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D07A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A832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</w:tr>
      <w:tr w:rsidR="003F212F" w:rsidRPr="00776F03" w14:paraId="1561B396" w14:textId="77777777" w:rsidTr="00CA31D3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B09B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136F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5D18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221.75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3E68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168.33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E9B4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9AFF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052C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4F56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74BA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DF49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</w:tr>
      <w:tr w:rsidR="003F212F" w:rsidRPr="00776F03" w14:paraId="0A36E211" w14:textId="77777777" w:rsidTr="00CA31D3">
        <w:trPr>
          <w:trHeight w:val="360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4095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IBS with CRH injection (n = 16)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6BB9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58A5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93E0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BB5D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A119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1ACA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A800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</w:tr>
      <w:tr w:rsidR="003F212F" w:rsidRPr="00776F03" w14:paraId="2E91B307" w14:textId="77777777" w:rsidTr="00CA31D3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6663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D75A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ACTH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8D69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74.21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B654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35.13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B5C5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06C7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F3AE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4FEC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F84A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E38E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</w:tr>
      <w:tr w:rsidR="003F212F" w:rsidRPr="00776F03" w14:paraId="2059A5BD" w14:textId="77777777" w:rsidTr="00CA31D3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D15C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8AA5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proofErr w:type="spellStart"/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Cort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95B6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17.34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42AD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3.22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E5B4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F1B9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1D0C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4335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06AB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B3B9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</w:tr>
      <w:tr w:rsidR="003F212F" w:rsidRPr="00776F03" w14:paraId="536E570B" w14:textId="77777777" w:rsidTr="00CA31D3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FBEF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C31C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Ad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E75B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33.13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7444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16.63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FEE4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2E6C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A48D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925C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76C9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F307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</w:p>
        </w:tc>
      </w:tr>
      <w:tr w:rsidR="003F212F" w:rsidRPr="00776F03" w14:paraId="48702C5F" w14:textId="77777777" w:rsidTr="00CA31D3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E1271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663E5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34925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194.06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9DB26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84.10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8F7F5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D197F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7C60D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5B1F0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80AE1" w14:textId="77777777" w:rsidR="003F212F" w:rsidRPr="00776F03" w:rsidRDefault="003F212F" w:rsidP="00CA31D3">
            <w:pPr>
              <w:jc w:val="right"/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>-0.26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65539" w14:textId="77777777" w:rsidR="003F212F" w:rsidRPr="00776F03" w:rsidRDefault="003F212F" w:rsidP="00CA31D3">
            <w:pPr>
              <w:rPr>
                <w:rFonts w:ascii="Helvetica" w:eastAsia="ＭＳ Ｐゴシック" w:hAnsi="Helvetica"/>
                <w:color w:val="000000"/>
                <w:sz w:val="20"/>
                <w:szCs w:val="20"/>
              </w:rPr>
            </w:pPr>
            <w:r w:rsidRPr="00776F03">
              <w:rPr>
                <w:rFonts w:ascii="Helvetica" w:eastAsia="ＭＳ Ｐゴシック" w:hAnsi="Helvetica"/>
                <w:color w:val="000000"/>
                <w:sz w:val="20"/>
                <w:szCs w:val="20"/>
              </w:rPr>
              <w:t xml:space="preserve">　</w:t>
            </w:r>
          </w:p>
        </w:tc>
      </w:tr>
    </w:tbl>
    <w:p w14:paraId="126308FD" w14:textId="77777777" w:rsidR="003F212F" w:rsidRPr="00776F03" w:rsidRDefault="003F212F" w:rsidP="003F212F">
      <w:pPr>
        <w:spacing w:line="480" w:lineRule="auto"/>
        <w:rPr>
          <w:rFonts w:ascii="Helvetica" w:hAnsi="Helvetica"/>
          <w:color w:val="000000" w:themeColor="text1"/>
          <w:sz w:val="24"/>
        </w:rPr>
      </w:pPr>
      <w:r w:rsidRPr="00776F03">
        <w:rPr>
          <w:rFonts w:ascii="Helvetica" w:hAnsi="Helvetica"/>
          <w:sz w:val="24"/>
        </w:rPr>
        <w:t xml:space="preserve">Data are shown as rho scores of </w:t>
      </w:r>
      <w:r w:rsidRPr="00776F03">
        <w:rPr>
          <w:rFonts w:ascii="Helvetica" w:eastAsia="ＭＳ 明朝" w:hAnsi="Helvetica"/>
          <w:bCs/>
          <w:snapToGrid w:val="0"/>
          <w:sz w:val="24"/>
        </w:rPr>
        <w:t>the Spearman rank correlation coefficient</w:t>
      </w:r>
      <w:r w:rsidRPr="00776F03">
        <w:rPr>
          <w:rFonts w:ascii="Helvetica" w:hAnsi="Helvetica"/>
          <w:sz w:val="24"/>
        </w:rPr>
        <w:t xml:space="preserve">. Data were used to assess the correlations with plasma ACTH, serum cortisol, plasma adrenaline, and noradrenaline levels during (A) no distention, (B) 20 mm Hg distention, and </w:t>
      </w:r>
      <w:proofErr w:type="gramStart"/>
      <w:r w:rsidRPr="00776F03">
        <w:rPr>
          <w:rFonts w:ascii="Helvetica" w:hAnsi="Helvetica"/>
          <w:sz w:val="24"/>
        </w:rPr>
        <w:t>(C) 40 mm</w:t>
      </w:r>
      <w:proofErr w:type="gramEnd"/>
      <w:r w:rsidRPr="00776F03">
        <w:rPr>
          <w:rFonts w:ascii="Helvetica" w:hAnsi="Helvetica"/>
          <w:sz w:val="24"/>
        </w:rPr>
        <w:t xml:space="preserve"> Hg distention. *</w:t>
      </w:r>
      <w:r w:rsidRPr="00776F03">
        <w:rPr>
          <w:rFonts w:ascii="Helvetica" w:hAnsi="Helvetica" w:cs="Helvetica"/>
          <w:i/>
          <w:snapToGrid w:val="0"/>
          <w:color w:val="000000" w:themeColor="text1"/>
          <w:kern w:val="0"/>
          <w:sz w:val="24"/>
          <w:szCs w:val="24"/>
        </w:rPr>
        <w:t xml:space="preserve"> P</w:t>
      </w:r>
      <w:r w:rsidRPr="00776F03">
        <w:rPr>
          <w:rFonts w:ascii="Helvetica" w:hAnsi="Helvetica"/>
          <w:sz w:val="24"/>
        </w:rPr>
        <w:t xml:space="preserve"> &lt; 0.05, **</w:t>
      </w:r>
      <w:r w:rsidRPr="00776F03">
        <w:rPr>
          <w:rFonts w:ascii="Helvetica" w:hAnsi="Helvetica" w:cs="Helvetica"/>
          <w:i/>
          <w:snapToGrid w:val="0"/>
          <w:color w:val="000000" w:themeColor="text1"/>
          <w:kern w:val="0"/>
          <w:sz w:val="24"/>
          <w:szCs w:val="24"/>
        </w:rPr>
        <w:t xml:space="preserve"> P</w:t>
      </w:r>
      <w:r w:rsidRPr="00776F03">
        <w:rPr>
          <w:rFonts w:ascii="Helvetica" w:hAnsi="Helvetica"/>
          <w:sz w:val="24"/>
        </w:rPr>
        <w:t xml:space="preserve"> &lt; 0.01. </w:t>
      </w:r>
      <w:proofErr w:type="gramStart"/>
      <w:r w:rsidRPr="00776F03">
        <w:rPr>
          <w:rFonts w:ascii="Helvetica" w:hAnsi="Helvetica"/>
          <w:sz w:val="24"/>
        </w:rPr>
        <w:t>ACTH, adrenocorticotropic hormone; Ad, adrenaline; NA, noradrenaline; SD, standard deviation.</w:t>
      </w:r>
      <w:proofErr w:type="gramEnd"/>
    </w:p>
    <w:p w14:paraId="7C5C8888" w14:textId="77777777" w:rsidR="00DF0796" w:rsidRPr="003F212F" w:rsidRDefault="00DF0796" w:rsidP="003F212F">
      <w:pPr>
        <w:widowControl/>
        <w:jc w:val="left"/>
        <w:rPr>
          <w:rFonts w:ascii="Helvetica" w:hAnsi="Helvetica"/>
          <w:color w:val="000000" w:themeColor="text1"/>
          <w:sz w:val="24"/>
        </w:rPr>
      </w:pPr>
      <w:bookmarkStart w:id="0" w:name="_GoBack"/>
      <w:bookmarkEnd w:id="0"/>
    </w:p>
    <w:sectPr w:rsidR="00DF0796" w:rsidRPr="003F212F" w:rsidSect="00DF0796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75"/>
    <w:rsid w:val="003F212F"/>
    <w:rsid w:val="009F0F75"/>
    <w:rsid w:val="00DF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5DBE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2F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2F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393</Words>
  <Characters>2246</Characters>
  <Application>Microsoft Macintosh Word</Application>
  <DocSecurity>0</DocSecurity>
  <Lines>18</Lines>
  <Paragraphs>5</Paragraphs>
  <ScaleCrop>false</ScaleCrop>
  <Company>Tohoku Univ.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 Yukari</dc:creator>
  <cp:keywords/>
  <dc:description/>
  <cp:lastModifiedBy>Tanaka Yukari</cp:lastModifiedBy>
  <cp:revision>2</cp:revision>
  <dcterms:created xsi:type="dcterms:W3CDTF">2018-06-28T02:45:00Z</dcterms:created>
  <dcterms:modified xsi:type="dcterms:W3CDTF">2018-06-28T02:46:00Z</dcterms:modified>
</cp:coreProperties>
</file>