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8D21" w14:textId="4D325A8B" w:rsidR="00536D68" w:rsidRPr="00536D68" w:rsidRDefault="00536D68" w:rsidP="00536D68">
      <w:pPr>
        <w:spacing w:line="480" w:lineRule="auto"/>
        <w:rPr>
          <w:rFonts w:ascii="Times New Roman" w:hAnsi="Times New Roman" w:cs="Times New Roman"/>
          <w:b/>
          <w:sz w:val="22"/>
          <w:szCs w:val="24"/>
        </w:rPr>
      </w:pPr>
      <w:bookmarkStart w:id="0" w:name="_GoBack"/>
      <w:bookmarkEnd w:id="0"/>
      <w:r w:rsidRPr="00536D68">
        <w:rPr>
          <w:rFonts w:ascii="Times New Roman" w:hAnsi="Times New Roman" w:cs="Times New Roman" w:hint="cs"/>
          <w:b/>
          <w:sz w:val="22"/>
          <w:szCs w:val="24"/>
        </w:rPr>
        <w:t>S</w:t>
      </w:r>
      <w:r w:rsidR="00225E97">
        <w:rPr>
          <w:rFonts w:ascii="Times New Roman" w:hAnsi="Times New Roman" w:cs="Times New Roman"/>
          <w:b/>
          <w:sz w:val="22"/>
          <w:szCs w:val="24"/>
        </w:rPr>
        <w:t>2</w:t>
      </w:r>
      <w:r w:rsidRPr="00536D68">
        <w:rPr>
          <w:rFonts w:ascii="Times New Roman" w:hAnsi="Times New Roman" w:cs="Times New Roman" w:hint="cs"/>
          <w:b/>
          <w:sz w:val="22"/>
          <w:szCs w:val="24"/>
        </w:rPr>
        <w:t xml:space="preserve"> Table</w:t>
      </w:r>
      <w:r w:rsidRPr="00536D68">
        <w:rPr>
          <w:rFonts w:ascii="Times New Roman" w:hAnsi="Times New Roman" w:cs="Times New Roman"/>
          <w:b/>
          <w:sz w:val="22"/>
          <w:szCs w:val="24"/>
        </w:rPr>
        <w:t xml:space="preserve">. Subgroup analysis showing odds ratio of NOAC for having SEC, dense SEC, or thrombus as compared with warfarin. </w:t>
      </w:r>
    </w:p>
    <w:p w14:paraId="33DCFE1B" w14:textId="77777777" w:rsidR="00536D68" w:rsidRPr="00536D68" w:rsidRDefault="00536D68" w:rsidP="00536D68">
      <w:pPr>
        <w:spacing w:line="480" w:lineRule="auto"/>
        <w:rPr>
          <w:rFonts w:ascii="Times New Roman" w:hAnsi="Times New Roman" w:cs="Times New Roman"/>
          <w:b/>
          <w:sz w:val="22"/>
          <w:szCs w:val="24"/>
        </w:rPr>
      </w:pPr>
      <w:r w:rsidRPr="00536D68">
        <w:rPr>
          <w:rFonts w:ascii="Times New Roman" w:hAnsi="Times New Roman" w:cs="Times New Roman"/>
          <w:b/>
          <w:sz w:val="22"/>
          <w:szCs w:val="24"/>
        </w:rPr>
        <w:t xml:space="preserve">(A) </w:t>
      </w:r>
      <w:r w:rsidRPr="00536D68">
        <w:rPr>
          <w:rFonts w:ascii="Times New Roman" w:hAnsi="Times New Roman" w:cs="Times New Roman"/>
          <w:sz w:val="22"/>
          <w:szCs w:val="24"/>
        </w:rPr>
        <w:t>High CHA</w:t>
      </w:r>
      <w:r w:rsidRPr="00536D68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536D68">
        <w:rPr>
          <w:rFonts w:ascii="Times New Roman" w:hAnsi="Times New Roman" w:cs="Times New Roman"/>
          <w:sz w:val="22"/>
          <w:szCs w:val="24"/>
        </w:rPr>
        <w:t>DS</w:t>
      </w:r>
      <w:r w:rsidRPr="00536D68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536D68">
        <w:rPr>
          <w:rFonts w:ascii="Times New Roman" w:hAnsi="Times New Roman" w:cs="Times New Roman"/>
          <w:sz w:val="22"/>
          <w:szCs w:val="24"/>
        </w:rPr>
        <w:t>-VASc vs. low CHA</w:t>
      </w:r>
      <w:r w:rsidRPr="00536D68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536D68">
        <w:rPr>
          <w:rFonts w:ascii="Times New Roman" w:hAnsi="Times New Roman" w:cs="Times New Roman"/>
          <w:sz w:val="22"/>
          <w:szCs w:val="24"/>
        </w:rPr>
        <w:t>DS</w:t>
      </w:r>
      <w:r w:rsidRPr="00536D68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536D68">
        <w:rPr>
          <w:rFonts w:ascii="Times New Roman" w:hAnsi="Times New Roman" w:cs="Times New Roman"/>
          <w:sz w:val="22"/>
          <w:szCs w:val="24"/>
        </w:rPr>
        <w:t>-VASc</w:t>
      </w:r>
    </w:p>
    <w:tbl>
      <w:tblPr>
        <w:tblW w:w="8931" w:type="dxa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3"/>
        <w:gridCol w:w="2001"/>
        <w:gridCol w:w="622"/>
        <w:gridCol w:w="1080"/>
        <w:gridCol w:w="1080"/>
        <w:gridCol w:w="904"/>
        <w:gridCol w:w="1701"/>
      </w:tblGrid>
      <w:tr w:rsidR="00536D68" w:rsidRPr="00175BBD" w14:paraId="3A3C4F65" w14:textId="77777777" w:rsidTr="00BD7467">
        <w:trPr>
          <w:trHeight w:val="330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D0FD9" w14:textId="77777777" w:rsidR="00536D68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5E0F5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>Subgroups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3EAC6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>O</w:t>
            </w:r>
            <w:r w:rsidRPr="009675E7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R</w:t>
            </w: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of NOAC for having SEC, dense SEC, or thrombus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28A9D" w14:textId="03EFD7E1" w:rsidR="00536D68" w:rsidRPr="009675E7" w:rsidRDefault="00FF22ED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p</w:t>
            </w:r>
            <w:r w:rsidR="00536D68"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 xml:space="preserve"> </w:t>
            </w:r>
            <w:r w:rsidR="00536D68" w:rsidRPr="009675E7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4C9D52" w14:textId="57261F15" w:rsidR="00536D68" w:rsidRPr="009675E7" w:rsidRDefault="00FF22ED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p</w:t>
            </w:r>
            <w:r w:rsidR="00536D68"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 xml:space="preserve"> </w:t>
            </w:r>
            <w:r w:rsidR="00536D68" w:rsidRPr="009675E7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for interaction</w:t>
            </w:r>
          </w:p>
        </w:tc>
      </w:tr>
      <w:tr w:rsidR="00536D68" w:rsidRPr="009675E7" w14:paraId="199DBE8C" w14:textId="77777777" w:rsidTr="00865850">
        <w:trPr>
          <w:trHeight w:val="330"/>
        </w:trPr>
        <w:tc>
          <w:tcPr>
            <w:tcW w:w="154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BEB23B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16"/>
              </w:rPr>
              <w:t>SEC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416C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CHA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DS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-VASc ≥ 2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AAB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0.972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0.527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– 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1.792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308E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E3F9E03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0.833</w:t>
            </w:r>
          </w:p>
        </w:tc>
      </w:tr>
      <w:tr w:rsidR="00536D68" w:rsidRPr="009675E7" w14:paraId="019DBF3F" w14:textId="77777777" w:rsidTr="00865850">
        <w:trPr>
          <w:trHeight w:val="330"/>
        </w:trPr>
        <w:tc>
          <w:tcPr>
            <w:tcW w:w="1543" w:type="dxa"/>
            <w:vMerge/>
            <w:tcBorders>
              <w:right w:val="nil"/>
            </w:tcBorders>
            <w:vAlign w:val="center"/>
          </w:tcPr>
          <w:p w14:paraId="53A3B23C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9C89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CHA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DS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-VASc 0 – 1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0D76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0.886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0.481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– 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1.632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2B9B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0.697</w:t>
            </w: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2B19493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3FE7911C" w14:textId="77777777" w:rsidTr="00865850">
        <w:trPr>
          <w:trHeight w:val="330"/>
        </w:trPr>
        <w:tc>
          <w:tcPr>
            <w:tcW w:w="1543" w:type="dxa"/>
            <w:tcBorders>
              <w:right w:val="nil"/>
            </w:tcBorders>
            <w:vAlign w:val="center"/>
          </w:tcPr>
          <w:p w14:paraId="1BBE8052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989D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A7AD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519D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F5F5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7CB701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B859D12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129B65BC" w14:textId="77777777" w:rsidTr="00865850">
        <w:trPr>
          <w:trHeight w:val="330"/>
        </w:trPr>
        <w:tc>
          <w:tcPr>
            <w:tcW w:w="1543" w:type="dxa"/>
            <w:vMerge w:val="restart"/>
            <w:tcBorders>
              <w:right w:val="nil"/>
            </w:tcBorders>
            <w:vAlign w:val="center"/>
          </w:tcPr>
          <w:p w14:paraId="31B6A348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16"/>
              </w:rPr>
              <w:t>Dense SEC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DF44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CHA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DS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-VASc ≥ 2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12EF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1.011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0.475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– 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2.152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55DB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0.978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229D964A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0.973</w:t>
            </w:r>
          </w:p>
        </w:tc>
      </w:tr>
      <w:tr w:rsidR="00536D68" w:rsidRPr="009675E7" w14:paraId="0AA665FC" w14:textId="77777777" w:rsidTr="00865850">
        <w:trPr>
          <w:trHeight w:val="330"/>
        </w:trPr>
        <w:tc>
          <w:tcPr>
            <w:tcW w:w="1543" w:type="dxa"/>
            <w:vMerge/>
            <w:tcBorders>
              <w:right w:val="nil"/>
            </w:tcBorders>
            <w:vAlign w:val="center"/>
          </w:tcPr>
          <w:p w14:paraId="6E9A9065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6E40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CHA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DS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-VASc 0 – 1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54F6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1.033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0.367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– 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2.910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0E53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0.951</w:t>
            </w: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5A65F64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7B4B63A1" w14:textId="77777777" w:rsidTr="00BD7467">
        <w:trPr>
          <w:trHeight w:val="330"/>
        </w:trPr>
        <w:tc>
          <w:tcPr>
            <w:tcW w:w="1543" w:type="dxa"/>
            <w:tcBorders>
              <w:bottom w:val="nil"/>
              <w:right w:val="nil"/>
            </w:tcBorders>
            <w:vAlign w:val="center"/>
          </w:tcPr>
          <w:p w14:paraId="2CA32254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C9AF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F7E6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E44E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758D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8DBF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213EA4F7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6E3E22C6" w14:textId="77777777" w:rsidTr="00BD7467">
        <w:trPr>
          <w:trHeight w:val="330"/>
        </w:trPr>
        <w:tc>
          <w:tcPr>
            <w:tcW w:w="1543" w:type="dxa"/>
            <w:vMerge w:val="restart"/>
            <w:tcBorders>
              <w:right w:val="nil"/>
            </w:tcBorders>
            <w:vAlign w:val="center"/>
          </w:tcPr>
          <w:p w14:paraId="163A17C5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16"/>
              </w:rPr>
              <w:t>Thrombus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92D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CHA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DS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-VASc ≥ 2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3DBD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1.852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0.447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– 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7.669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4A42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0.395</w:t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128AB493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0.835</w:t>
            </w:r>
          </w:p>
        </w:tc>
      </w:tr>
      <w:tr w:rsidR="00536D68" w:rsidRPr="009675E7" w14:paraId="4D5892FD" w14:textId="77777777" w:rsidTr="00BD7467">
        <w:trPr>
          <w:trHeight w:val="330"/>
        </w:trPr>
        <w:tc>
          <w:tcPr>
            <w:tcW w:w="15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C8E8AF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6B00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CHA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DS</w:t>
            </w:r>
            <w:r w:rsidRPr="002727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-VASc 0 – 1</w:t>
            </w:r>
          </w:p>
        </w:tc>
        <w:tc>
          <w:tcPr>
            <w:tcW w:w="27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CA84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1.329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0.082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– </w:t>
            </w: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21.588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09E5C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75BB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0.842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4D7FED8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7BE67C2D" w14:textId="77777777" w:rsidTr="00BD7467">
        <w:trPr>
          <w:trHeight w:val="330"/>
        </w:trPr>
        <w:tc>
          <w:tcPr>
            <w:tcW w:w="1543" w:type="dxa"/>
            <w:tcBorders>
              <w:top w:val="single" w:sz="4" w:space="0" w:color="auto"/>
              <w:right w:val="nil"/>
            </w:tcBorders>
            <w:vAlign w:val="center"/>
          </w:tcPr>
          <w:p w14:paraId="5A0BCAAD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35BA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E31B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6809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0A51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B897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14:paraId="3C9359BD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4645C36" w14:textId="77777777" w:rsidR="00536D68" w:rsidRPr="00536D68" w:rsidRDefault="00536D68" w:rsidP="00536D68">
      <w:pPr>
        <w:spacing w:line="480" w:lineRule="auto"/>
        <w:rPr>
          <w:rFonts w:ascii="Times New Roman" w:hAnsi="Times New Roman" w:cs="Times New Roman"/>
          <w:b/>
          <w:sz w:val="22"/>
          <w:szCs w:val="24"/>
        </w:rPr>
      </w:pPr>
      <w:r w:rsidRPr="00536D68">
        <w:rPr>
          <w:rFonts w:ascii="Times New Roman" w:hAnsi="Times New Roman" w:cs="Times New Roman"/>
          <w:b/>
          <w:sz w:val="22"/>
          <w:szCs w:val="24"/>
        </w:rPr>
        <w:t xml:space="preserve">(B) </w:t>
      </w:r>
      <w:r w:rsidRPr="00536D68">
        <w:rPr>
          <w:rFonts w:ascii="Times New Roman" w:hAnsi="Times New Roman" w:cs="Times New Roman"/>
          <w:sz w:val="22"/>
          <w:szCs w:val="24"/>
        </w:rPr>
        <w:t>Age ≥ 60 vs. age &lt; 60</w:t>
      </w:r>
    </w:p>
    <w:tbl>
      <w:tblPr>
        <w:tblW w:w="8931" w:type="dxa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3"/>
        <w:gridCol w:w="2001"/>
        <w:gridCol w:w="622"/>
        <w:gridCol w:w="1080"/>
        <w:gridCol w:w="1080"/>
        <w:gridCol w:w="904"/>
        <w:gridCol w:w="1701"/>
      </w:tblGrid>
      <w:tr w:rsidR="00536D68" w:rsidRPr="00175BBD" w14:paraId="16173A70" w14:textId="77777777" w:rsidTr="00BD7467">
        <w:trPr>
          <w:trHeight w:val="330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26493" w14:textId="77777777" w:rsidR="00536D68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936E5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>Subgroups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B9A5A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>O</w:t>
            </w:r>
            <w:r w:rsidRPr="009675E7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R</w:t>
            </w: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of NOAC for having SEC, dense SEC, or thrombus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D3A26" w14:textId="79465F99" w:rsidR="00536D68" w:rsidRPr="009675E7" w:rsidRDefault="00FF22ED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p</w:t>
            </w:r>
            <w:r w:rsidR="00536D68"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 xml:space="preserve"> </w:t>
            </w:r>
            <w:r w:rsidR="00536D68" w:rsidRPr="009675E7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DC9A45" w14:textId="2B001EF1" w:rsidR="00536D68" w:rsidRPr="009675E7" w:rsidRDefault="00FF22ED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p</w:t>
            </w:r>
            <w:r w:rsidR="00536D68"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 xml:space="preserve"> </w:t>
            </w:r>
            <w:r w:rsidR="00536D68" w:rsidRPr="009675E7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for interaction</w:t>
            </w:r>
          </w:p>
        </w:tc>
      </w:tr>
      <w:tr w:rsidR="00536D68" w:rsidRPr="009675E7" w14:paraId="1A6DA167" w14:textId="77777777" w:rsidTr="00865850">
        <w:trPr>
          <w:trHeight w:val="330"/>
        </w:trPr>
        <w:tc>
          <w:tcPr>
            <w:tcW w:w="154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4298759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16"/>
              </w:rPr>
              <w:t>SEC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1EB3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Age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60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89CE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12A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1.102 (0.617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612A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1.969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4FF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D87B669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0.494</w:t>
            </w:r>
          </w:p>
        </w:tc>
      </w:tr>
      <w:tr w:rsidR="00536D68" w:rsidRPr="009675E7" w14:paraId="6A2AEFA4" w14:textId="77777777" w:rsidTr="00865850">
        <w:trPr>
          <w:trHeight w:val="330"/>
        </w:trPr>
        <w:tc>
          <w:tcPr>
            <w:tcW w:w="1543" w:type="dxa"/>
            <w:vMerge/>
            <w:tcBorders>
              <w:right w:val="nil"/>
            </w:tcBorders>
            <w:vAlign w:val="center"/>
          </w:tcPr>
          <w:p w14:paraId="7AD5BC4A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54D9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Age &lt;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ED51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12A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0.811 (0.418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6612A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1.573)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DFDF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0.535</w:t>
            </w: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1991E45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4E6065E6" w14:textId="77777777" w:rsidTr="00865850">
        <w:trPr>
          <w:trHeight w:val="330"/>
        </w:trPr>
        <w:tc>
          <w:tcPr>
            <w:tcW w:w="1543" w:type="dxa"/>
            <w:tcBorders>
              <w:right w:val="nil"/>
            </w:tcBorders>
            <w:vAlign w:val="center"/>
          </w:tcPr>
          <w:p w14:paraId="0C3857B9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1DC9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9019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CE06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85D6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D42B6C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892AF6B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7056066D" w14:textId="77777777" w:rsidTr="00865850">
        <w:trPr>
          <w:trHeight w:val="330"/>
        </w:trPr>
        <w:tc>
          <w:tcPr>
            <w:tcW w:w="1543" w:type="dxa"/>
            <w:vMerge w:val="restart"/>
            <w:tcBorders>
              <w:right w:val="nil"/>
            </w:tcBorders>
            <w:vAlign w:val="center"/>
          </w:tcPr>
          <w:p w14:paraId="63321413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16"/>
              </w:rPr>
              <w:t>Dense SEC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0FD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Age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60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219D60" w14:textId="77777777" w:rsidR="00536D68" w:rsidRPr="004967D1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</w:pPr>
            <w:r w:rsidRPr="001C2A4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  <w:t xml:space="preserve">1.787 (0.845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2A4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  <w:t>3.779)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1F6E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0.129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4E85713D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0.031</w:t>
            </w:r>
          </w:p>
        </w:tc>
      </w:tr>
      <w:tr w:rsidR="00536D68" w:rsidRPr="009675E7" w14:paraId="76D92931" w14:textId="77777777" w:rsidTr="00865850">
        <w:trPr>
          <w:trHeight w:val="330"/>
        </w:trPr>
        <w:tc>
          <w:tcPr>
            <w:tcW w:w="1543" w:type="dxa"/>
            <w:vMerge/>
            <w:tcBorders>
              <w:right w:val="nil"/>
            </w:tcBorders>
            <w:vAlign w:val="center"/>
          </w:tcPr>
          <w:p w14:paraId="2F417890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F49D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Age &lt;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47361B" w14:textId="77777777" w:rsidR="00536D68" w:rsidRPr="004967D1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</w:pPr>
            <w:r w:rsidRPr="001C2A4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  <w:t xml:space="preserve">0.379 (0.115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1C2A4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  <w:t xml:space="preserve"> 1.246)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6215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0.110</w:t>
            </w: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A0682EA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7F2F192B" w14:textId="77777777" w:rsidTr="00BD7467">
        <w:trPr>
          <w:trHeight w:val="330"/>
        </w:trPr>
        <w:tc>
          <w:tcPr>
            <w:tcW w:w="1543" w:type="dxa"/>
            <w:tcBorders>
              <w:bottom w:val="nil"/>
              <w:right w:val="nil"/>
            </w:tcBorders>
            <w:vAlign w:val="center"/>
          </w:tcPr>
          <w:p w14:paraId="040E2302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ADEA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A79A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7E42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967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7A66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4B2C57BF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4D56AC1A" w14:textId="77777777" w:rsidTr="00BD7467">
        <w:trPr>
          <w:trHeight w:val="330"/>
        </w:trPr>
        <w:tc>
          <w:tcPr>
            <w:tcW w:w="1543" w:type="dxa"/>
            <w:vMerge w:val="restart"/>
            <w:tcBorders>
              <w:right w:val="nil"/>
            </w:tcBorders>
            <w:vAlign w:val="center"/>
          </w:tcPr>
          <w:p w14:paraId="4CE57E35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16"/>
              </w:rPr>
              <w:t>Thrombus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8D33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Age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60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9E1D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2C4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3.361 (0.660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FA2C4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17.113)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AE6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0.144</w:t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52958686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0.229</w:t>
            </w:r>
          </w:p>
        </w:tc>
      </w:tr>
      <w:tr w:rsidR="00536D68" w:rsidRPr="009675E7" w14:paraId="666C613B" w14:textId="77777777" w:rsidTr="00BD7467">
        <w:trPr>
          <w:trHeight w:val="330"/>
        </w:trPr>
        <w:tc>
          <w:tcPr>
            <w:tcW w:w="15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1155117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AB8E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Age &lt;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7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5C5F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2C4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0.561 (0.050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FA2C4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6.312)</w:t>
            </w:r>
          </w:p>
        </w:tc>
        <w:tc>
          <w:tcPr>
            <w:tcW w:w="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2970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0.640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BF8E4C0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648E7CF1" w14:textId="77777777" w:rsidTr="00BD7467">
        <w:trPr>
          <w:trHeight w:val="330"/>
        </w:trPr>
        <w:tc>
          <w:tcPr>
            <w:tcW w:w="1543" w:type="dxa"/>
            <w:tcBorders>
              <w:top w:val="single" w:sz="4" w:space="0" w:color="auto"/>
              <w:right w:val="nil"/>
            </w:tcBorders>
            <w:vAlign w:val="center"/>
          </w:tcPr>
          <w:p w14:paraId="66DAF936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7237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B3DF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50A5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B396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8631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14:paraId="6052D3A6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AFD995C" w14:textId="77777777" w:rsidR="00536D68" w:rsidRPr="00536D68" w:rsidRDefault="00536D68" w:rsidP="00536D68">
      <w:pPr>
        <w:spacing w:line="480" w:lineRule="auto"/>
        <w:rPr>
          <w:rFonts w:ascii="Times New Roman" w:hAnsi="Times New Roman" w:cs="Times New Roman"/>
          <w:b/>
          <w:sz w:val="22"/>
          <w:szCs w:val="24"/>
        </w:rPr>
      </w:pPr>
      <w:r w:rsidRPr="00536D68">
        <w:rPr>
          <w:rFonts w:ascii="Times New Roman" w:hAnsi="Times New Roman" w:cs="Times New Roman"/>
          <w:b/>
          <w:sz w:val="22"/>
          <w:szCs w:val="24"/>
        </w:rPr>
        <w:t xml:space="preserve">(C) </w:t>
      </w:r>
      <w:r w:rsidRPr="00536D68">
        <w:rPr>
          <w:rFonts w:ascii="Times New Roman" w:hAnsi="Times New Roman" w:cs="Times New Roman"/>
          <w:sz w:val="22"/>
          <w:szCs w:val="24"/>
        </w:rPr>
        <w:t>Average LAA flow velocity ≤ 25 cm/sec vs. average LAA flow velocity &gt; 25 cm/sec</w:t>
      </w:r>
    </w:p>
    <w:tbl>
      <w:tblPr>
        <w:tblW w:w="8931" w:type="dxa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3"/>
        <w:gridCol w:w="2001"/>
        <w:gridCol w:w="622"/>
        <w:gridCol w:w="1080"/>
        <w:gridCol w:w="1080"/>
        <w:gridCol w:w="904"/>
        <w:gridCol w:w="1701"/>
      </w:tblGrid>
      <w:tr w:rsidR="00536D68" w:rsidRPr="00175BBD" w14:paraId="63ABF30E" w14:textId="77777777" w:rsidTr="00BD7467">
        <w:trPr>
          <w:trHeight w:val="330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1448D" w14:textId="77777777" w:rsidR="00536D68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F9EE0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>Subgroups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EE66B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>O</w:t>
            </w:r>
            <w:r w:rsidRPr="009675E7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R</w:t>
            </w: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of NOAC for having SEC, dense SEC, or thrombus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A780D" w14:textId="226C3787" w:rsidR="00536D68" w:rsidRPr="009675E7" w:rsidRDefault="00FF22ED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>p</w:t>
            </w:r>
            <w:r w:rsidR="00536D68"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 xml:space="preserve"> </w:t>
            </w:r>
            <w:r w:rsidR="00536D68" w:rsidRPr="009675E7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1C7B1D" w14:textId="4DC107B4" w:rsidR="00536D68" w:rsidRPr="009675E7" w:rsidRDefault="00FF22ED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p</w:t>
            </w:r>
            <w:r w:rsidR="00536D68"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</w:rPr>
              <w:t xml:space="preserve"> </w:t>
            </w:r>
            <w:r w:rsidR="00536D68" w:rsidRPr="009675E7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for interaction</w:t>
            </w:r>
          </w:p>
        </w:tc>
      </w:tr>
      <w:tr w:rsidR="00536D68" w:rsidRPr="009675E7" w14:paraId="1CBB2F13" w14:textId="77777777" w:rsidTr="00865850">
        <w:trPr>
          <w:trHeight w:val="330"/>
        </w:trPr>
        <w:tc>
          <w:tcPr>
            <w:tcW w:w="154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985306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16"/>
              </w:rPr>
              <w:t>SEC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FF72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LAA flow velocity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 25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9254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F577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1.682 (0.647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F577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4.369)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792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A83C8CD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0.357</w:t>
            </w:r>
          </w:p>
        </w:tc>
      </w:tr>
      <w:tr w:rsidR="00536D68" w:rsidRPr="009675E7" w14:paraId="06E422E5" w14:textId="77777777" w:rsidTr="00865850">
        <w:trPr>
          <w:trHeight w:val="330"/>
        </w:trPr>
        <w:tc>
          <w:tcPr>
            <w:tcW w:w="1543" w:type="dxa"/>
            <w:vMerge/>
            <w:tcBorders>
              <w:right w:val="nil"/>
            </w:tcBorders>
            <w:vAlign w:val="center"/>
          </w:tcPr>
          <w:p w14:paraId="5409B422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5A17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LAA flow velocity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&gt; 25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E0C0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F577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1.000 (0.573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F577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1.747)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E8A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&gt; 0.999</w:t>
            </w: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BF87D19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1FA243A1" w14:textId="77777777" w:rsidTr="00865850">
        <w:trPr>
          <w:trHeight w:val="330"/>
        </w:trPr>
        <w:tc>
          <w:tcPr>
            <w:tcW w:w="1543" w:type="dxa"/>
            <w:tcBorders>
              <w:right w:val="nil"/>
            </w:tcBorders>
            <w:vAlign w:val="center"/>
          </w:tcPr>
          <w:p w14:paraId="791B5393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2AEF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E877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0EAC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B679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EC1F92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483CED3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1B2DFBE6" w14:textId="77777777" w:rsidTr="00865850">
        <w:trPr>
          <w:trHeight w:val="330"/>
        </w:trPr>
        <w:tc>
          <w:tcPr>
            <w:tcW w:w="1543" w:type="dxa"/>
            <w:vMerge w:val="restart"/>
            <w:tcBorders>
              <w:right w:val="nil"/>
            </w:tcBorders>
            <w:vAlign w:val="center"/>
          </w:tcPr>
          <w:p w14:paraId="2F093C33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16"/>
              </w:rPr>
              <w:t>Dense SEC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39A9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LAA flow velocity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 25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4BC6A8" w14:textId="77777777" w:rsidR="00536D68" w:rsidRPr="004967D1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</w:pPr>
            <w:r w:rsidRPr="00661C9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  <w:t xml:space="preserve">1.310 (0.582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61C9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  <w:t>2.950)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190F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0.514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2DFB425F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0.959</w:t>
            </w:r>
          </w:p>
        </w:tc>
      </w:tr>
      <w:tr w:rsidR="00536D68" w:rsidRPr="009675E7" w14:paraId="363CD6F2" w14:textId="77777777" w:rsidTr="00865850">
        <w:trPr>
          <w:trHeight w:val="330"/>
        </w:trPr>
        <w:tc>
          <w:tcPr>
            <w:tcW w:w="1543" w:type="dxa"/>
            <w:vMerge/>
            <w:tcBorders>
              <w:right w:val="nil"/>
            </w:tcBorders>
            <w:vAlign w:val="center"/>
          </w:tcPr>
          <w:p w14:paraId="4E2561AC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E964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LAA flow velocity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&gt; 25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A65602" w14:textId="77777777" w:rsidR="00536D68" w:rsidRPr="004967D1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</w:pPr>
            <w:r w:rsidRPr="00661C9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  <w:t xml:space="preserve">1.357 (0.456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61C9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</w:rPr>
              <w:t>4.039)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3270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0.583</w:t>
            </w: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D21D6DE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3361EFC7" w14:textId="77777777" w:rsidTr="00BD7467">
        <w:trPr>
          <w:trHeight w:val="330"/>
        </w:trPr>
        <w:tc>
          <w:tcPr>
            <w:tcW w:w="1543" w:type="dxa"/>
            <w:tcBorders>
              <w:bottom w:val="nil"/>
              <w:right w:val="nil"/>
            </w:tcBorders>
            <w:vAlign w:val="center"/>
          </w:tcPr>
          <w:p w14:paraId="570EC2A7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581B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030A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5A99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4964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68CE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2C898938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68681FD4" w14:textId="77777777" w:rsidTr="00BD7467">
        <w:trPr>
          <w:trHeight w:val="330"/>
        </w:trPr>
        <w:tc>
          <w:tcPr>
            <w:tcW w:w="1543" w:type="dxa"/>
            <w:vMerge w:val="restart"/>
            <w:tcBorders>
              <w:right w:val="nil"/>
            </w:tcBorders>
            <w:vAlign w:val="center"/>
          </w:tcPr>
          <w:p w14:paraId="4F38753E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16"/>
              </w:rPr>
            </w:pPr>
            <w:r w:rsidRPr="009675E7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16"/>
              </w:rPr>
              <w:t>Thrombus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9E18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LAA flow velocity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≤ 25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DF00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1C9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2.375 (0.537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61C9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10.510)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EC80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0.254</w:t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42EBBAC0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0.910</w:t>
            </w:r>
          </w:p>
        </w:tc>
      </w:tr>
      <w:tr w:rsidR="00536D68" w:rsidRPr="009675E7" w14:paraId="2B87AB63" w14:textId="77777777" w:rsidTr="00BD7467">
        <w:trPr>
          <w:trHeight w:val="330"/>
        </w:trPr>
        <w:tc>
          <w:tcPr>
            <w:tcW w:w="15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99FE2D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EF59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LAA flow velocity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&gt; 25</w:t>
            </w:r>
          </w:p>
        </w:tc>
        <w:tc>
          <w:tcPr>
            <w:tcW w:w="27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EB7F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1C9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2.017 (0.180 </w:t>
            </w:r>
            <w:r w:rsidRPr="009675E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61C9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22.549)</w:t>
            </w:r>
          </w:p>
        </w:tc>
        <w:tc>
          <w:tcPr>
            <w:tcW w:w="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12986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0.569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F32D0F9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36D68" w:rsidRPr="009675E7" w14:paraId="627023B1" w14:textId="77777777" w:rsidTr="00BD7467">
        <w:trPr>
          <w:trHeight w:val="330"/>
        </w:trPr>
        <w:tc>
          <w:tcPr>
            <w:tcW w:w="1543" w:type="dxa"/>
            <w:tcBorders>
              <w:top w:val="single" w:sz="4" w:space="0" w:color="auto"/>
              <w:right w:val="nil"/>
            </w:tcBorders>
            <w:vAlign w:val="center"/>
          </w:tcPr>
          <w:p w14:paraId="0EC6C105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9E4D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E6BC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9064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1ADA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04D2" w14:textId="77777777" w:rsidR="00536D68" w:rsidRPr="00175BBD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14:paraId="4AACCE38" w14:textId="77777777" w:rsidR="00536D68" w:rsidRPr="009675E7" w:rsidRDefault="00536D68" w:rsidP="00865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31625FB" w14:textId="45C0DF2E" w:rsidR="00536D68" w:rsidRPr="009675E7" w:rsidRDefault="0098051D" w:rsidP="0098051D">
      <w:pPr>
        <w:spacing w:line="480" w:lineRule="auto"/>
        <w:rPr>
          <w:sz w:val="16"/>
          <w:szCs w:val="16"/>
        </w:rPr>
      </w:pPr>
      <w:r>
        <w:rPr>
          <w:rFonts w:ascii="Times New Roman" w:hAnsi="Times New Roman" w:cs="Times New Roman"/>
          <w:sz w:val="22"/>
        </w:rPr>
        <w:lastRenderedPageBreak/>
        <w:t xml:space="preserve">LAA: left atrial appendage; NOAC: </w:t>
      </w:r>
      <w:r w:rsidRPr="00BB72F8">
        <w:rPr>
          <w:rFonts w:ascii="Times New Roman" w:hAnsi="Times New Roman" w:cs="Times New Roman"/>
          <w:sz w:val="22"/>
        </w:rPr>
        <w:t>non-vitamin K antagonist oral anticoagulants</w:t>
      </w:r>
      <w:r>
        <w:rPr>
          <w:rFonts w:ascii="Times New Roman" w:hAnsi="Times New Roman" w:cs="Times New Roman"/>
          <w:sz w:val="22"/>
        </w:rPr>
        <w:t xml:space="preserve">; OR: odds ratio; SEC: spontaneous echo-contrast. </w:t>
      </w:r>
    </w:p>
    <w:sectPr w:rsidR="00536D68" w:rsidRPr="009675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517D" w14:textId="77777777" w:rsidR="00F516B2" w:rsidRDefault="00F516B2" w:rsidP="00536D68">
      <w:pPr>
        <w:spacing w:after="0" w:line="240" w:lineRule="auto"/>
      </w:pPr>
      <w:r>
        <w:separator/>
      </w:r>
    </w:p>
  </w:endnote>
  <w:endnote w:type="continuationSeparator" w:id="0">
    <w:p w14:paraId="610E8A7E" w14:textId="77777777" w:rsidR="00F516B2" w:rsidRDefault="00F516B2" w:rsidP="0053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C673" w14:textId="77777777" w:rsidR="00F516B2" w:rsidRDefault="00F516B2" w:rsidP="00536D68">
      <w:pPr>
        <w:spacing w:after="0" w:line="240" w:lineRule="auto"/>
      </w:pPr>
      <w:r>
        <w:separator/>
      </w:r>
    </w:p>
  </w:footnote>
  <w:footnote w:type="continuationSeparator" w:id="0">
    <w:p w14:paraId="1C4AAC02" w14:textId="77777777" w:rsidR="00F516B2" w:rsidRDefault="00F516B2" w:rsidP="00536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C9"/>
    <w:rsid w:val="00037281"/>
    <w:rsid w:val="00163637"/>
    <w:rsid w:val="00225E97"/>
    <w:rsid w:val="00257BC8"/>
    <w:rsid w:val="002A04CD"/>
    <w:rsid w:val="002A6F6C"/>
    <w:rsid w:val="00301820"/>
    <w:rsid w:val="00303D86"/>
    <w:rsid w:val="00320094"/>
    <w:rsid w:val="003639A2"/>
    <w:rsid w:val="00382C1A"/>
    <w:rsid w:val="003A384B"/>
    <w:rsid w:val="003F7BC7"/>
    <w:rsid w:val="00437086"/>
    <w:rsid w:val="004656F1"/>
    <w:rsid w:val="004657F7"/>
    <w:rsid w:val="004A57F1"/>
    <w:rsid w:val="004E7B2A"/>
    <w:rsid w:val="00536D68"/>
    <w:rsid w:val="005473A0"/>
    <w:rsid w:val="005B2B8B"/>
    <w:rsid w:val="006C78CF"/>
    <w:rsid w:val="006D7C6C"/>
    <w:rsid w:val="007331C9"/>
    <w:rsid w:val="007434CA"/>
    <w:rsid w:val="007A55B9"/>
    <w:rsid w:val="007B7232"/>
    <w:rsid w:val="008078E8"/>
    <w:rsid w:val="00815B38"/>
    <w:rsid w:val="008359C8"/>
    <w:rsid w:val="00860C00"/>
    <w:rsid w:val="00865850"/>
    <w:rsid w:val="008E3889"/>
    <w:rsid w:val="009127C1"/>
    <w:rsid w:val="00926A61"/>
    <w:rsid w:val="009642A0"/>
    <w:rsid w:val="0098051D"/>
    <w:rsid w:val="00A745EE"/>
    <w:rsid w:val="00B032EF"/>
    <w:rsid w:val="00B62DA0"/>
    <w:rsid w:val="00BD3D62"/>
    <w:rsid w:val="00BD7467"/>
    <w:rsid w:val="00C33DCC"/>
    <w:rsid w:val="00C85B1A"/>
    <w:rsid w:val="00D310A1"/>
    <w:rsid w:val="00D715CE"/>
    <w:rsid w:val="00DD0ABE"/>
    <w:rsid w:val="00DE2D2C"/>
    <w:rsid w:val="00E556D5"/>
    <w:rsid w:val="00E602EA"/>
    <w:rsid w:val="00E6404C"/>
    <w:rsid w:val="00E81786"/>
    <w:rsid w:val="00F20C1E"/>
    <w:rsid w:val="00F516B2"/>
    <w:rsid w:val="00FD04EC"/>
    <w:rsid w:val="00FD7C6C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CA36D"/>
  <w15:chartTrackingRefBased/>
  <w15:docId w15:val="{AE457BC6-2204-43B2-805E-EDCC783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6D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36D68"/>
  </w:style>
  <w:style w:type="paragraph" w:styleId="a5">
    <w:name w:val="footer"/>
    <w:basedOn w:val="a"/>
    <w:link w:val="Char0"/>
    <w:uiPriority w:val="99"/>
    <w:unhideWhenUsed/>
    <w:rsid w:val="00536D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36D68"/>
  </w:style>
  <w:style w:type="character" w:styleId="a6">
    <w:name w:val="annotation reference"/>
    <w:basedOn w:val="a0"/>
    <w:uiPriority w:val="99"/>
    <w:semiHidden/>
    <w:unhideWhenUsed/>
    <w:rsid w:val="00037281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037281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037281"/>
  </w:style>
  <w:style w:type="paragraph" w:styleId="a8">
    <w:name w:val="Balloon Text"/>
    <w:basedOn w:val="a"/>
    <w:link w:val="Char2"/>
    <w:uiPriority w:val="99"/>
    <w:semiHidden/>
    <w:unhideWhenUsed/>
    <w:rsid w:val="000372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0372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865850"/>
    <w:rPr>
      <w:color w:val="808080"/>
    </w:rPr>
  </w:style>
  <w:style w:type="paragraph" w:styleId="aa">
    <w:name w:val="No Spacing"/>
    <w:uiPriority w:val="1"/>
    <w:qFormat/>
    <w:rsid w:val="007A55B9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7A55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FCC5-203F-4771-8788-3F992EED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Gi Kim</dc:creator>
  <cp:keywords/>
  <dc:description/>
  <cp:lastModifiedBy>user</cp:lastModifiedBy>
  <cp:revision>3</cp:revision>
  <dcterms:created xsi:type="dcterms:W3CDTF">2018-01-12T13:04:00Z</dcterms:created>
  <dcterms:modified xsi:type="dcterms:W3CDTF">2018-01-12T13:05:00Z</dcterms:modified>
</cp:coreProperties>
</file>