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C" w:rsidRPr="00CC005E" w:rsidRDefault="004F60FC" w:rsidP="004F60FC">
      <w:pPr>
        <w:tabs>
          <w:tab w:val="left" w:pos="2567"/>
        </w:tabs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S2. Table</w:t>
      </w:r>
      <w:r w:rsidRPr="00CC005E">
        <w:rPr>
          <w:rFonts w:ascii="Times New Roman" w:eastAsia="Times New Roman" w:hAnsi="Times New Roman" w:cs="Times New Roman"/>
          <w:color w:val="000000"/>
          <w:lang w:eastAsia="en-AU"/>
        </w:rPr>
        <w:t>: Multilevel logistic regression analysis for the association between LGA level income inequality and inadequate dentition (No. of Areas= 428; N of individuals=4,768)</w:t>
      </w:r>
    </w:p>
    <w:tbl>
      <w:tblPr>
        <w:tblW w:w="1823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89"/>
        <w:gridCol w:w="1683"/>
        <w:gridCol w:w="673"/>
        <w:gridCol w:w="931"/>
        <w:gridCol w:w="888"/>
        <w:gridCol w:w="1247"/>
        <w:gridCol w:w="711"/>
        <w:gridCol w:w="1246"/>
        <w:gridCol w:w="889"/>
        <w:gridCol w:w="1246"/>
        <w:gridCol w:w="711"/>
        <w:gridCol w:w="1246"/>
        <w:gridCol w:w="1020"/>
        <w:gridCol w:w="993"/>
        <w:gridCol w:w="3065"/>
      </w:tblGrid>
      <w:tr w:rsidR="004F60FC" w:rsidRPr="0093173C" w:rsidTr="002832AD">
        <w:trPr>
          <w:gridAfter w:val="1"/>
          <w:wAfter w:w="3065" w:type="dxa"/>
          <w:trHeight w:val="182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Null Model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Model 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Model 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Model 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Model 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Model 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gridAfter w:val="1"/>
          <w:wAfter w:w="3065" w:type="dxa"/>
          <w:trHeight w:val="57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Categories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OR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95%CI</w:t>
            </w: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 w:val="restart"/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Income Inequality (Gini)</w:t>
            </w: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Medium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1247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0.89, 1.37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0.69, 1.09</w:t>
            </w: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0.69, 1.08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0.69, 1.09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0.70, 1.11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High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0.59</w:t>
            </w:r>
          </w:p>
        </w:tc>
        <w:tc>
          <w:tcPr>
            <w:tcW w:w="1247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0.46, 0.75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0.43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0.33, 0.56</w:t>
            </w: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0.43, 0.77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0.45, 0.81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0.64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0.48, 0.87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 w:val="restart"/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noProof/>
                <w:sz w:val="20"/>
                <w:szCs w:val="20"/>
                <w:lang w:eastAsia="en-AU"/>
              </w:rPr>
              <w:t>Mean</w:t>
            </w:r>
            <w:r w:rsidRPr="0093173C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weekly household income</w:t>
            </w: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High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Medium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1.59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1.24, 2.05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1.43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1.11, 1.85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1.44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1.12, 1.86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1.73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1.30, 2.31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1.40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1.04, 1.87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1.37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1.00, 1.88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Age </w:t>
            </w: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noProof/>
                <w:color w:val="000000"/>
                <w:sz w:val="20"/>
                <w:szCs w:val="20"/>
                <w:lang w:eastAsia="en-AU"/>
              </w:rPr>
              <w:t>1-year</w:t>
            </w: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 change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1.08, 1.10</w:t>
            </w: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1.08, 1.10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1.07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1.06, 1.08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1.07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1.06, 1.08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noWrap/>
            <w:hideMark/>
          </w:tcPr>
          <w:p w:rsidR="004F60FC" w:rsidRPr="0093173C" w:rsidRDefault="004F60FC" w:rsidP="002832A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AU"/>
              </w:rPr>
              <w:t>0.75, 1.09</w:t>
            </w:r>
          </w:p>
        </w:tc>
        <w:tc>
          <w:tcPr>
            <w:tcW w:w="889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0.76, 1.10</w:t>
            </w: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0.79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0.65, 0.96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0.79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0.65, 0.96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 w:val="restart"/>
            <w:noWrap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Household Income </w:t>
            </w: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$100K and above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vAlign w:val="center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80K &lt; 100k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1.79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1.12, 2.86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1.79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1.13, 2.87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vAlign w:val="center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50k &lt; 80k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2.55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1.75, 3.71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2.56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1.76, 3.73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vAlign w:val="center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20k &lt; 50k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3.91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2.75, 5.58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3.97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2.78, 5.66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  <w:vMerge/>
            <w:vAlign w:val="center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Less than 20k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6.49</w:t>
            </w:r>
          </w:p>
        </w:tc>
        <w:tc>
          <w:tcPr>
            <w:tcW w:w="1246" w:type="dxa"/>
            <w:noWrap/>
            <w:vAlign w:val="bottom"/>
            <w:hideMark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4.38, 9.61</w:t>
            </w: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4.42, 9.72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Remoteness</w:t>
            </w:r>
          </w:p>
        </w:tc>
        <w:tc>
          <w:tcPr>
            <w:tcW w:w="1683" w:type="dxa"/>
            <w:noWrap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Major City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Inner Regional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0.84, 1.43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57"/>
        </w:trPr>
        <w:tc>
          <w:tcPr>
            <w:tcW w:w="1689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noWrap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Outer Regional</w:t>
            </w:r>
          </w:p>
        </w:tc>
        <w:tc>
          <w:tcPr>
            <w:tcW w:w="673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1.04</w:t>
            </w:r>
          </w:p>
        </w:tc>
        <w:tc>
          <w:tcPr>
            <w:tcW w:w="993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0.75, 1.44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F60FC" w:rsidRPr="0093173C" w:rsidTr="002832AD">
        <w:trPr>
          <w:trHeight w:val="274"/>
        </w:trPr>
        <w:tc>
          <w:tcPr>
            <w:tcW w:w="1689" w:type="dxa"/>
            <w:tcBorders>
              <w:bottom w:val="single" w:sz="4" w:space="0" w:color="auto"/>
            </w:tcBorders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Remote/Very Remote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bottom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1.55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93173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0.98, 2.44</w:t>
            </w:r>
          </w:p>
        </w:tc>
        <w:tc>
          <w:tcPr>
            <w:tcW w:w="3065" w:type="dxa"/>
          </w:tcPr>
          <w:p w:rsidR="004F60FC" w:rsidRPr="0093173C" w:rsidRDefault="004F60FC" w:rsidP="002832AD">
            <w:pPr>
              <w:pStyle w:val="NoSpacing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4F60FC" w:rsidRDefault="004F60FC">
      <w:r w:rsidRPr="00BD2358">
        <w:rPr>
          <w:rFonts w:ascii="Arial Narrow" w:eastAsia="Times New Roman" w:hAnsi="Arial Narrow" w:cs="Arial"/>
          <w:color w:val="000000"/>
          <w:sz w:val="20"/>
          <w:szCs w:val="20"/>
          <w:lang w:eastAsia="en-AU"/>
        </w:rPr>
        <w:t xml:space="preserve">Model 1: Unadjusted; Model 2: Adjusted for age and sex; Model 3: Adjusted for age, sex, LGA level mean income; Model 4:  Adjusted for age, sex, LGA level mean income and </w:t>
      </w:r>
      <w:r w:rsidRPr="00BD2358">
        <w:rPr>
          <w:rFonts w:ascii="Arial Narrow" w:hAnsi="Arial Narrow" w:cs="Times New Roman"/>
          <w:sz w:val="20"/>
          <w:szCs w:val="20"/>
        </w:rPr>
        <w:t>household</w:t>
      </w:r>
      <w:r w:rsidRPr="00BD2358">
        <w:rPr>
          <w:rFonts w:ascii="Arial Narrow" w:eastAsia="Times New Roman" w:hAnsi="Arial Narrow" w:cs="Arial"/>
          <w:color w:val="000000"/>
          <w:sz w:val="20"/>
          <w:szCs w:val="20"/>
          <w:lang w:eastAsia="en-AU"/>
        </w:rPr>
        <w:t xml:space="preserve"> income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en-AU"/>
        </w:rPr>
        <w:t xml:space="preserve">; </w:t>
      </w:r>
      <w:r w:rsidRPr="005F61A3">
        <w:rPr>
          <w:rFonts w:ascii="Arial Narrow" w:eastAsia="Times New Roman" w:hAnsi="Arial Narrow" w:cs="Arial"/>
          <w:color w:val="000000"/>
          <w:sz w:val="20"/>
          <w:szCs w:val="20"/>
        </w:rPr>
        <w:t>ICC: Intra-class Coefficient, MOR: Median Odds Ratio, DIC: Deviance Information Criterion</w:t>
      </w:r>
      <w:bookmarkStart w:id="0" w:name="_GoBack"/>
      <w:bookmarkEnd w:id="0"/>
    </w:p>
    <w:sectPr w:rsidR="004F60FC" w:rsidSect="004F6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C"/>
    <w:rsid w:val="004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F8F3-3A92-4879-894A-87EA7274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Singh</dc:creator>
  <cp:keywords/>
  <dc:description/>
  <cp:lastModifiedBy>Ankur Singh</cp:lastModifiedBy>
  <cp:revision>1</cp:revision>
  <dcterms:created xsi:type="dcterms:W3CDTF">2018-01-10T02:16:00Z</dcterms:created>
  <dcterms:modified xsi:type="dcterms:W3CDTF">2018-01-10T02:17:00Z</dcterms:modified>
</cp:coreProperties>
</file>