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7C" w:rsidRPr="009228E1" w:rsidRDefault="00CA137C" w:rsidP="00064334">
      <w:pPr>
        <w:jc w:val="both"/>
        <w:rPr>
          <w:rFonts w:cs="Calibri"/>
          <w:b/>
          <w:lang w:val="en-US" w:eastAsia="pl-PL"/>
        </w:rPr>
      </w:pPr>
      <w:r w:rsidRPr="009228E1">
        <w:rPr>
          <w:rFonts w:cs="Calibri"/>
          <w:b/>
          <w:lang w:val="en-US" w:eastAsia="pl-PL"/>
        </w:rPr>
        <w:t>Additional information on proteins of which expression was affected by DIO1 in renal cancer cells.</w:t>
      </w:r>
    </w:p>
    <w:p w:rsidR="00CA137C" w:rsidRPr="009228E1" w:rsidRDefault="00CA137C" w:rsidP="00064334">
      <w:pPr>
        <w:spacing w:line="360" w:lineRule="auto"/>
        <w:jc w:val="both"/>
        <w:rPr>
          <w:rFonts w:cs="Calibri"/>
          <w:lang w:val="en-US" w:eastAsia="pl-PL"/>
        </w:rPr>
      </w:pPr>
      <w:proofErr w:type="spellStart"/>
      <w:r w:rsidRPr="009228E1">
        <w:rPr>
          <w:rFonts w:cs="Calibri"/>
          <w:lang w:val="en-US" w:eastAsia="pl-PL"/>
        </w:rPr>
        <w:t>Transketolase</w:t>
      </w:r>
      <w:proofErr w:type="spellEnd"/>
      <w:r w:rsidRPr="009228E1">
        <w:rPr>
          <w:rFonts w:cs="Calibri"/>
          <w:lang w:val="en-US" w:eastAsia="pl-PL"/>
        </w:rPr>
        <w:t xml:space="preserve"> (TKT) is one of the PPP enzymes that generates ribose-5-phosphate (R5P) and NADPH [1]. Cancer cells require R5P for nucleotide synthesis, while NADPH is used in reductive detoxification needed for protection against oxidative stress. R5P is synthesized in the oxidative phase of the PPP in which glucose-6-phosphate dehydrogenase (G6PD) oxidizes G6P, generating NADPH and subsequently R5P. In the non-oxidative PPP phase, glyceraldehyde-3-phosphate and fructose-6-phosphate are converted to R5P. Activation of TKT leads to reversal conversion of R5P to F6P and G6P with generation of NADPH, contributing to redox homeostasis [1]. In </w:t>
      </w:r>
      <w:proofErr w:type="spellStart"/>
      <w:r w:rsidRPr="009228E1">
        <w:rPr>
          <w:rFonts w:cs="Calibri"/>
          <w:lang w:val="en-US" w:eastAsia="pl-PL"/>
        </w:rPr>
        <w:t>ccRCC</w:t>
      </w:r>
      <w:proofErr w:type="spellEnd"/>
      <w:r w:rsidRPr="009228E1">
        <w:rPr>
          <w:rFonts w:cs="Calibri"/>
          <w:lang w:val="en-US" w:eastAsia="pl-PL"/>
        </w:rPr>
        <w:t xml:space="preserve"> tumors, the metabolism of sugars is rerouted towards PPP, providing both substrates for anabolic reactions as well as </w:t>
      </w:r>
      <w:proofErr w:type="spellStart"/>
      <w:r w:rsidRPr="009228E1">
        <w:rPr>
          <w:rFonts w:cs="Calibri"/>
          <w:lang w:val="en-US" w:eastAsia="pl-PL"/>
        </w:rPr>
        <w:t>antioxidative</w:t>
      </w:r>
      <w:proofErr w:type="spellEnd"/>
      <w:r w:rsidRPr="009228E1">
        <w:rPr>
          <w:rFonts w:cs="Calibri"/>
          <w:lang w:val="en-US" w:eastAsia="pl-PL"/>
        </w:rPr>
        <w:t xml:space="preserve"> protection [2].</w:t>
      </w:r>
    </w:p>
    <w:p w:rsidR="00CA137C" w:rsidRPr="009228E1" w:rsidRDefault="00CA137C" w:rsidP="00064334">
      <w:pPr>
        <w:spacing w:line="360" w:lineRule="auto"/>
        <w:jc w:val="both"/>
        <w:rPr>
          <w:rFonts w:cs="Calibri"/>
          <w:lang w:val="en-US" w:eastAsia="pl-PL"/>
        </w:rPr>
      </w:pPr>
      <w:r w:rsidRPr="009228E1">
        <w:rPr>
          <w:rFonts w:cs="Calibri"/>
          <w:lang w:val="en-US" w:eastAsia="pl-PL"/>
        </w:rPr>
        <w:t xml:space="preserve">Nicotinamide </w:t>
      </w:r>
      <w:proofErr w:type="spellStart"/>
      <w:r w:rsidRPr="009228E1">
        <w:rPr>
          <w:rFonts w:cs="Calibri"/>
          <w:lang w:val="en-US" w:eastAsia="pl-PL"/>
        </w:rPr>
        <w:t>phosphoribosyltransferase</w:t>
      </w:r>
      <w:proofErr w:type="spellEnd"/>
      <w:r w:rsidRPr="009228E1">
        <w:rPr>
          <w:rFonts w:cs="Calibri"/>
          <w:lang w:val="en-US" w:eastAsia="pl-PL"/>
        </w:rPr>
        <w:t xml:space="preserve"> (NAMPT) is a critical enzyme of the first-rate limiting step in conversion of nicotinamide to NAD+, essential for many metabolic pathways, including NADP synthesis. Decreased expression or inhibition of NAMPT attenuates glycolysis downstream of glyceraldehyde 3-phosphate dehydrogenase, increases the activity of the non-oxidative PPP branch, and results in attenuation of the TCA cycle [3]. In </w:t>
      </w:r>
      <w:proofErr w:type="spellStart"/>
      <w:r w:rsidRPr="009228E1">
        <w:rPr>
          <w:rFonts w:cs="Calibri"/>
          <w:lang w:val="en-US" w:eastAsia="pl-PL"/>
        </w:rPr>
        <w:t>ccRCC</w:t>
      </w:r>
      <w:proofErr w:type="spellEnd"/>
      <w:r w:rsidRPr="009228E1">
        <w:rPr>
          <w:rFonts w:cs="Calibri"/>
          <w:lang w:val="en-US" w:eastAsia="pl-PL"/>
        </w:rPr>
        <w:t xml:space="preserve"> cells, NAMPT inhibition attenuates their growth [4], underscoring the significance of this enzyme for cancer cell survival.</w:t>
      </w:r>
    </w:p>
    <w:p w:rsidR="00CA137C" w:rsidRPr="009228E1" w:rsidRDefault="00CA137C" w:rsidP="00064334">
      <w:pPr>
        <w:spacing w:line="360" w:lineRule="auto"/>
        <w:jc w:val="both"/>
        <w:rPr>
          <w:rFonts w:cs="Calibri"/>
          <w:lang w:val="en-US" w:eastAsia="pl-PL"/>
        </w:rPr>
      </w:pPr>
      <w:r w:rsidRPr="009228E1">
        <w:rPr>
          <w:rFonts w:cs="Calibri"/>
          <w:lang w:val="en-US" w:eastAsia="pl-PL"/>
        </w:rPr>
        <w:t xml:space="preserve">IDH2 is a mitochondrial isoform of </w:t>
      </w:r>
      <w:proofErr w:type="spellStart"/>
      <w:r w:rsidRPr="009228E1">
        <w:rPr>
          <w:rFonts w:cs="Calibri"/>
          <w:lang w:val="en-US" w:eastAsia="pl-PL"/>
        </w:rPr>
        <w:t>isocitrate</w:t>
      </w:r>
      <w:proofErr w:type="spellEnd"/>
      <w:r w:rsidRPr="009228E1">
        <w:rPr>
          <w:rFonts w:cs="Calibri"/>
          <w:lang w:val="en-US" w:eastAsia="pl-PL"/>
        </w:rPr>
        <w:t xml:space="preserve"> dehydrogenase. In hypoxic conditions, activation of IDH2 leads to reductive carboxylation of α-ketoglutarate, supporting citrate production at the expense of NADPH that donates hydrogen for α-ketoglutarate reduction. This is the major source of citrate synthesis from glutamine [5]. In </w:t>
      </w:r>
      <w:proofErr w:type="spellStart"/>
      <w:r w:rsidRPr="009228E1">
        <w:rPr>
          <w:rFonts w:cs="Calibri"/>
          <w:lang w:val="en-US" w:eastAsia="pl-PL"/>
        </w:rPr>
        <w:t>ccRCC</w:t>
      </w:r>
      <w:proofErr w:type="spellEnd"/>
      <w:r w:rsidRPr="009228E1">
        <w:rPr>
          <w:rFonts w:cs="Calibri"/>
          <w:lang w:val="en-US" w:eastAsia="pl-PL"/>
        </w:rPr>
        <w:t xml:space="preserve"> cells, citrate is further utilized for FFA synthesis that leads to lipid accumulation in cytosol and contributes to the clear cytosolic appearance of </w:t>
      </w:r>
      <w:proofErr w:type="spellStart"/>
      <w:r w:rsidRPr="009228E1">
        <w:rPr>
          <w:rFonts w:cs="Calibri"/>
          <w:lang w:val="en-US" w:eastAsia="pl-PL"/>
        </w:rPr>
        <w:t>ccRCC</w:t>
      </w:r>
      <w:proofErr w:type="spellEnd"/>
      <w:r w:rsidRPr="009228E1">
        <w:rPr>
          <w:rFonts w:cs="Calibri"/>
          <w:lang w:val="en-US" w:eastAsia="pl-PL"/>
        </w:rPr>
        <w:t xml:space="preserve"> cells [6]. Finally, </w:t>
      </w:r>
      <w:proofErr w:type="spellStart"/>
      <w:r w:rsidRPr="009228E1">
        <w:rPr>
          <w:rFonts w:cs="Calibri"/>
          <w:lang w:val="en-US" w:eastAsia="pl-PL"/>
        </w:rPr>
        <w:t>ccRCC</w:t>
      </w:r>
      <w:proofErr w:type="spellEnd"/>
      <w:r w:rsidRPr="009228E1">
        <w:rPr>
          <w:rFonts w:cs="Calibri"/>
          <w:lang w:val="en-US" w:eastAsia="pl-PL"/>
        </w:rPr>
        <w:t xml:space="preserve"> cells are highly dependent on extracellular amino acids [7]. To sustain their high amino acids demands, </w:t>
      </w:r>
      <w:proofErr w:type="spellStart"/>
      <w:r w:rsidRPr="009228E1">
        <w:rPr>
          <w:rFonts w:cs="Calibri"/>
          <w:lang w:val="en-US" w:eastAsia="pl-PL"/>
        </w:rPr>
        <w:t>ccRCC</w:t>
      </w:r>
      <w:proofErr w:type="spellEnd"/>
      <w:r w:rsidRPr="009228E1">
        <w:rPr>
          <w:rFonts w:cs="Calibri"/>
          <w:lang w:val="en-US" w:eastAsia="pl-PL"/>
        </w:rPr>
        <w:t xml:space="preserve"> cells express increased levels of amino acid transporters [8,9].</w:t>
      </w:r>
    </w:p>
    <w:p w:rsidR="00CA137C" w:rsidRPr="009228E1" w:rsidRDefault="00CA137C" w:rsidP="00064334">
      <w:pPr>
        <w:spacing w:line="360" w:lineRule="auto"/>
        <w:jc w:val="both"/>
        <w:rPr>
          <w:lang w:val="en-US"/>
        </w:rPr>
      </w:pPr>
      <w:r w:rsidRPr="009228E1">
        <w:rPr>
          <w:rFonts w:cs="Calibri"/>
          <w:lang w:val="en-US" w:eastAsia="pl-PL"/>
        </w:rPr>
        <w:t xml:space="preserve">NDUFA3 subunit of mitochondrial </w:t>
      </w:r>
      <w:r w:rsidRPr="009228E1">
        <w:rPr>
          <w:lang w:val="en-US"/>
        </w:rPr>
        <w:t>complex I (</w:t>
      </w:r>
      <w:proofErr w:type="spellStart"/>
      <w:r w:rsidRPr="009228E1">
        <w:rPr>
          <w:lang w:val="en-US"/>
        </w:rPr>
        <w:t>NADH_ubiquinone</w:t>
      </w:r>
      <w:proofErr w:type="spellEnd"/>
      <w:r w:rsidRPr="009228E1">
        <w:rPr>
          <w:lang w:val="en-US"/>
        </w:rPr>
        <w:t xml:space="preserve"> oxidoreductase). Complex I is one of the elements of the respiratory chain that contributes to the H</w:t>
      </w:r>
      <w:r w:rsidRPr="009228E1">
        <w:rPr>
          <w:vertAlign w:val="superscript"/>
          <w:lang w:val="en-US"/>
        </w:rPr>
        <w:t>+</w:t>
      </w:r>
      <w:r w:rsidRPr="009228E1">
        <w:rPr>
          <w:lang w:val="en-US"/>
        </w:rPr>
        <w:t xml:space="preserve"> gradient across mitochondrial inner membrane [10]. It catalyzes the first step of NADH oxidation. In </w:t>
      </w:r>
      <w:proofErr w:type="spellStart"/>
      <w:r w:rsidRPr="009228E1">
        <w:rPr>
          <w:lang w:val="en-US"/>
        </w:rPr>
        <w:t>ccRCC</w:t>
      </w:r>
      <w:proofErr w:type="spellEnd"/>
      <w:r w:rsidRPr="009228E1">
        <w:rPr>
          <w:lang w:val="en-US"/>
        </w:rPr>
        <w:t xml:space="preserve"> the expression of mitochondrial complex I is decreased [11]. Suppression of mitochondrial complex I activity reduces NAD+/NADH ratios in breast cancer cells and enhances their metastatic potential. In contrast, enhanced complex I activity reduces metastatic growth by inducing autophagy via </w:t>
      </w:r>
      <w:proofErr w:type="spellStart"/>
      <w:r w:rsidRPr="009228E1">
        <w:rPr>
          <w:lang w:val="en-US"/>
        </w:rPr>
        <w:t>mTORC</w:t>
      </w:r>
      <w:proofErr w:type="spellEnd"/>
      <w:r w:rsidRPr="009228E1">
        <w:rPr>
          <w:lang w:val="en-US"/>
        </w:rPr>
        <w:t>/</w:t>
      </w:r>
      <w:proofErr w:type="spellStart"/>
      <w:r w:rsidRPr="009228E1">
        <w:rPr>
          <w:lang w:val="en-US"/>
        </w:rPr>
        <w:t>Akt</w:t>
      </w:r>
      <w:proofErr w:type="spellEnd"/>
      <w:r w:rsidRPr="009228E1">
        <w:rPr>
          <w:lang w:val="en-US"/>
        </w:rPr>
        <w:t xml:space="preserve"> involving mechanism [12].</w:t>
      </w:r>
    </w:p>
    <w:p w:rsidR="00CA137C" w:rsidRPr="009228E1" w:rsidRDefault="00CA137C" w:rsidP="00064334">
      <w:pPr>
        <w:spacing w:line="360" w:lineRule="auto"/>
        <w:jc w:val="both"/>
        <w:rPr>
          <w:lang w:val="en-US"/>
        </w:rPr>
      </w:pPr>
      <w:r w:rsidRPr="009228E1">
        <w:rPr>
          <w:lang w:val="en-US"/>
        </w:rPr>
        <w:t>CYP4F11 belongs to the family of cytochrome P450 monooxygenases that catalyze metabolism of fatty acids [13].</w:t>
      </w:r>
    </w:p>
    <w:p w:rsidR="00CA137C" w:rsidRPr="009228E1" w:rsidRDefault="00CA137C" w:rsidP="00064334">
      <w:pPr>
        <w:spacing w:line="360" w:lineRule="auto"/>
        <w:jc w:val="both"/>
        <w:rPr>
          <w:rFonts w:cs="Calibri"/>
          <w:lang w:val="en-US" w:eastAsia="pl-PL"/>
        </w:rPr>
      </w:pPr>
      <w:r w:rsidRPr="009228E1">
        <w:rPr>
          <w:rFonts w:cs="Calibri"/>
          <w:lang w:val="en-US" w:eastAsia="pl-PL"/>
        </w:rPr>
        <w:lastRenderedPageBreak/>
        <w:t xml:space="preserve">ANPEP belongs to the family of zinc </w:t>
      </w:r>
      <w:proofErr w:type="spellStart"/>
      <w:r w:rsidRPr="009228E1">
        <w:rPr>
          <w:rFonts w:cs="Calibri"/>
          <w:lang w:val="en-US" w:eastAsia="pl-PL"/>
        </w:rPr>
        <w:t>metalloenzymes</w:t>
      </w:r>
      <w:proofErr w:type="spellEnd"/>
      <w:r w:rsidRPr="009228E1">
        <w:rPr>
          <w:rFonts w:cs="Calibri"/>
          <w:lang w:val="en-US" w:eastAsia="pl-PL"/>
        </w:rPr>
        <w:t xml:space="preserve"> that preferentially cleave amino acids at neutral N-terminus of the protein. The levels of aminopeptidase N are elevated in cancers and often correlate with worse prognosis for patients. ANPEP actively contributes to cancer progression by promoting angiogenesis, migration and invasion of cancer cells. Inhibition of ANPEP activity by small compounds as well as targeting antibodies inhibits tumor progression in mouse models. Hence, ANPEP is considered as an important therapeutic target for treatment of many cancers [14</w:t>
      </w:r>
      <w:r w:rsidRPr="009228E1">
        <w:rPr>
          <w:lang w:val="en-US"/>
        </w:rPr>
        <w:t>]</w:t>
      </w:r>
      <w:r w:rsidRPr="009228E1">
        <w:rPr>
          <w:rFonts w:cs="Calibri"/>
          <w:lang w:val="en-US" w:eastAsia="pl-PL"/>
        </w:rPr>
        <w:t>. In our study, DIO1 expression reduced ANPEP levels by nearly 9-fold (Table 2).</w:t>
      </w:r>
    </w:p>
    <w:p w:rsidR="00CA137C" w:rsidRPr="009228E1" w:rsidRDefault="00CA137C" w:rsidP="00064334">
      <w:pPr>
        <w:spacing w:line="360" w:lineRule="auto"/>
        <w:jc w:val="both"/>
        <w:rPr>
          <w:rFonts w:cs="Calibri"/>
          <w:lang w:val="en-US" w:eastAsia="pl-PL"/>
        </w:rPr>
      </w:pPr>
      <w:r w:rsidRPr="009228E1">
        <w:rPr>
          <w:rFonts w:cs="Calibri"/>
          <w:lang w:val="en-US" w:eastAsia="pl-PL"/>
        </w:rPr>
        <w:t>Depletion of TBC1D2 and NMI impairs biogenesis of autolysosomes and autophagy induction, respectively [15].</w:t>
      </w:r>
    </w:p>
    <w:p w:rsidR="00CA137C" w:rsidRPr="009228E1" w:rsidRDefault="00CA137C" w:rsidP="00064334">
      <w:pPr>
        <w:spacing w:line="360" w:lineRule="auto"/>
        <w:jc w:val="both"/>
        <w:rPr>
          <w:b/>
          <w:sz w:val="20"/>
          <w:szCs w:val="20"/>
          <w:lang w:val="en-US"/>
        </w:rPr>
      </w:pPr>
      <w:r w:rsidRPr="009228E1">
        <w:rPr>
          <w:b/>
          <w:sz w:val="20"/>
          <w:szCs w:val="20"/>
          <w:lang w:val="en-US"/>
        </w:rPr>
        <w:t>References:</w:t>
      </w:r>
    </w:p>
    <w:p w:rsidR="00CA137C" w:rsidRPr="009228E1" w:rsidRDefault="00CA137C" w:rsidP="005F4C0E">
      <w:pPr>
        <w:numPr>
          <w:ilvl w:val="0"/>
          <w:numId w:val="1"/>
        </w:numPr>
        <w:spacing w:after="0" w:line="276" w:lineRule="auto"/>
        <w:ind w:left="714" w:hanging="357"/>
        <w:jc w:val="both"/>
        <w:rPr>
          <w:sz w:val="20"/>
          <w:szCs w:val="20"/>
          <w:lang w:val="en-US"/>
        </w:rPr>
      </w:pPr>
      <w:proofErr w:type="spellStart"/>
      <w:r w:rsidRPr="009228E1">
        <w:rPr>
          <w:sz w:val="20"/>
          <w:szCs w:val="20"/>
          <w:lang w:val="en-US"/>
        </w:rPr>
        <w:t>Pinthus</w:t>
      </w:r>
      <w:proofErr w:type="spellEnd"/>
      <w:r w:rsidRPr="009228E1">
        <w:rPr>
          <w:sz w:val="20"/>
          <w:szCs w:val="20"/>
          <w:lang w:val="en-US"/>
        </w:rPr>
        <w:t xml:space="preserve"> JH, Whelan KF, </w:t>
      </w:r>
      <w:proofErr w:type="spellStart"/>
      <w:r w:rsidRPr="009228E1">
        <w:rPr>
          <w:sz w:val="20"/>
          <w:szCs w:val="20"/>
          <w:lang w:val="en-US"/>
        </w:rPr>
        <w:t>Gallino</w:t>
      </w:r>
      <w:proofErr w:type="spellEnd"/>
      <w:r w:rsidRPr="009228E1">
        <w:rPr>
          <w:sz w:val="20"/>
          <w:szCs w:val="20"/>
          <w:lang w:val="en-US"/>
        </w:rPr>
        <w:t xml:space="preserve"> D, Lu JP, Rothschild N. Metabolic features of clear-cell renal cell carcinoma: mechanisms and clinical implications. Can </w:t>
      </w:r>
      <w:proofErr w:type="spellStart"/>
      <w:r w:rsidRPr="009228E1">
        <w:rPr>
          <w:sz w:val="20"/>
          <w:szCs w:val="20"/>
          <w:lang w:val="en-US"/>
        </w:rPr>
        <w:t>Urol</w:t>
      </w:r>
      <w:proofErr w:type="spellEnd"/>
      <w:r w:rsidRPr="009228E1">
        <w:rPr>
          <w:sz w:val="20"/>
          <w:szCs w:val="20"/>
          <w:lang w:val="en-US"/>
        </w:rPr>
        <w:t xml:space="preserve"> </w:t>
      </w:r>
      <w:proofErr w:type="spellStart"/>
      <w:r w:rsidRPr="009228E1">
        <w:rPr>
          <w:sz w:val="20"/>
          <w:szCs w:val="20"/>
          <w:lang w:val="en-US"/>
        </w:rPr>
        <w:t>Assoc</w:t>
      </w:r>
      <w:proofErr w:type="spellEnd"/>
      <w:r w:rsidRPr="009228E1">
        <w:rPr>
          <w:sz w:val="20"/>
          <w:szCs w:val="20"/>
          <w:lang w:val="en-US"/>
        </w:rPr>
        <w:t xml:space="preserve"> J. 2011;5: 274-282. </w:t>
      </w:r>
      <w:proofErr w:type="spellStart"/>
      <w:r w:rsidRPr="009228E1">
        <w:rPr>
          <w:sz w:val="20"/>
          <w:szCs w:val="20"/>
          <w:lang w:val="en-US"/>
        </w:rPr>
        <w:t>doi</w:t>
      </w:r>
      <w:proofErr w:type="spellEnd"/>
      <w:r w:rsidRPr="009228E1">
        <w:rPr>
          <w:sz w:val="20"/>
          <w:szCs w:val="20"/>
          <w:lang w:val="en-US"/>
        </w:rPr>
        <w:t>: 10.5489/cuaj.10196.</w:t>
      </w:r>
    </w:p>
    <w:p w:rsidR="00CA137C" w:rsidRPr="009228E1" w:rsidRDefault="00CA137C" w:rsidP="005F4C0E">
      <w:pPr>
        <w:numPr>
          <w:ilvl w:val="0"/>
          <w:numId w:val="1"/>
        </w:numPr>
        <w:spacing w:after="0" w:line="276" w:lineRule="auto"/>
        <w:ind w:left="714" w:hanging="357"/>
        <w:jc w:val="both"/>
        <w:rPr>
          <w:sz w:val="20"/>
          <w:szCs w:val="20"/>
          <w:lang w:val="en-US"/>
        </w:rPr>
      </w:pPr>
      <w:r w:rsidRPr="009228E1">
        <w:rPr>
          <w:sz w:val="20"/>
          <w:szCs w:val="20"/>
          <w:lang w:val="it-IT"/>
        </w:rPr>
        <w:t xml:space="preserve">Lucarelli G, Galleggiante V, Rutigliano M, Sanguedolce F, Cagiano S, Bufo P, et al. </w:t>
      </w:r>
      <w:proofErr w:type="spellStart"/>
      <w:r w:rsidRPr="009228E1">
        <w:rPr>
          <w:sz w:val="20"/>
          <w:szCs w:val="20"/>
          <w:lang w:val="en-US"/>
        </w:rPr>
        <w:t>Metabolomic</w:t>
      </w:r>
      <w:proofErr w:type="spellEnd"/>
      <w:r w:rsidRPr="009228E1">
        <w:rPr>
          <w:sz w:val="20"/>
          <w:szCs w:val="20"/>
          <w:lang w:val="en-US"/>
        </w:rPr>
        <w:t xml:space="preserve"> profile of glycolysis and the pentose phosphate pathway identifies the central role of glucose-6-phosphate dehydrogenase in clear cell-renal cell carcinoma. </w:t>
      </w:r>
      <w:proofErr w:type="spellStart"/>
      <w:r w:rsidRPr="009228E1">
        <w:rPr>
          <w:sz w:val="20"/>
          <w:szCs w:val="20"/>
          <w:lang w:val="en-US"/>
        </w:rPr>
        <w:t>Oncotarget</w:t>
      </w:r>
      <w:proofErr w:type="spellEnd"/>
      <w:r w:rsidRPr="009228E1">
        <w:rPr>
          <w:sz w:val="20"/>
          <w:szCs w:val="20"/>
          <w:lang w:val="en-US"/>
        </w:rPr>
        <w:t>. 2015;6: 13371-13386.</w:t>
      </w:r>
    </w:p>
    <w:p w:rsidR="00CA137C" w:rsidRPr="009228E1" w:rsidRDefault="00CA137C" w:rsidP="005F4C0E">
      <w:pPr>
        <w:numPr>
          <w:ilvl w:val="0"/>
          <w:numId w:val="1"/>
        </w:numPr>
        <w:spacing w:after="0" w:line="276" w:lineRule="auto"/>
        <w:ind w:left="714" w:hanging="357"/>
        <w:jc w:val="both"/>
        <w:rPr>
          <w:rStyle w:val="Hipercze"/>
          <w:color w:val="auto"/>
          <w:sz w:val="20"/>
          <w:szCs w:val="20"/>
          <w:u w:val="none"/>
          <w:lang w:val="en-US"/>
        </w:rPr>
      </w:pPr>
      <w:r w:rsidRPr="009228E1">
        <w:rPr>
          <w:rStyle w:val="Hipercze"/>
          <w:color w:val="auto"/>
          <w:sz w:val="20"/>
          <w:szCs w:val="20"/>
          <w:u w:val="none"/>
          <w:lang w:val="de-DE"/>
        </w:rPr>
        <w:t xml:space="preserve">Tan B, Young DA, </w:t>
      </w:r>
      <w:proofErr w:type="spellStart"/>
      <w:r w:rsidRPr="009228E1">
        <w:rPr>
          <w:rStyle w:val="Hipercze"/>
          <w:color w:val="auto"/>
          <w:sz w:val="20"/>
          <w:szCs w:val="20"/>
          <w:u w:val="none"/>
          <w:lang w:val="de-DE"/>
        </w:rPr>
        <w:t>Lu</w:t>
      </w:r>
      <w:proofErr w:type="spellEnd"/>
      <w:r w:rsidRPr="009228E1">
        <w:rPr>
          <w:rStyle w:val="Hipercze"/>
          <w:color w:val="auto"/>
          <w:sz w:val="20"/>
          <w:szCs w:val="20"/>
          <w:u w:val="none"/>
          <w:lang w:val="de-DE"/>
        </w:rPr>
        <w:t xml:space="preserve"> ZH, Wang T, Meier TI, Shepard RL, et al. </w:t>
      </w:r>
      <w:r w:rsidRPr="009228E1">
        <w:rPr>
          <w:rStyle w:val="Hipercze"/>
          <w:color w:val="auto"/>
          <w:sz w:val="20"/>
          <w:szCs w:val="20"/>
          <w:u w:val="none"/>
          <w:lang w:val="en-US"/>
        </w:rPr>
        <w:t xml:space="preserve">Pharmacological inhibition of nicotinamide </w:t>
      </w:r>
      <w:proofErr w:type="spellStart"/>
      <w:r w:rsidRPr="009228E1">
        <w:rPr>
          <w:rStyle w:val="Hipercze"/>
          <w:color w:val="auto"/>
          <w:sz w:val="20"/>
          <w:szCs w:val="20"/>
          <w:u w:val="none"/>
          <w:lang w:val="en-US"/>
        </w:rPr>
        <w:t>phosphoribosyltransferase</w:t>
      </w:r>
      <w:proofErr w:type="spellEnd"/>
      <w:r w:rsidRPr="009228E1">
        <w:rPr>
          <w:rStyle w:val="Hipercze"/>
          <w:color w:val="auto"/>
          <w:sz w:val="20"/>
          <w:szCs w:val="20"/>
          <w:u w:val="none"/>
          <w:lang w:val="en-US"/>
        </w:rPr>
        <w:t xml:space="preserve"> (NAMPT), an enzyme essential for NAD+ biosynthesis, in human cancer cells: metabolic basis and potential clinical implications. J </w:t>
      </w:r>
      <w:proofErr w:type="spellStart"/>
      <w:r w:rsidRPr="009228E1">
        <w:rPr>
          <w:rStyle w:val="Hipercze"/>
          <w:color w:val="auto"/>
          <w:sz w:val="20"/>
          <w:szCs w:val="20"/>
          <w:u w:val="none"/>
          <w:lang w:val="en-US"/>
        </w:rPr>
        <w:t>Biol</w:t>
      </w:r>
      <w:proofErr w:type="spellEnd"/>
      <w:r w:rsidRPr="009228E1">
        <w:rPr>
          <w:rStyle w:val="Hipercze"/>
          <w:color w:val="auto"/>
          <w:sz w:val="20"/>
          <w:szCs w:val="20"/>
          <w:u w:val="none"/>
          <w:lang w:val="en-US"/>
        </w:rPr>
        <w:t xml:space="preserve"> Chem. 2013;288: 3500-3511. </w:t>
      </w:r>
      <w:proofErr w:type="spellStart"/>
      <w:r w:rsidRPr="009228E1">
        <w:rPr>
          <w:rStyle w:val="Hipercze"/>
          <w:color w:val="auto"/>
          <w:sz w:val="20"/>
          <w:szCs w:val="20"/>
          <w:u w:val="none"/>
          <w:lang w:val="en-US"/>
        </w:rPr>
        <w:t>doi</w:t>
      </w:r>
      <w:proofErr w:type="spellEnd"/>
      <w:r w:rsidRPr="009228E1">
        <w:rPr>
          <w:rStyle w:val="Hipercze"/>
          <w:color w:val="auto"/>
          <w:sz w:val="20"/>
          <w:szCs w:val="20"/>
          <w:u w:val="none"/>
          <w:lang w:val="en-US"/>
        </w:rPr>
        <w:t>: 10.1074/jbc.M112.394510.</w:t>
      </w:r>
    </w:p>
    <w:p w:rsidR="00CA137C" w:rsidRPr="009228E1" w:rsidRDefault="00CA137C" w:rsidP="005F4C0E">
      <w:pPr>
        <w:numPr>
          <w:ilvl w:val="0"/>
          <w:numId w:val="1"/>
        </w:numPr>
        <w:shd w:val="clear" w:color="auto" w:fill="FFFFFF"/>
        <w:spacing w:after="0" w:line="276" w:lineRule="auto"/>
        <w:ind w:left="714" w:hanging="357"/>
        <w:jc w:val="both"/>
        <w:textAlignment w:val="baseline"/>
        <w:rPr>
          <w:sz w:val="20"/>
          <w:szCs w:val="20"/>
          <w:lang w:val="en-US"/>
        </w:rPr>
      </w:pPr>
      <w:r w:rsidRPr="009228E1">
        <w:rPr>
          <w:sz w:val="20"/>
          <w:szCs w:val="20"/>
          <w:lang w:val="en-US"/>
        </w:rPr>
        <w:t xml:space="preserve">Abu </w:t>
      </w:r>
      <w:proofErr w:type="spellStart"/>
      <w:r w:rsidRPr="009228E1">
        <w:rPr>
          <w:sz w:val="20"/>
          <w:szCs w:val="20"/>
          <w:lang w:val="en-US"/>
        </w:rPr>
        <w:t>Aboud</w:t>
      </w:r>
      <w:proofErr w:type="spellEnd"/>
      <w:r w:rsidRPr="009228E1">
        <w:rPr>
          <w:sz w:val="20"/>
          <w:szCs w:val="20"/>
          <w:lang w:val="en-US"/>
        </w:rPr>
        <w:t xml:space="preserve"> O, Chen CH, </w:t>
      </w:r>
      <w:proofErr w:type="spellStart"/>
      <w:r w:rsidRPr="009228E1">
        <w:rPr>
          <w:sz w:val="20"/>
          <w:szCs w:val="20"/>
          <w:lang w:val="en-US"/>
        </w:rPr>
        <w:t>Senapedis</w:t>
      </w:r>
      <w:proofErr w:type="spellEnd"/>
      <w:r w:rsidRPr="009228E1">
        <w:rPr>
          <w:sz w:val="20"/>
          <w:szCs w:val="20"/>
          <w:lang w:val="en-US"/>
        </w:rPr>
        <w:t xml:space="preserve"> W, </w:t>
      </w:r>
      <w:proofErr w:type="spellStart"/>
      <w:r w:rsidRPr="009228E1">
        <w:rPr>
          <w:sz w:val="20"/>
          <w:szCs w:val="20"/>
          <w:lang w:val="en-US"/>
        </w:rPr>
        <w:t>Baloglu</w:t>
      </w:r>
      <w:proofErr w:type="spellEnd"/>
      <w:r w:rsidRPr="009228E1">
        <w:rPr>
          <w:sz w:val="20"/>
          <w:szCs w:val="20"/>
          <w:lang w:val="en-US"/>
        </w:rPr>
        <w:t xml:space="preserve"> E, Argueta C, Weiss RH. Dual and Specific Inhibition of NAMPT and PAK4 By KPT-9274 Decreases Kidney Cancer Growth. </w:t>
      </w:r>
      <w:proofErr w:type="spellStart"/>
      <w:r w:rsidRPr="009228E1">
        <w:rPr>
          <w:sz w:val="20"/>
          <w:szCs w:val="20"/>
          <w:lang w:val="en-US"/>
        </w:rPr>
        <w:t>Mol</w:t>
      </w:r>
      <w:proofErr w:type="spellEnd"/>
      <w:r w:rsidRPr="009228E1">
        <w:rPr>
          <w:sz w:val="20"/>
          <w:szCs w:val="20"/>
          <w:lang w:val="en-US"/>
        </w:rPr>
        <w:t xml:space="preserve"> Cancer </w:t>
      </w:r>
      <w:proofErr w:type="spellStart"/>
      <w:r w:rsidRPr="009228E1">
        <w:rPr>
          <w:sz w:val="20"/>
          <w:szCs w:val="20"/>
          <w:lang w:val="en-US"/>
        </w:rPr>
        <w:t>Ther</w:t>
      </w:r>
      <w:proofErr w:type="spellEnd"/>
      <w:r w:rsidRPr="009228E1">
        <w:rPr>
          <w:sz w:val="20"/>
          <w:szCs w:val="20"/>
          <w:lang w:val="en-US"/>
        </w:rPr>
        <w:t xml:space="preserve">. 2016;15: 2119-2129. </w:t>
      </w:r>
      <w:proofErr w:type="spellStart"/>
      <w:r w:rsidRPr="009228E1">
        <w:rPr>
          <w:sz w:val="20"/>
          <w:szCs w:val="20"/>
          <w:lang w:val="en-US"/>
        </w:rPr>
        <w:t>doi</w:t>
      </w:r>
      <w:proofErr w:type="spellEnd"/>
      <w:r w:rsidRPr="009228E1">
        <w:rPr>
          <w:sz w:val="20"/>
          <w:szCs w:val="20"/>
          <w:lang w:val="en-US"/>
        </w:rPr>
        <w:t>: 10.1158/1535-7163.MCT-16-0197</w:t>
      </w:r>
    </w:p>
    <w:p w:rsidR="00CA137C" w:rsidRPr="009228E1" w:rsidRDefault="00CA137C" w:rsidP="005F4C0E">
      <w:pPr>
        <w:numPr>
          <w:ilvl w:val="0"/>
          <w:numId w:val="1"/>
        </w:numPr>
        <w:spacing w:after="0" w:line="276" w:lineRule="auto"/>
        <w:ind w:left="714" w:hanging="357"/>
        <w:jc w:val="both"/>
        <w:rPr>
          <w:sz w:val="20"/>
          <w:szCs w:val="20"/>
          <w:lang w:val="en-US"/>
        </w:rPr>
      </w:pPr>
      <w:r w:rsidRPr="009228E1">
        <w:rPr>
          <w:sz w:val="20"/>
          <w:szCs w:val="20"/>
          <w:lang w:val="en-US"/>
        </w:rPr>
        <w:t>Ward PS, Patel J, Wise DR, Abdel-</w:t>
      </w:r>
      <w:proofErr w:type="spellStart"/>
      <w:r w:rsidRPr="009228E1">
        <w:rPr>
          <w:sz w:val="20"/>
          <w:szCs w:val="20"/>
          <w:lang w:val="en-US"/>
        </w:rPr>
        <w:t>Wahab</w:t>
      </w:r>
      <w:proofErr w:type="spellEnd"/>
      <w:r w:rsidRPr="009228E1">
        <w:rPr>
          <w:sz w:val="20"/>
          <w:szCs w:val="20"/>
          <w:lang w:val="en-US"/>
        </w:rPr>
        <w:t xml:space="preserve"> O, Bennett BD, </w:t>
      </w:r>
      <w:proofErr w:type="spellStart"/>
      <w:r w:rsidRPr="009228E1">
        <w:rPr>
          <w:sz w:val="20"/>
          <w:szCs w:val="20"/>
          <w:lang w:val="en-US"/>
        </w:rPr>
        <w:t>Coller</w:t>
      </w:r>
      <w:proofErr w:type="spellEnd"/>
      <w:r w:rsidRPr="009228E1">
        <w:rPr>
          <w:sz w:val="20"/>
          <w:szCs w:val="20"/>
          <w:lang w:val="en-US"/>
        </w:rPr>
        <w:t xml:space="preserve"> HA, et al. The common feature of leukemia-associated IDH1 and IDH2 mutations is a </w:t>
      </w:r>
      <w:proofErr w:type="spellStart"/>
      <w:r w:rsidRPr="009228E1">
        <w:rPr>
          <w:sz w:val="20"/>
          <w:szCs w:val="20"/>
          <w:lang w:val="en-US"/>
        </w:rPr>
        <w:t>neomorphic</w:t>
      </w:r>
      <w:proofErr w:type="spellEnd"/>
      <w:r w:rsidRPr="009228E1">
        <w:rPr>
          <w:sz w:val="20"/>
          <w:szCs w:val="20"/>
          <w:lang w:val="en-US"/>
        </w:rPr>
        <w:t xml:space="preserve"> enzyme activity converting alpha-ketoglutarate to 2-hydroxyglutarate. Cancer Cell. 2010;17: 225-234. </w:t>
      </w:r>
      <w:proofErr w:type="spellStart"/>
      <w:r w:rsidRPr="009228E1">
        <w:rPr>
          <w:sz w:val="20"/>
          <w:szCs w:val="20"/>
          <w:lang w:val="en-US"/>
        </w:rPr>
        <w:t>doi</w:t>
      </w:r>
      <w:proofErr w:type="spellEnd"/>
      <w:r w:rsidRPr="009228E1">
        <w:rPr>
          <w:sz w:val="20"/>
          <w:szCs w:val="20"/>
          <w:lang w:val="en-US"/>
        </w:rPr>
        <w:t>: 10.1016/j.ccr.2010.01.020.</w:t>
      </w:r>
    </w:p>
    <w:p w:rsidR="00CA137C" w:rsidRPr="009228E1" w:rsidRDefault="00CA137C" w:rsidP="005F4C0E">
      <w:pPr>
        <w:numPr>
          <w:ilvl w:val="0"/>
          <w:numId w:val="1"/>
        </w:numPr>
        <w:shd w:val="clear" w:color="auto" w:fill="FFFFFF"/>
        <w:spacing w:after="0" w:line="276" w:lineRule="auto"/>
        <w:ind w:left="714" w:hanging="357"/>
        <w:jc w:val="both"/>
        <w:textAlignment w:val="baseline"/>
        <w:rPr>
          <w:rFonts w:cs="Calibri"/>
          <w:sz w:val="20"/>
          <w:szCs w:val="20"/>
          <w:lang w:val="en-US" w:eastAsia="pl-PL"/>
        </w:rPr>
      </w:pPr>
      <w:r w:rsidRPr="009228E1">
        <w:rPr>
          <w:rFonts w:cs="Calibri"/>
          <w:sz w:val="20"/>
          <w:szCs w:val="20"/>
          <w:lang w:val="en-US" w:eastAsia="pl-PL"/>
        </w:rPr>
        <w:t xml:space="preserve">Hsieh JJ, Cheng EH. The panoramic view of clear cell renal cell carcinoma metabolism: values of integrated global cancer metabolomics. </w:t>
      </w:r>
      <w:proofErr w:type="spellStart"/>
      <w:r w:rsidRPr="009228E1">
        <w:rPr>
          <w:rFonts w:cs="Calibri"/>
          <w:sz w:val="20"/>
          <w:szCs w:val="20"/>
          <w:lang w:val="en-US" w:eastAsia="pl-PL"/>
        </w:rPr>
        <w:t>Transl</w:t>
      </w:r>
      <w:proofErr w:type="spellEnd"/>
      <w:r w:rsidRPr="009228E1">
        <w:rPr>
          <w:rFonts w:cs="Calibri"/>
          <w:sz w:val="20"/>
          <w:szCs w:val="20"/>
          <w:lang w:val="en-US" w:eastAsia="pl-PL"/>
        </w:rPr>
        <w:t xml:space="preserve"> </w:t>
      </w:r>
      <w:proofErr w:type="spellStart"/>
      <w:r w:rsidRPr="009228E1">
        <w:rPr>
          <w:rFonts w:cs="Calibri"/>
          <w:sz w:val="20"/>
          <w:szCs w:val="20"/>
          <w:lang w:val="en-US" w:eastAsia="pl-PL"/>
        </w:rPr>
        <w:t>Androl</w:t>
      </w:r>
      <w:proofErr w:type="spellEnd"/>
      <w:r w:rsidRPr="009228E1">
        <w:rPr>
          <w:rFonts w:cs="Calibri"/>
          <w:sz w:val="20"/>
          <w:szCs w:val="20"/>
          <w:lang w:val="en-US" w:eastAsia="pl-PL"/>
        </w:rPr>
        <w:t xml:space="preserve"> Urol. 2016;5: 984-986. </w:t>
      </w:r>
      <w:proofErr w:type="spellStart"/>
      <w:r w:rsidRPr="009228E1">
        <w:rPr>
          <w:rFonts w:cs="Calibri"/>
          <w:sz w:val="20"/>
          <w:szCs w:val="20"/>
          <w:lang w:val="en-US" w:eastAsia="pl-PL"/>
        </w:rPr>
        <w:t>doi</w:t>
      </w:r>
      <w:proofErr w:type="spellEnd"/>
      <w:r w:rsidRPr="009228E1">
        <w:rPr>
          <w:rFonts w:cs="Calibri"/>
          <w:sz w:val="20"/>
          <w:szCs w:val="20"/>
          <w:lang w:val="en-US" w:eastAsia="pl-PL"/>
        </w:rPr>
        <w:t>: 10.21037/tau.2016.11.03.</w:t>
      </w:r>
    </w:p>
    <w:p w:rsidR="00CA137C" w:rsidRPr="009228E1" w:rsidRDefault="00CA137C" w:rsidP="005F4C0E">
      <w:pPr>
        <w:numPr>
          <w:ilvl w:val="0"/>
          <w:numId w:val="1"/>
        </w:numPr>
        <w:tabs>
          <w:tab w:val="left" w:pos="1560"/>
        </w:tabs>
        <w:spacing w:after="0" w:line="276" w:lineRule="auto"/>
        <w:ind w:left="714" w:hanging="357"/>
        <w:jc w:val="both"/>
        <w:rPr>
          <w:sz w:val="20"/>
          <w:szCs w:val="20"/>
          <w:lang w:val="en-US"/>
        </w:rPr>
      </w:pPr>
      <w:r w:rsidRPr="009228E1">
        <w:rPr>
          <w:sz w:val="20"/>
          <w:szCs w:val="20"/>
          <w:lang w:val="sv-SE"/>
        </w:rPr>
        <w:t xml:space="preserve">van der Mijn JC, Panka DJ, Geissler AK, Verheul HM, Mier JW. </w:t>
      </w:r>
      <w:r w:rsidRPr="009228E1">
        <w:rPr>
          <w:sz w:val="20"/>
          <w:szCs w:val="20"/>
          <w:lang w:val="en-US"/>
        </w:rPr>
        <w:t xml:space="preserve">Novel drugs that target the metabolic reprogramming in renal cell cancer. Cancer </w:t>
      </w:r>
      <w:proofErr w:type="spellStart"/>
      <w:r w:rsidRPr="009228E1">
        <w:rPr>
          <w:sz w:val="20"/>
          <w:szCs w:val="20"/>
          <w:lang w:val="en-US"/>
        </w:rPr>
        <w:t>Metab</w:t>
      </w:r>
      <w:proofErr w:type="spellEnd"/>
      <w:r w:rsidRPr="009228E1">
        <w:rPr>
          <w:sz w:val="20"/>
          <w:szCs w:val="20"/>
          <w:lang w:val="en-US"/>
        </w:rPr>
        <w:t xml:space="preserve">. 2016;4: 14. </w:t>
      </w:r>
      <w:proofErr w:type="spellStart"/>
      <w:r w:rsidRPr="009228E1">
        <w:rPr>
          <w:sz w:val="20"/>
          <w:szCs w:val="20"/>
          <w:lang w:val="en-US"/>
        </w:rPr>
        <w:t>doi</w:t>
      </w:r>
      <w:proofErr w:type="spellEnd"/>
      <w:r w:rsidRPr="009228E1">
        <w:rPr>
          <w:sz w:val="20"/>
          <w:szCs w:val="20"/>
          <w:lang w:val="en-US"/>
        </w:rPr>
        <w:t xml:space="preserve">: 10.1186/s40170-016-0154-8 </w:t>
      </w:r>
    </w:p>
    <w:p w:rsidR="00CA137C" w:rsidRPr="009228E1" w:rsidRDefault="00CA137C" w:rsidP="005F4C0E">
      <w:pPr>
        <w:numPr>
          <w:ilvl w:val="0"/>
          <w:numId w:val="1"/>
        </w:numPr>
        <w:tabs>
          <w:tab w:val="left" w:pos="1560"/>
        </w:tabs>
        <w:spacing w:after="0" w:line="276" w:lineRule="auto"/>
        <w:ind w:left="714" w:hanging="357"/>
        <w:jc w:val="both"/>
        <w:rPr>
          <w:sz w:val="20"/>
          <w:szCs w:val="20"/>
          <w:lang w:val="en-US"/>
        </w:rPr>
      </w:pPr>
      <w:proofErr w:type="spellStart"/>
      <w:r w:rsidRPr="009228E1">
        <w:rPr>
          <w:sz w:val="20"/>
          <w:szCs w:val="20"/>
          <w:lang w:val="en-US"/>
        </w:rPr>
        <w:t>Elorza</w:t>
      </w:r>
      <w:proofErr w:type="spellEnd"/>
      <w:r w:rsidRPr="009228E1">
        <w:rPr>
          <w:sz w:val="20"/>
          <w:szCs w:val="20"/>
          <w:lang w:val="en-US"/>
        </w:rPr>
        <w:t xml:space="preserve"> A, </w:t>
      </w:r>
      <w:proofErr w:type="spellStart"/>
      <w:r w:rsidRPr="009228E1">
        <w:rPr>
          <w:sz w:val="20"/>
          <w:szCs w:val="20"/>
          <w:lang w:val="en-US"/>
        </w:rPr>
        <w:t>Soro-Arnáiz</w:t>
      </w:r>
      <w:proofErr w:type="spellEnd"/>
      <w:r w:rsidRPr="009228E1">
        <w:rPr>
          <w:sz w:val="20"/>
          <w:szCs w:val="20"/>
          <w:lang w:val="en-US"/>
        </w:rPr>
        <w:t xml:space="preserve"> I, </w:t>
      </w:r>
      <w:proofErr w:type="spellStart"/>
      <w:r w:rsidRPr="009228E1">
        <w:rPr>
          <w:sz w:val="20"/>
          <w:szCs w:val="20"/>
          <w:lang w:val="en-US"/>
        </w:rPr>
        <w:t>Meléndez</w:t>
      </w:r>
      <w:proofErr w:type="spellEnd"/>
      <w:r w:rsidRPr="009228E1">
        <w:rPr>
          <w:sz w:val="20"/>
          <w:szCs w:val="20"/>
          <w:lang w:val="en-US"/>
        </w:rPr>
        <w:t>-Rodríguez F, Rodríguez-</w:t>
      </w:r>
      <w:proofErr w:type="spellStart"/>
      <w:r w:rsidRPr="009228E1">
        <w:rPr>
          <w:sz w:val="20"/>
          <w:szCs w:val="20"/>
          <w:lang w:val="en-US"/>
        </w:rPr>
        <w:t>Vaello</w:t>
      </w:r>
      <w:proofErr w:type="spellEnd"/>
      <w:r w:rsidRPr="009228E1">
        <w:rPr>
          <w:sz w:val="20"/>
          <w:szCs w:val="20"/>
          <w:lang w:val="en-US"/>
        </w:rPr>
        <w:t xml:space="preserve"> V, </w:t>
      </w:r>
      <w:proofErr w:type="spellStart"/>
      <w:r w:rsidRPr="009228E1">
        <w:rPr>
          <w:sz w:val="20"/>
          <w:szCs w:val="20"/>
          <w:lang w:val="en-US"/>
        </w:rPr>
        <w:t>Marsboom</w:t>
      </w:r>
      <w:proofErr w:type="spellEnd"/>
      <w:r w:rsidRPr="009228E1">
        <w:rPr>
          <w:sz w:val="20"/>
          <w:szCs w:val="20"/>
          <w:lang w:val="en-US"/>
        </w:rPr>
        <w:t xml:space="preserve"> G, de </w:t>
      </w:r>
      <w:proofErr w:type="spellStart"/>
      <w:r w:rsidRPr="009228E1">
        <w:rPr>
          <w:sz w:val="20"/>
          <w:szCs w:val="20"/>
          <w:lang w:val="en-US"/>
        </w:rPr>
        <w:t>Cárcer</w:t>
      </w:r>
      <w:proofErr w:type="spellEnd"/>
      <w:r w:rsidRPr="009228E1">
        <w:rPr>
          <w:sz w:val="20"/>
          <w:szCs w:val="20"/>
          <w:lang w:val="en-US"/>
        </w:rPr>
        <w:t xml:space="preserve"> G, et al. HIF2α acts as an mTORC1 activator through the amino acid carrier SLC7A5. </w:t>
      </w:r>
      <w:proofErr w:type="spellStart"/>
      <w:r w:rsidRPr="009228E1">
        <w:rPr>
          <w:sz w:val="20"/>
          <w:szCs w:val="20"/>
          <w:lang w:val="en-US"/>
        </w:rPr>
        <w:t>Mol</w:t>
      </w:r>
      <w:proofErr w:type="spellEnd"/>
      <w:r w:rsidRPr="009228E1">
        <w:rPr>
          <w:sz w:val="20"/>
          <w:szCs w:val="20"/>
          <w:lang w:val="en-US"/>
        </w:rPr>
        <w:t xml:space="preserve"> Cell. 2012;48: 681-691. </w:t>
      </w:r>
      <w:proofErr w:type="spellStart"/>
      <w:r w:rsidRPr="009228E1">
        <w:rPr>
          <w:sz w:val="20"/>
          <w:szCs w:val="20"/>
          <w:lang w:val="en-US"/>
        </w:rPr>
        <w:t>doi</w:t>
      </w:r>
      <w:proofErr w:type="spellEnd"/>
      <w:r w:rsidRPr="009228E1">
        <w:rPr>
          <w:sz w:val="20"/>
          <w:szCs w:val="20"/>
          <w:lang w:val="en-US"/>
        </w:rPr>
        <w:t>: 10.1016/j.molcel.2012.09.017.</w:t>
      </w:r>
    </w:p>
    <w:p w:rsidR="00CA137C" w:rsidRPr="009228E1" w:rsidRDefault="00CA137C" w:rsidP="005F4C0E">
      <w:pPr>
        <w:numPr>
          <w:ilvl w:val="0"/>
          <w:numId w:val="1"/>
        </w:numPr>
        <w:spacing w:after="0" w:line="276" w:lineRule="auto"/>
        <w:ind w:left="714" w:hanging="357"/>
        <w:jc w:val="both"/>
        <w:rPr>
          <w:sz w:val="20"/>
          <w:szCs w:val="20"/>
          <w:lang w:val="en-US"/>
        </w:rPr>
      </w:pPr>
      <w:proofErr w:type="spellStart"/>
      <w:r w:rsidRPr="009228E1">
        <w:rPr>
          <w:sz w:val="20"/>
          <w:szCs w:val="20"/>
          <w:lang w:val="de-DE"/>
        </w:rPr>
        <w:t>Poettler</w:t>
      </w:r>
      <w:proofErr w:type="spellEnd"/>
      <w:r w:rsidRPr="009228E1">
        <w:rPr>
          <w:sz w:val="20"/>
          <w:szCs w:val="20"/>
          <w:lang w:val="de-DE"/>
        </w:rPr>
        <w:t xml:space="preserve"> M, Unseld M, </w:t>
      </w:r>
      <w:proofErr w:type="spellStart"/>
      <w:r w:rsidRPr="009228E1">
        <w:rPr>
          <w:sz w:val="20"/>
          <w:szCs w:val="20"/>
          <w:lang w:val="de-DE"/>
        </w:rPr>
        <w:t>Braemswig</w:t>
      </w:r>
      <w:proofErr w:type="spellEnd"/>
      <w:r w:rsidRPr="009228E1">
        <w:rPr>
          <w:sz w:val="20"/>
          <w:szCs w:val="20"/>
          <w:lang w:val="de-DE"/>
        </w:rPr>
        <w:t xml:space="preserve"> K, </w:t>
      </w:r>
      <w:proofErr w:type="spellStart"/>
      <w:r w:rsidRPr="009228E1">
        <w:rPr>
          <w:sz w:val="20"/>
          <w:szCs w:val="20"/>
          <w:lang w:val="de-DE"/>
        </w:rPr>
        <w:t>Haitel</w:t>
      </w:r>
      <w:proofErr w:type="spellEnd"/>
      <w:r w:rsidRPr="009228E1">
        <w:rPr>
          <w:sz w:val="20"/>
          <w:szCs w:val="20"/>
          <w:lang w:val="de-DE"/>
        </w:rPr>
        <w:t xml:space="preserve"> A, Zielinski CC, Prager GW. </w:t>
      </w:r>
      <w:r w:rsidRPr="009228E1">
        <w:rPr>
          <w:sz w:val="20"/>
          <w:szCs w:val="20"/>
          <w:lang w:val="en-US"/>
        </w:rPr>
        <w:t xml:space="preserve">CD98hc (SLC3A2) drives integrin-dependent renal cancer cell behavior. </w:t>
      </w:r>
      <w:proofErr w:type="spellStart"/>
      <w:r w:rsidRPr="009228E1">
        <w:rPr>
          <w:sz w:val="20"/>
          <w:szCs w:val="20"/>
          <w:lang w:val="en-US"/>
        </w:rPr>
        <w:t>Mol</w:t>
      </w:r>
      <w:proofErr w:type="spellEnd"/>
      <w:r w:rsidRPr="009228E1">
        <w:rPr>
          <w:sz w:val="20"/>
          <w:szCs w:val="20"/>
          <w:lang w:val="en-US"/>
        </w:rPr>
        <w:t xml:space="preserve"> Cancer. 2013;12: 169. </w:t>
      </w:r>
      <w:proofErr w:type="spellStart"/>
      <w:r w:rsidRPr="009228E1">
        <w:rPr>
          <w:sz w:val="20"/>
          <w:szCs w:val="20"/>
          <w:lang w:val="en-US"/>
        </w:rPr>
        <w:t>doi</w:t>
      </w:r>
      <w:proofErr w:type="spellEnd"/>
      <w:r w:rsidRPr="009228E1">
        <w:rPr>
          <w:sz w:val="20"/>
          <w:szCs w:val="20"/>
          <w:lang w:val="en-US"/>
        </w:rPr>
        <w:t>: 10.1186/1476-4598-12-169.</w:t>
      </w:r>
    </w:p>
    <w:p w:rsidR="00CA137C" w:rsidRPr="009228E1" w:rsidRDefault="00CA137C" w:rsidP="005F4C0E">
      <w:pPr>
        <w:numPr>
          <w:ilvl w:val="0"/>
          <w:numId w:val="1"/>
        </w:numPr>
        <w:spacing w:after="0" w:line="276" w:lineRule="auto"/>
        <w:ind w:left="714" w:hanging="357"/>
        <w:jc w:val="both"/>
        <w:rPr>
          <w:sz w:val="20"/>
          <w:szCs w:val="20"/>
          <w:lang w:val="en-US"/>
        </w:rPr>
      </w:pPr>
      <w:proofErr w:type="spellStart"/>
      <w:r w:rsidRPr="009228E1">
        <w:rPr>
          <w:sz w:val="20"/>
          <w:szCs w:val="20"/>
          <w:lang w:val="en-US"/>
        </w:rPr>
        <w:t>Yadava</w:t>
      </w:r>
      <w:proofErr w:type="spellEnd"/>
      <w:r w:rsidRPr="009228E1">
        <w:rPr>
          <w:sz w:val="20"/>
          <w:szCs w:val="20"/>
          <w:lang w:val="en-US"/>
        </w:rPr>
        <w:t xml:space="preserve"> N, Schneider SS, Jerry DJ, Kim Ch. Impaired mitochondrial metabolism and mammary carcinogenesis. J Mammary Gland </w:t>
      </w:r>
      <w:proofErr w:type="spellStart"/>
      <w:r w:rsidRPr="009228E1">
        <w:rPr>
          <w:sz w:val="20"/>
          <w:szCs w:val="20"/>
          <w:lang w:val="en-US"/>
        </w:rPr>
        <w:t>Biol</w:t>
      </w:r>
      <w:proofErr w:type="spellEnd"/>
      <w:r w:rsidRPr="009228E1">
        <w:rPr>
          <w:sz w:val="20"/>
          <w:szCs w:val="20"/>
          <w:lang w:val="en-US"/>
        </w:rPr>
        <w:t xml:space="preserve"> Neoplasia. 2013;18: 75-87. </w:t>
      </w:r>
      <w:proofErr w:type="spellStart"/>
      <w:r w:rsidRPr="009228E1">
        <w:rPr>
          <w:sz w:val="20"/>
          <w:szCs w:val="20"/>
          <w:lang w:val="en-US"/>
        </w:rPr>
        <w:t>doi</w:t>
      </w:r>
      <w:proofErr w:type="spellEnd"/>
      <w:r w:rsidRPr="009228E1">
        <w:rPr>
          <w:sz w:val="20"/>
          <w:szCs w:val="20"/>
          <w:lang w:val="en-US"/>
        </w:rPr>
        <w:t>: 10.1007/s10911-012-9271-3.</w:t>
      </w:r>
    </w:p>
    <w:p w:rsidR="00CA137C" w:rsidRPr="009228E1" w:rsidRDefault="00CA137C" w:rsidP="005F4C0E">
      <w:pPr>
        <w:numPr>
          <w:ilvl w:val="0"/>
          <w:numId w:val="1"/>
        </w:numPr>
        <w:spacing w:after="0" w:line="276" w:lineRule="auto"/>
        <w:ind w:left="714" w:hanging="357"/>
        <w:jc w:val="both"/>
        <w:rPr>
          <w:sz w:val="20"/>
          <w:szCs w:val="20"/>
          <w:lang w:val="en-US"/>
        </w:rPr>
      </w:pPr>
      <w:r w:rsidRPr="009228E1">
        <w:rPr>
          <w:sz w:val="20"/>
          <w:szCs w:val="20"/>
          <w:lang w:val="sv-SE"/>
        </w:rPr>
        <w:t xml:space="preserve">Ellinger J, Gromes A, Poss M, Brüggemann M, Schmidt D, Ellinger N, et al. </w:t>
      </w:r>
      <w:r w:rsidRPr="009228E1">
        <w:rPr>
          <w:sz w:val="20"/>
          <w:szCs w:val="20"/>
          <w:lang w:val="en-US"/>
        </w:rPr>
        <w:t xml:space="preserve">Systematic expression analysis of the mitochondrial complex III subunits identifies UQCRC1 as biomarker in clear cell renal cell carcinoma. </w:t>
      </w:r>
      <w:proofErr w:type="spellStart"/>
      <w:r w:rsidRPr="009228E1">
        <w:rPr>
          <w:sz w:val="20"/>
          <w:szCs w:val="20"/>
          <w:lang w:val="en-US"/>
        </w:rPr>
        <w:t>Oncotarget</w:t>
      </w:r>
      <w:proofErr w:type="spellEnd"/>
      <w:r w:rsidRPr="009228E1">
        <w:rPr>
          <w:sz w:val="20"/>
          <w:szCs w:val="20"/>
          <w:lang w:val="en-US"/>
        </w:rPr>
        <w:t xml:space="preserve">. 2016;7: 86490-86499. </w:t>
      </w:r>
      <w:proofErr w:type="spellStart"/>
      <w:r w:rsidRPr="009228E1">
        <w:rPr>
          <w:sz w:val="20"/>
          <w:szCs w:val="20"/>
          <w:lang w:val="en-US"/>
        </w:rPr>
        <w:t>doi</w:t>
      </w:r>
      <w:proofErr w:type="spellEnd"/>
      <w:r w:rsidRPr="009228E1">
        <w:rPr>
          <w:sz w:val="20"/>
          <w:szCs w:val="20"/>
          <w:lang w:val="en-US"/>
        </w:rPr>
        <w:t>: 10.18632/oncotarget.13275.</w:t>
      </w:r>
    </w:p>
    <w:p w:rsidR="00CA137C" w:rsidRPr="009228E1" w:rsidRDefault="00CA137C" w:rsidP="005F4C0E">
      <w:pPr>
        <w:numPr>
          <w:ilvl w:val="0"/>
          <w:numId w:val="1"/>
        </w:numPr>
        <w:spacing w:after="0" w:line="276" w:lineRule="auto"/>
        <w:ind w:left="714" w:hanging="357"/>
        <w:jc w:val="both"/>
        <w:rPr>
          <w:sz w:val="20"/>
          <w:szCs w:val="20"/>
          <w:lang w:val="en-US"/>
        </w:rPr>
      </w:pPr>
      <w:proofErr w:type="spellStart"/>
      <w:r w:rsidRPr="009228E1">
        <w:rPr>
          <w:sz w:val="20"/>
          <w:szCs w:val="20"/>
          <w:lang w:val="en-US"/>
        </w:rPr>
        <w:lastRenderedPageBreak/>
        <w:t>Santidrian</w:t>
      </w:r>
      <w:proofErr w:type="spellEnd"/>
      <w:r w:rsidRPr="009228E1">
        <w:rPr>
          <w:sz w:val="20"/>
          <w:szCs w:val="20"/>
          <w:lang w:val="en-US"/>
        </w:rPr>
        <w:t xml:space="preserve"> AF, </w:t>
      </w:r>
      <w:proofErr w:type="spellStart"/>
      <w:r w:rsidRPr="009228E1">
        <w:rPr>
          <w:sz w:val="20"/>
          <w:szCs w:val="20"/>
          <w:lang w:val="en-US"/>
        </w:rPr>
        <w:t>Matsuno</w:t>
      </w:r>
      <w:proofErr w:type="spellEnd"/>
      <w:r w:rsidRPr="009228E1">
        <w:rPr>
          <w:sz w:val="20"/>
          <w:szCs w:val="20"/>
          <w:lang w:val="en-US"/>
        </w:rPr>
        <w:t xml:space="preserve">-Yagi A, Ritland M, </w:t>
      </w:r>
      <w:proofErr w:type="spellStart"/>
      <w:r w:rsidRPr="009228E1">
        <w:rPr>
          <w:sz w:val="20"/>
          <w:szCs w:val="20"/>
          <w:lang w:val="en-US"/>
        </w:rPr>
        <w:t>Seo</w:t>
      </w:r>
      <w:proofErr w:type="spellEnd"/>
      <w:r w:rsidRPr="009228E1">
        <w:rPr>
          <w:sz w:val="20"/>
          <w:szCs w:val="20"/>
          <w:lang w:val="en-US"/>
        </w:rPr>
        <w:t xml:space="preserve"> BB, </w:t>
      </w:r>
      <w:proofErr w:type="spellStart"/>
      <w:r w:rsidRPr="009228E1">
        <w:rPr>
          <w:sz w:val="20"/>
          <w:szCs w:val="20"/>
          <w:lang w:val="en-US"/>
        </w:rPr>
        <w:t>LeBoeuf</w:t>
      </w:r>
      <w:proofErr w:type="spellEnd"/>
      <w:r w:rsidRPr="009228E1">
        <w:rPr>
          <w:sz w:val="20"/>
          <w:szCs w:val="20"/>
          <w:lang w:val="en-US"/>
        </w:rPr>
        <w:t xml:space="preserve"> SE, Gay LJ, et al. Mitochondrial complex I activity and NAD+/NADH balance regulate breast cancer progression. J </w:t>
      </w:r>
      <w:proofErr w:type="spellStart"/>
      <w:r w:rsidRPr="009228E1">
        <w:rPr>
          <w:sz w:val="20"/>
          <w:szCs w:val="20"/>
          <w:lang w:val="en-US"/>
        </w:rPr>
        <w:t>Clin</w:t>
      </w:r>
      <w:proofErr w:type="spellEnd"/>
      <w:r w:rsidRPr="009228E1">
        <w:rPr>
          <w:sz w:val="20"/>
          <w:szCs w:val="20"/>
          <w:lang w:val="en-US"/>
        </w:rPr>
        <w:t xml:space="preserve"> Invest. 2013;123: 1068-1081. </w:t>
      </w:r>
      <w:proofErr w:type="spellStart"/>
      <w:r w:rsidRPr="009228E1">
        <w:rPr>
          <w:sz w:val="20"/>
          <w:szCs w:val="20"/>
          <w:lang w:val="en-US"/>
        </w:rPr>
        <w:t>doi</w:t>
      </w:r>
      <w:proofErr w:type="spellEnd"/>
      <w:r w:rsidRPr="009228E1">
        <w:rPr>
          <w:sz w:val="20"/>
          <w:szCs w:val="20"/>
          <w:lang w:val="en-US"/>
        </w:rPr>
        <w:t>: 10.1172/JCI64264.</w:t>
      </w:r>
    </w:p>
    <w:p w:rsidR="00CA137C" w:rsidRPr="009228E1" w:rsidRDefault="00CA137C" w:rsidP="005F4C0E">
      <w:pPr>
        <w:numPr>
          <w:ilvl w:val="0"/>
          <w:numId w:val="1"/>
        </w:numPr>
        <w:spacing w:after="0" w:line="276" w:lineRule="auto"/>
        <w:ind w:left="714" w:hanging="357"/>
        <w:jc w:val="both"/>
        <w:rPr>
          <w:sz w:val="20"/>
          <w:szCs w:val="20"/>
          <w:lang w:val="en-US"/>
        </w:rPr>
      </w:pPr>
      <w:r w:rsidRPr="009228E1">
        <w:rPr>
          <w:sz w:val="20"/>
          <w:szCs w:val="20"/>
          <w:lang w:val="en-US"/>
        </w:rPr>
        <w:t xml:space="preserve">Johnson AL, Edson KZ, </w:t>
      </w:r>
      <w:proofErr w:type="spellStart"/>
      <w:r w:rsidRPr="009228E1">
        <w:rPr>
          <w:sz w:val="20"/>
          <w:szCs w:val="20"/>
          <w:lang w:val="en-US"/>
        </w:rPr>
        <w:t>Totah</w:t>
      </w:r>
      <w:proofErr w:type="spellEnd"/>
      <w:r w:rsidRPr="009228E1">
        <w:rPr>
          <w:sz w:val="20"/>
          <w:szCs w:val="20"/>
          <w:lang w:val="en-US"/>
        </w:rPr>
        <w:t xml:space="preserve"> RA, </w:t>
      </w:r>
      <w:proofErr w:type="spellStart"/>
      <w:r w:rsidRPr="009228E1">
        <w:rPr>
          <w:sz w:val="20"/>
          <w:szCs w:val="20"/>
          <w:lang w:val="en-US"/>
        </w:rPr>
        <w:t>Rettie</w:t>
      </w:r>
      <w:proofErr w:type="spellEnd"/>
      <w:r w:rsidRPr="009228E1">
        <w:rPr>
          <w:sz w:val="20"/>
          <w:szCs w:val="20"/>
          <w:lang w:val="en-US"/>
        </w:rPr>
        <w:t xml:space="preserve"> AE. Cytochrome P450 ω-Hydroxylases in Inflammation and Cancer. </w:t>
      </w:r>
      <w:proofErr w:type="spellStart"/>
      <w:r w:rsidRPr="009228E1">
        <w:rPr>
          <w:sz w:val="20"/>
          <w:szCs w:val="20"/>
          <w:lang w:val="en-US"/>
        </w:rPr>
        <w:t>Adv</w:t>
      </w:r>
      <w:proofErr w:type="spellEnd"/>
      <w:r w:rsidRPr="009228E1">
        <w:rPr>
          <w:sz w:val="20"/>
          <w:szCs w:val="20"/>
          <w:lang w:val="en-US"/>
        </w:rPr>
        <w:t xml:space="preserve"> </w:t>
      </w:r>
      <w:proofErr w:type="spellStart"/>
      <w:r w:rsidRPr="009228E1">
        <w:rPr>
          <w:sz w:val="20"/>
          <w:szCs w:val="20"/>
          <w:lang w:val="en-US"/>
        </w:rPr>
        <w:t>Pharmacol</w:t>
      </w:r>
      <w:proofErr w:type="spellEnd"/>
      <w:r w:rsidRPr="009228E1">
        <w:rPr>
          <w:sz w:val="20"/>
          <w:szCs w:val="20"/>
          <w:lang w:val="en-US"/>
        </w:rPr>
        <w:t xml:space="preserve">. 2015;74: 223-262. </w:t>
      </w:r>
      <w:proofErr w:type="spellStart"/>
      <w:r w:rsidRPr="009228E1">
        <w:rPr>
          <w:sz w:val="20"/>
          <w:szCs w:val="20"/>
          <w:lang w:val="en-US"/>
        </w:rPr>
        <w:t>doi</w:t>
      </w:r>
      <w:proofErr w:type="spellEnd"/>
      <w:r w:rsidRPr="009228E1">
        <w:rPr>
          <w:sz w:val="20"/>
          <w:szCs w:val="20"/>
          <w:lang w:val="en-US"/>
        </w:rPr>
        <w:t>: 10.1016/bs.apha.2015.05.002</w:t>
      </w:r>
    </w:p>
    <w:p w:rsidR="00CA137C" w:rsidRPr="009228E1" w:rsidRDefault="00CA137C" w:rsidP="005F4C0E">
      <w:pPr>
        <w:numPr>
          <w:ilvl w:val="0"/>
          <w:numId w:val="1"/>
        </w:numPr>
        <w:spacing w:after="0" w:line="276" w:lineRule="auto"/>
        <w:ind w:left="714" w:hanging="357"/>
        <w:jc w:val="both"/>
        <w:rPr>
          <w:sz w:val="20"/>
          <w:szCs w:val="20"/>
          <w:lang w:val="en-US"/>
        </w:rPr>
      </w:pPr>
      <w:proofErr w:type="spellStart"/>
      <w:r w:rsidRPr="009228E1">
        <w:rPr>
          <w:sz w:val="20"/>
          <w:szCs w:val="20"/>
          <w:lang w:val="en-US"/>
        </w:rPr>
        <w:t>Wickström</w:t>
      </w:r>
      <w:proofErr w:type="spellEnd"/>
      <w:r w:rsidRPr="009228E1">
        <w:rPr>
          <w:sz w:val="20"/>
          <w:szCs w:val="20"/>
          <w:lang w:val="en-US"/>
        </w:rPr>
        <w:t xml:space="preserve"> M, Larsson R, </w:t>
      </w:r>
      <w:proofErr w:type="spellStart"/>
      <w:r w:rsidRPr="009228E1">
        <w:rPr>
          <w:sz w:val="20"/>
          <w:szCs w:val="20"/>
          <w:lang w:val="en-US"/>
        </w:rPr>
        <w:t>Nygren</w:t>
      </w:r>
      <w:proofErr w:type="spellEnd"/>
      <w:r w:rsidRPr="009228E1">
        <w:rPr>
          <w:sz w:val="20"/>
          <w:szCs w:val="20"/>
          <w:lang w:val="en-US"/>
        </w:rPr>
        <w:t xml:space="preserve"> P, </w:t>
      </w:r>
      <w:proofErr w:type="spellStart"/>
      <w:r w:rsidRPr="009228E1">
        <w:rPr>
          <w:sz w:val="20"/>
          <w:szCs w:val="20"/>
          <w:lang w:val="en-US"/>
        </w:rPr>
        <w:t>Gullbo</w:t>
      </w:r>
      <w:proofErr w:type="spellEnd"/>
      <w:r w:rsidRPr="009228E1">
        <w:rPr>
          <w:sz w:val="20"/>
          <w:szCs w:val="20"/>
          <w:lang w:val="en-US"/>
        </w:rPr>
        <w:t xml:space="preserve"> J. Aminopeptidase N (CD13) as a target for cancer chemotherapy. Cancer Sci. 2011;102: 501-508. </w:t>
      </w:r>
      <w:proofErr w:type="spellStart"/>
      <w:r w:rsidRPr="009228E1">
        <w:rPr>
          <w:sz w:val="20"/>
          <w:szCs w:val="20"/>
          <w:lang w:val="en-US"/>
        </w:rPr>
        <w:t>doi</w:t>
      </w:r>
      <w:proofErr w:type="spellEnd"/>
      <w:r w:rsidRPr="009228E1">
        <w:rPr>
          <w:sz w:val="20"/>
          <w:szCs w:val="20"/>
          <w:lang w:val="en-US"/>
        </w:rPr>
        <w:t>: 10.1111/j.1349-7006.2010.01826.x.</w:t>
      </w:r>
    </w:p>
    <w:p w:rsidR="00CA137C" w:rsidRPr="009228E1" w:rsidRDefault="00CA137C" w:rsidP="005F4C0E">
      <w:pPr>
        <w:numPr>
          <w:ilvl w:val="0"/>
          <w:numId w:val="1"/>
        </w:numPr>
        <w:shd w:val="clear" w:color="auto" w:fill="FFFFFF"/>
        <w:spacing w:after="0" w:line="276" w:lineRule="auto"/>
        <w:ind w:left="714" w:hanging="357"/>
        <w:jc w:val="both"/>
        <w:textAlignment w:val="baseline"/>
        <w:rPr>
          <w:rFonts w:cs="Calibri"/>
          <w:lang w:val="en-US" w:eastAsia="pl-PL"/>
        </w:rPr>
      </w:pPr>
      <w:r w:rsidRPr="009228E1">
        <w:rPr>
          <w:rFonts w:cs="Calibri"/>
          <w:sz w:val="20"/>
          <w:szCs w:val="20"/>
          <w:lang w:val="en-US" w:eastAsia="pl-PL"/>
        </w:rPr>
        <w:t xml:space="preserve">Carroll B, </w:t>
      </w:r>
      <w:proofErr w:type="spellStart"/>
      <w:r w:rsidRPr="009228E1">
        <w:rPr>
          <w:rFonts w:cs="Calibri"/>
          <w:sz w:val="20"/>
          <w:szCs w:val="20"/>
          <w:lang w:val="en-US" w:eastAsia="pl-PL"/>
        </w:rPr>
        <w:t>Mohd-Naim</w:t>
      </w:r>
      <w:proofErr w:type="spellEnd"/>
      <w:r w:rsidRPr="009228E1">
        <w:rPr>
          <w:rFonts w:cs="Calibri"/>
          <w:sz w:val="20"/>
          <w:szCs w:val="20"/>
          <w:lang w:val="en-US" w:eastAsia="pl-PL"/>
        </w:rPr>
        <w:t xml:space="preserve"> N, </w:t>
      </w:r>
      <w:proofErr w:type="spellStart"/>
      <w:r w:rsidRPr="009228E1">
        <w:rPr>
          <w:rFonts w:cs="Calibri"/>
          <w:sz w:val="20"/>
          <w:szCs w:val="20"/>
          <w:lang w:val="en-US" w:eastAsia="pl-PL"/>
        </w:rPr>
        <w:t>Maximiano</w:t>
      </w:r>
      <w:proofErr w:type="spellEnd"/>
      <w:r w:rsidRPr="009228E1">
        <w:rPr>
          <w:rFonts w:cs="Calibri"/>
          <w:sz w:val="20"/>
          <w:szCs w:val="20"/>
          <w:lang w:val="en-US" w:eastAsia="pl-PL"/>
        </w:rPr>
        <w:t xml:space="preserve"> F, </w:t>
      </w:r>
      <w:proofErr w:type="spellStart"/>
      <w:r w:rsidRPr="009228E1">
        <w:rPr>
          <w:rFonts w:cs="Calibri"/>
          <w:sz w:val="20"/>
          <w:szCs w:val="20"/>
          <w:lang w:val="en-US" w:eastAsia="pl-PL"/>
        </w:rPr>
        <w:t>Frasa</w:t>
      </w:r>
      <w:proofErr w:type="spellEnd"/>
      <w:r w:rsidRPr="009228E1">
        <w:rPr>
          <w:rFonts w:cs="Calibri"/>
          <w:sz w:val="20"/>
          <w:szCs w:val="20"/>
          <w:lang w:val="en-US" w:eastAsia="pl-PL"/>
        </w:rPr>
        <w:t xml:space="preserve"> MA, McCormack J, </w:t>
      </w:r>
      <w:proofErr w:type="spellStart"/>
      <w:r w:rsidRPr="009228E1">
        <w:rPr>
          <w:rFonts w:cs="Calibri"/>
          <w:sz w:val="20"/>
          <w:szCs w:val="20"/>
          <w:lang w:val="en-US" w:eastAsia="pl-PL"/>
        </w:rPr>
        <w:t>Finelli</w:t>
      </w:r>
      <w:proofErr w:type="spellEnd"/>
      <w:r w:rsidRPr="009228E1">
        <w:rPr>
          <w:rFonts w:cs="Calibri"/>
          <w:sz w:val="20"/>
          <w:szCs w:val="20"/>
          <w:lang w:val="en-US" w:eastAsia="pl-PL"/>
        </w:rPr>
        <w:t xml:space="preserve"> M, et al. The TBC/</w:t>
      </w:r>
      <w:proofErr w:type="spellStart"/>
      <w:r w:rsidRPr="009228E1">
        <w:rPr>
          <w:rFonts w:cs="Calibri"/>
          <w:sz w:val="20"/>
          <w:szCs w:val="20"/>
          <w:lang w:val="en-US" w:eastAsia="pl-PL"/>
        </w:rPr>
        <w:t>RabGAP</w:t>
      </w:r>
      <w:proofErr w:type="spellEnd"/>
      <w:r w:rsidRPr="009228E1">
        <w:rPr>
          <w:rFonts w:cs="Calibri"/>
          <w:sz w:val="20"/>
          <w:szCs w:val="20"/>
          <w:lang w:val="en-US" w:eastAsia="pl-PL"/>
        </w:rPr>
        <w:t xml:space="preserve"> </w:t>
      </w:r>
      <w:proofErr w:type="spellStart"/>
      <w:r w:rsidRPr="009228E1">
        <w:rPr>
          <w:rFonts w:cs="Calibri"/>
          <w:sz w:val="20"/>
          <w:szCs w:val="20"/>
          <w:lang w:val="en-US" w:eastAsia="pl-PL"/>
        </w:rPr>
        <w:t>Armus</w:t>
      </w:r>
      <w:proofErr w:type="spellEnd"/>
      <w:r w:rsidRPr="009228E1">
        <w:rPr>
          <w:rFonts w:cs="Calibri"/>
          <w:sz w:val="20"/>
          <w:szCs w:val="20"/>
          <w:lang w:val="en-US" w:eastAsia="pl-PL"/>
        </w:rPr>
        <w:t xml:space="preserve"> coordinates Rac1 and Rab7 functions during autophagy. Dev Cell. 2013;25: 15-28. </w:t>
      </w:r>
      <w:proofErr w:type="spellStart"/>
      <w:r w:rsidRPr="009228E1">
        <w:rPr>
          <w:rFonts w:cs="Calibri"/>
          <w:sz w:val="20"/>
          <w:szCs w:val="20"/>
          <w:lang w:val="en-US" w:eastAsia="pl-PL"/>
        </w:rPr>
        <w:t>doi</w:t>
      </w:r>
      <w:proofErr w:type="spellEnd"/>
      <w:r w:rsidRPr="009228E1">
        <w:rPr>
          <w:rFonts w:cs="Calibri"/>
          <w:sz w:val="20"/>
          <w:szCs w:val="20"/>
          <w:lang w:val="en-US" w:eastAsia="pl-PL"/>
        </w:rPr>
        <w:t>: 10.1016/j.devcel.2013.03.005.</w:t>
      </w:r>
    </w:p>
    <w:p w:rsidR="00CA137C" w:rsidRPr="00064334" w:rsidRDefault="00CA137C" w:rsidP="00064334">
      <w:bookmarkStart w:id="0" w:name="_GoBack"/>
      <w:bookmarkEnd w:id="0"/>
    </w:p>
    <w:sectPr w:rsidR="00CA137C" w:rsidRPr="00064334" w:rsidSect="0024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426"/>
    <w:multiLevelType w:val="hybridMultilevel"/>
    <w:tmpl w:val="38267F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C7"/>
    <w:rsid w:val="0004263E"/>
    <w:rsid w:val="00064334"/>
    <w:rsid w:val="000E4019"/>
    <w:rsid w:val="0011253B"/>
    <w:rsid w:val="00244D8C"/>
    <w:rsid w:val="00256444"/>
    <w:rsid w:val="004405DD"/>
    <w:rsid w:val="004F5CF9"/>
    <w:rsid w:val="00571E0E"/>
    <w:rsid w:val="005F4C0E"/>
    <w:rsid w:val="0061152E"/>
    <w:rsid w:val="00631938"/>
    <w:rsid w:val="008F3445"/>
    <w:rsid w:val="009228E1"/>
    <w:rsid w:val="00A76238"/>
    <w:rsid w:val="00AE3602"/>
    <w:rsid w:val="00BB70C7"/>
    <w:rsid w:val="00C70E1E"/>
    <w:rsid w:val="00CA137C"/>
    <w:rsid w:val="00E778A0"/>
    <w:rsid w:val="00FA606A"/>
    <w:rsid w:val="00FE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D8C"/>
    <w:pPr>
      <w:spacing w:after="160" w:line="259" w:lineRule="auto"/>
    </w:pPr>
    <w:rPr>
      <w:lang w:val="de-CH"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rsid w:val="004405DD"/>
    <w:rPr>
      <w:rFonts w:cs="Times New Roman"/>
      <w:sz w:val="16"/>
      <w:szCs w:val="16"/>
    </w:rPr>
  </w:style>
  <w:style w:type="paragraph" w:styleId="Tekstkomentarza">
    <w:name w:val="annotation text"/>
    <w:basedOn w:val="Normalny"/>
    <w:link w:val="TekstkomentarzaZnak"/>
    <w:uiPriority w:val="99"/>
    <w:semiHidden/>
    <w:rsid w:val="004405D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05DD"/>
    <w:rPr>
      <w:rFonts w:cs="Times New Roman"/>
      <w:sz w:val="20"/>
      <w:szCs w:val="20"/>
      <w:lang w:val="de-CH"/>
    </w:rPr>
  </w:style>
  <w:style w:type="paragraph" w:styleId="Tematkomentarza">
    <w:name w:val="annotation subject"/>
    <w:basedOn w:val="Tekstkomentarza"/>
    <w:next w:val="Tekstkomentarza"/>
    <w:link w:val="TematkomentarzaZnak"/>
    <w:uiPriority w:val="99"/>
    <w:semiHidden/>
    <w:rsid w:val="004405DD"/>
    <w:rPr>
      <w:b/>
      <w:bCs/>
    </w:rPr>
  </w:style>
  <w:style w:type="character" w:customStyle="1" w:styleId="TematkomentarzaZnak">
    <w:name w:val="Temat komentarza Znak"/>
    <w:basedOn w:val="TekstkomentarzaZnak"/>
    <w:link w:val="Tematkomentarza"/>
    <w:uiPriority w:val="99"/>
    <w:semiHidden/>
    <w:locked/>
    <w:rsid w:val="004405DD"/>
    <w:rPr>
      <w:rFonts w:cs="Times New Roman"/>
      <w:b/>
      <w:bCs/>
      <w:sz w:val="20"/>
      <w:szCs w:val="20"/>
      <w:lang w:val="de-CH"/>
    </w:rPr>
  </w:style>
  <w:style w:type="paragraph" w:styleId="Tekstdymka">
    <w:name w:val="Balloon Text"/>
    <w:basedOn w:val="Normalny"/>
    <w:link w:val="TekstdymkaZnak"/>
    <w:uiPriority w:val="99"/>
    <w:semiHidden/>
    <w:rsid w:val="004405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05DD"/>
    <w:rPr>
      <w:rFonts w:ascii="Segoe UI" w:hAnsi="Segoe UI" w:cs="Segoe UI"/>
      <w:sz w:val="18"/>
      <w:szCs w:val="18"/>
      <w:lang w:val="de-CH"/>
    </w:rPr>
  </w:style>
  <w:style w:type="character" w:styleId="Hipercze">
    <w:name w:val="Hyperlink"/>
    <w:basedOn w:val="Domylnaczcionkaakapitu"/>
    <w:uiPriority w:val="99"/>
    <w:rsid w:val="0006433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D8C"/>
    <w:pPr>
      <w:spacing w:after="160" w:line="259" w:lineRule="auto"/>
    </w:pPr>
    <w:rPr>
      <w:lang w:val="de-CH"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rsid w:val="004405DD"/>
    <w:rPr>
      <w:rFonts w:cs="Times New Roman"/>
      <w:sz w:val="16"/>
      <w:szCs w:val="16"/>
    </w:rPr>
  </w:style>
  <w:style w:type="paragraph" w:styleId="Tekstkomentarza">
    <w:name w:val="annotation text"/>
    <w:basedOn w:val="Normalny"/>
    <w:link w:val="TekstkomentarzaZnak"/>
    <w:uiPriority w:val="99"/>
    <w:semiHidden/>
    <w:rsid w:val="004405D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05DD"/>
    <w:rPr>
      <w:rFonts w:cs="Times New Roman"/>
      <w:sz w:val="20"/>
      <w:szCs w:val="20"/>
      <w:lang w:val="de-CH"/>
    </w:rPr>
  </w:style>
  <w:style w:type="paragraph" w:styleId="Tematkomentarza">
    <w:name w:val="annotation subject"/>
    <w:basedOn w:val="Tekstkomentarza"/>
    <w:next w:val="Tekstkomentarza"/>
    <w:link w:val="TematkomentarzaZnak"/>
    <w:uiPriority w:val="99"/>
    <w:semiHidden/>
    <w:rsid w:val="004405DD"/>
    <w:rPr>
      <w:b/>
      <w:bCs/>
    </w:rPr>
  </w:style>
  <w:style w:type="character" w:customStyle="1" w:styleId="TematkomentarzaZnak">
    <w:name w:val="Temat komentarza Znak"/>
    <w:basedOn w:val="TekstkomentarzaZnak"/>
    <w:link w:val="Tematkomentarza"/>
    <w:uiPriority w:val="99"/>
    <w:semiHidden/>
    <w:locked/>
    <w:rsid w:val="004405DD"/>
    <w:rPr>
      <w:rFonts w:cs="Times New Roman"/>
      <w:b/>
      <w:bCs/>
      <w:sz w:val="20"/>
      <w:szCs w:val="20"/>
      <w:lang w:val="de-CH"/>
    </w:rPr>
  </w:style>
  <w:style w:type="paragraph" w:styleId="Tekstdymka">
    <w:name w:val="Balloon Text"/>
    <w:basedOn w:val="Normalny"/>
    <w:link w:val="TekstdymkaZnak"/>
    <w:uiPriority w:val="99"/>
    <w:semiHidden/>
    <w:rsid w:val="004405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05DD"/>
    <w:rPr>
      <w:rFonts w:ascii="Segoe UI" w:hAnsi="Segoe UI" w:cs="Segoe UI"/>
      <w:sz w:val="18"/>
      <w:szCs w:val="18"/>
      <w:lang w:val="de-CH"/>
    </w:rPr>
  </w:style>
  <w:style w:type="character" w:styleId="Hipercze">
    <w:name w:val="Hyperlink"/>
    <w:basedOn w:val="Domylnaczcionkaakapitu"/>
    <w:uiPriority w:val="99"/>
    <w:rsid w:val="000643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6041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Additional information on proteins of which expression was affected by DIO1 in renal cancer cells</vt:lpstr>
    </vt:vector>
  </TitlesOfParts>
  <Company>Microsoft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on proteins of which expression was affected by DIO1 in renal cancer cells</dc:title>
  <dc:creator>a pw</dc:creator>
  <cp:lastModifiedBy>Agnieszka Piekiełko-Witkowska</cp:lastModifiedBy>
  <cp:revision>4</cp:revision>
  <dcterms:created xsi:type="dcterms:W3CDTF">2017-11-08T07:49:00Z</dcterms:created>
  <dcterms:modified xsi:type="dcterms:W3CDTF">2017-11-08T11:54:00Z</dcterms:modified>
</cp:coreProperties>
</file>