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0" w:rsidRPr="00216192" w:rsidRDefault="000B6860" w:rsidP="000B686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S7</w:t>
      </w:r>
      <w:r w:rsidRPr="00216192">
        <w:rPr>
          <w:rFonts w:ascii="Times New Roman" w:hAnsi="Times New Roman"/>
          <w:b/>
          <w:sz w:val="24"/>
          <w:szCs w:val="24"/>
        </w:rPr>
        <w:t xml:space="preserve"> Table.</w:t>
      </w:r>
      <w:proofErr w:type="gramEnd"/>
      <w:r w:rsidRPr="00216192">
        <w:rPr>
          <w:rFonts w:ascii="Times New Roman" w:hAnsi="Times New Roman"/>
          <w:b/>
          <w:sz w:val="24"/>
          <w:szCs w:val="24"/>
        </w:rPr>
        <w:t xml:space="preserve"> Odds of EAC treatment among </w:t>
      </w:r>
      <w:r w:rsidRPr="00216192">
        <w:rPr>
          <w:rFonts w:ascii="Times New Roman" w:hAnsi="Times New Roman"/>
          <w:b/>
          <w:bCs/>
          <w:sz w:val="24"/>
          <w:szCs w:val="24"/>
        </w:rPr>
        <w:t>people diagnosed</w:t>
      </w:r>
      <w:r w:rsidRPr="00216192">
        <w:rPr>
          <w:rFonts w:ascii="Times New Roman" w:hAnsi="Times New Roman"/>
          <w:b/>
          <w:sz w:val="24"/>
          <w:szCs w:val="24"/>
        </w:rPr>
        <w:t xml:space="preserve"> with esophageal adenocarcinoma by income quintile, 1993-2012: Multiple imputation method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1671"/>
        <w:gridCol w:w="1669"/>
        <w:gridCol w:w="1009"/>
        <w:gridCol w:w="292"/>
        <w:gridCol w:w="1669"/>
        <w:gridCol w:w="1001"/>
        <w:gridCol w:w="250"/>
        <w:gridCol w:w="1669"/>
        <w:gridCol w:w="1020"/>
        <w:gridCol w:w="237"/>
        <w:gridCol w:w="1669"/>
        <w:gridCol w:w="986"/>
      </w:tblGrid>
      <w:tr w:rsidR="000B6860" w:rsidRPr="006121A2" w:rsidTr="00345C08"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Variable</w:t>
            </w:r>
          </w:p>
        </w:tc>
        <w:tc>
          <w:tcPr>
            <w:tcW w:w="436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EAC treatment after diagnosis</w:t>
            </w: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 xml:space="preserve">Surgery 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Chemotherapy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Radiotherapy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Surgery + Chemotherapy</w:t>
            </w:r>
          </w:p>
        </w:tc>
      </w:tr>
      <w:tr w:rsidR="000B6860" w:rsidRPr="006121A2" w:rsidTr="00345C08"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</w:tr>
      <w:tr w:rsidR="000B6860" w:rsidRPr="006121A2" w:rsidTr="00345C08"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Income quintile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Q1 (lowest)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0.85 (0.64-1.12)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0.58 (0.41-0.81)</w:t>
            </w:r>
          </w:p>
        </w:tc>
        <w:tc>
          <w:tcPr>
            <w:tcW w:w="381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0.60 (0.42-0.86)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0.66 (0.45-0.96)</w:t>
            </w:r>
          </w:p>
        </w:tc>
        <w:tc>
          <w:tcPr>
            <w:tcW w:w="375" w:type="pct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0.030</w:t>
            </w: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Q2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0.82 (0.62-1.09)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0.74 (0.53-1.03)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0.58 (0.41-0.83)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0.60 (0.41-0.88)</w:t>
            </w:r>
          </w:p>
        </w:tc>
        <w:tc>
          <w:tcPr>
            <w:tcW w:w="375" w:type="pct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Q3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1.02 (0.78-1.34)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0.82 (0.59-1.15)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0.69 (0.48-1.00)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0.88 (0.61-1.28)</w:t>
            </w: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0.512</w:t>
            </w: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Q4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1.05 (0.79-1.38)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0.76 (0.54-1.06)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0.60 (0.42-0.87)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0.88 (0.61-1.28)</w:t>
            </w: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0.513</w:t>
            </w:r>
          </w:p>
        </w:tc>
      </w:tr>
      <w:tr w:rsidR="000B6860" w:rsidRPr="006121A2" w:rsidTr="00345C08"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Q5 (highest)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>Reference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sz w:val="18"/>
                <w:szCs w:val="18"/>
              </w:rPr>
              <w:t xml:space="preserve">Reference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>Reference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>Reference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0B6860" w:rsidRPr="006121A2" w:rsidTr="00345C08"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Surgery + Radiotherapy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Chemotherapy + Radiotherapy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Surgery + Chemotherapy + Radiotherapy</w:t>
            </w: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</w:tr>
      <w:tr w:rsidR="000B6860" w:rsidRPr="006121A2" w:rsidTr="00345C08"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OR (95% CI)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121A2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-value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</w:tr>
      <w:tr w:rsidR="000B6860" w:rsidRPr="006121A2" w:rsidTr="00345C08"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Income quintile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Q1 (lowest)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2.44 (0.64-9.32)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0.77 (0.55-1.07)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(0.41-0.87)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Q2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2.72 (0.73-10.21)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0.79 (0.57-1.10)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0.69 (0.48-1.00)</w:t>
            </w:r>
          </w:p>
        </w:tc>
        <w:tc>
          <w:tcPr>
            <w:tcW w:w="388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Q3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3.25 (0.88-11.99)</w:t>
            </w:r>
          </w:p>
        </w:tc>
        <w:tc>
          <w:tcPr>
            <w:tcW w:w="384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1.03 (0.74-1.44)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0.95 (0.66-1.37)</w:t>
            </w:r>
          </w:p>
        </w:tc>
        <w:tc>
          <w:tcPr>
            <w:tcW w:w="388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860" w:rsidRPr="006121A2" w:rsidTr="00345C08">
        <w:tc>
          <w:tcPr>
            <w:tcW w:w="636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Q4</w:t>
            </w: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3.91 (1.1-13.94)</w:t>
            </w:r>
          </w:p>
        </w:tc>
        <w:tc>
          <w:tcPr>
            <w:tcW w:w="384" w:type="pct"/>
            <w:shd w:val="clear" w:color="auto" w:fill="auto"/>
          </w:tcPr>
          <w:p w:rsidR="000B6860" w:rsidRPr="00E55760" w:rsidRDefault="000B6860" w:rsidP="00345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57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0.88 (0.63-1.23)</w:t>
            </w:r>
          </w:p>
        </w:tc>
        <w:tc>
          <w:tcPr>
            <w:tcW w:w="381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9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0.85 (0.59-1.22)</w:t>
            </w:r>
          </w:p>
        </w:tc>
        <w:tc>
          <w:tcPr>
            <w:tcW w:w="388" w:type="pct"/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1A2">
              <w:rPr>
                <w:rFonts w:ascii="Times New Roman" w:hAnsi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90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860" w:rsidRPr="006121A2" w:rsidTr="00345C08"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6121A2">
              <w:rPr>
                <w:rFonts w:ascii="Times New Roman" w:hAnsi="Times New Roman"/>
                <w:sz w:val="20"/>
                <w:szCs w:val="20"/>
                <w:lang w:val="en-CA"/>
              </w:rPr>
              <w:t>Q5 (highest)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>Reference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>Reference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21A2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Reference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0B6860" w:rsidRPr="006121A2" w:rsidRDefault="000B6860" w:rsidP="00345C0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</w:tbl>
    <w:p w:rsidR="000B6860" w:rsidRDefault="000B6860" w:rsidP="000B6860">
      <w:pPr>
        <w:spacing w:after="0" w:line="360" w:lineRule="auto"/>
      </w:pPr>
      <w:r>
        <w:rPr>
          <w:rFonts w:ascii="Times New Roman" w:hAnsi="Times New Roman"/>
          <w:sz w:val="20"/>
          <w:szCs w:val="20"/>
        </w:rPr>
        <w:t>Total N = 5,382</w:t>
      </w:r>
    </w:p>
    <w:p w:rsidR="00E54B35" w:rsidRDefault="000B6860" w:rsidP="000B6860">
      <w:pPr>
        <w:spacing w:after="0" w:line="360" w:lineRule="auto"/>
      </w:pPr>
      <w:r w:rsidRPr="00C164E0">
        <w:rPr>
          <w:rFonts w:ascii="Times New Roman" w:hAnsi="Times New Roman"/>
          <w:sz w:val="20"/>
          <w:szCs w:val="20"/>
          <w:vertAlign w:val="superscript"/>
        </w:rPr>
        <w:t>*</w:t>
      </w:r>
      <w:r w:rsidRPr="00D046C2">
        <w:rPr>
          <w:rFonts w:ascii="Times New Roman" w:hAnsi="Times New Roman"/>
          <w:sz w:val="20"/>
          <w:szCs w:val="20"/>
        </w:rPr>
        <w:t>Multinomial</w:t>
      </w:r>
      <w:r>
        <w:rPr>
          <w:rFonts w:ascii="Times New Roman" w:hAnsi="Times New Roman"/>
          <w:sz w:val="20"/>
          <w:szCs w:val="20"/>
        </w:rPr>
        <w:t xml:space="preserve"> logistic regress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ion analysis (f</w:t>
      </w:r>
      <w:r w:rsidRPr="00A85D85">
        <w:rPr>
          <w:rFonts w:ascii="Times New Roman" w:hAnsi="Times New Roman"/>
          <w:sz w:val="20"/>
          <w:szCs w:val="20"/>
        </w:rPr>
        <w:t>ully</w:t>
      </w:r>
      <w:r>
        <w:rPr>
          <w:rFonts w:ascii="Times New Roman" w:hAnsi="Times New Roman"/>
          <w:sz w:val="20"/>
          <w:szCs w:val="20"/>
        </w:rPr>
        <w:t>-</w:t>
      </w:r>
      <w:r w:rsidRPr="00A85D85">
        <w:rPr>
          <w:rFonts w:ascii="Times New Roman" w:hAnsi="Times New Roman"/>
          <w:sz w:val="20"/>
          <w:szCs w:val="20"/>
        </w:rPr>
        <w:t>adjusted model</w:t>
      </w:r>
      <w:r>
        <w:rPr>
          <w:rFonts w:ascii="Times New Roman" w:hAnsi="Times New Roman"/>
          <w:sz w:val="20"/>
          <w:szCs w:val="20"/>
        </w:rPr>
        <w:t xml:space="preserve">) overall </w:t>
      </w:r>
      <w:r>
        <w:rPr>
          <w:rFonts w:ascii="Times New Roman" w:hAnsi="Times New Roman"/>
          <w:i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-values:</w:t>
      </w:r>
      <w:r w:rsidRPr="00A85D85">
        <w:rPr>
          <w:rFonts w:ascii="Times New Roman" w:hAnsi="Times New Roman"/>
          <w:sz w:val="20"/>
          <w:szCs w:val="20"/>
        </w:rPr>
        <w:t xml:space="preserve"> </w:t>
      </w:r>
      <w:r w:rsidRPr="00BD7615">
        <w:rPr>
          <w:rFonts w:ascii="Times New Roman" w:hAnsi="Times New Roman"/>
          <w:sz w:val="20"/>
          <w:szCs w:val="20"/>
        </w:rPr>
        <w:t>income quintile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 xml:space="preserve">P </w:t>
      </w:r>
      <w:r>
        <w:rPr>
          <w:rFonts w:ascii="Times New Roman" w:hAnsi="Times New Roman"/>
          <w:sz w:val="20"/>
          <w:szCs w:val="20"/>
        </w:rPr>
        <w:t>= 0.103)</w:t>
      </w:r>
      <w:r w:rsidRPr="00BD7615">
        <w:rPr>
          <w:rFonts w:ascii="Times New Roman" w:hAnsi="Times New Roman"/>
          <w:sz w:val="20"/>
          <w:szCs w:val="20"/>
        </w:rPr>
        <w:t xml:space="preserve">, </w:t>
      </w:r>
      <w:r w:rsidRPr="00A85D85">
        <w:rPr>
          <w:rFonts w:ascii="Times New Roman" w:hAnsi="Times New Roman"/>
          <w:sz w:val="20"/>
          <w:szCs w:val="20"/>
        </w:rPr>
        <w:t>age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P</w:t>
      </w:r>
      <w:r w:rsidRPr="00BD7615">
        <w:rPr>
          <w:rFonts w:ascii="Times New Roman" w:hAnsi="Times New Roman"/>
          <w:sz w:val="20"/>
          <w:szCs w:val="20"/>
        </w:rPr>
        <w:t xml:space="preserve"> &lt;</w:t>
      </w:r>
      <w:r>
        <w:rPr>
          <w:rFonts w:ascii="Times New Roman" w:hAnsi="Times New Roman"/>
          <w:sz w:val="20"/>
          <w:szCs w:val="20"/>
        </w:rPr>
        <w:t xml:space="preserve"> 0</w:t>
      </w:r>
      <w:r w:rsidRPr="00BD7615">
        <w:rPr>
          <w:rFonts w:ascii="Times New Roman" w:hAnsi="Times New Roman"/>
          <w:sz w:val="20"/>
          <w:szCs w:val="20"/>
        </w:rPr>
        <w:t>.001)</w:t>
      </w:r>
      <w:r w:rsidRPr="00A85D8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gender (</w:t>
      </w:r>
      <w:r>
        <w:rPr>
          <w:rFonts w:ascii="Times New Roman" w:hAnsi="Times New Roman"/>
          <w:i/>
          <w:sz w:val="20"/>
          <w:szCs w:val="20"/>
        </w:rPr>
        <w:t xml:space="preserve">P </w:t>
      </w:r>
      <w:r>
        <w:rPr>
          <w:rFonts w:ascii="Times New Roman" w:hAnsi="Times New Roman"/>
          <w:sz w:val="20"/>
          <w:szCs w:val="20"/>
        </w:rPr>
        <w:t>= 0.020), residence (</w:t>
      </w:r>
      <w:r>
        <w:rPr>
          <w:rFonts w:ascii="Times New Roman" w:hAnsi="Times New Roman"/>
          <w:i/>
          <w:sz w:val="20"/>
          <w:szCs w:val="20"/>
        </w:rPr>
        <w:t xml:space="preserve">P </w:t>
      </w:r>
      <w:r>
        <w:rPr>
          <w:rFonts w:ascii="Times New Roman" w:hAnsi="Times New Roman"/>
          <w:sz w:val="20"/>
          <w:szCs w:val="20"/>
        </w:rPr>
        <w:t>= 0.034), birth</w:t>
      </w:r>
      <w:r w:rsidRPr="00C708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country (</w:t>
      </w:r>
      <w:r>
        <w:rPr>
          <w:rFonts w:ascii="Times New Roman" w:hAnsi="Times New Roman"/>
          <w:i/>
          <w:sz w:val="20"/>
          <w:szCs w:val="20"/>
        </w:rPr>
        <w:t xml:space="preserve">P </w:t>
      </w:r>
      <w:r>
        <w:rPr>
          <w:rFonts w:ascii="Times New Roman" w:hAnsi="Times New Roman"/>
          <w:sz w:val="20"/>
          <w:szCs w:val="20"/>
        </w:rPr>
        <w:t>= 0.052), Ontario health region (</w:t>
      </w:r>
      <w:r>
        <w:rPr>
          <w:rFonts w:ascii="Times New Roman" w:hAnsi="Times New Roman"/>
          <w:i/>
          <w:sz w:val="20"/>
          <w:szCs w:val="20"/>
        </w:rPr>
        <w:t>P</w:t>
      </w:r>
      <w:r w:rsidRPr="00BD7615">
        <w:rPr>
          <w:rFonts w:ascii="Times New Roman" w:hAnsi="Times New Roman"/>
          <w:sz w:val="20"/>
          <w:szCs w:val="20"/>
        </w:rPr>
        <w:t xml:space="preserve"> &lt;</w:t>
      </w:r>
      <w:r>
        <w:rPr>
          <w:rFonts w:ascii="Times New Roman" w:hAnsi="Times New Roman"/>
          <w:sz w:val="20"/>
          <w:szCs w:val="20"/>
        </w:rPr>
        <w:t xml:space="preserve"> 0</w:t>
      </w:r>
      <w:r w:rsidRPr="00BD7615">
        <w:rPr>
          <w:rFonts w:ascii="Times New Roman" w:hAnsi="Times New Roman"/>
          <w:sz w:val="20"/>
          <w:szCs w:val="20"/>
        </w:rPr>
        <w:t>.001)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D7615">
        <w:rPr>
          <w:rFonts w:ascii="Times New Roman" w:hAnsi="Times New Roman"/>
          <w:sz w:val="20"/>
          <w:szCs w:val="20"/>
        </w:rPr>
        <w:t>Aggregated Diagnosis Group (ADG)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 xml:space="preserve">P </w:t>
      </w:r>
      <w:r>
        <w:rPr>
          <w:rFonts w:ascii="Times New Roman" w:hAnsi="Times New Roman"/>
          <w:sz w:val="20"/>
          <w:szCs w:val="20"/>
        </w:rPr>
        <w:t>= 0.004), cancer stage at EAC diagnosis (</w:t>
      </w:r>
      <w:r>
        <w:rPr>
          <w:rFonts w:ascii="Times New Roman" w:hAnsi="Times New Roman"/>
          <w:i/>
          <w:sz w:val="20"/>
          <w:szCs w:val="20"/>
        </w:rPr>
        <w:t>P</w:t>
      </w:r>
      <w:r w:rsidRPr="00BD7615">
        <w:rPr>
          <w:rFonts w:ascii="Times New Roman" w:hAnsi="Times New Roman"/>
          <w:sz w:val="20"/>
          <w:szCs w:val="20"/>
        </w:rPr>
        <w:t xml:space="preserve"> &lt;</w:t>
      </w:r>
      <w:r>
        <w:rPr>
          <w:rFonts w:ascii="Times New Roman" w:hAnsi="Times New Roman"/>
          <w:sz w:val="20"/>
          <w:szCs w:val="20"/>
        </w:rPr>
        <w:t xml:space="preserve"> 0</w:t>
      </w:r>
      <w:r w:rsidRPr="00BD7615">
        <w:rPr>
          <w:rFonts w:ascii="Times New Roman" w:hAnsi="Times New Roman"/>
          <w:sz w:val="20"/>
          <w:szCs w:val="20"/>
        </w:rPr>
        <w:t>.001)</w:t>
      </w:r>
      <w:r>
        <w:rPr>
          <w:rFonts w:ascii="Times New Roman" w:hAnsi="Times New Roman"/>
          <w:sz w:val="20"/>
          <w:szCs w:val="20"/>
        </w:rPr>
        <w:t xml:space="preserve"> and year</w:t>
      </w:r>
      <w:r w:rsidRPr="00A85D85">
        <w:rPr>
          <w:rFonts w:ascii="Times New Roman" w:hAnsi="Times New Roman"/>
          <w:sz w:val="20"/>
          <w:szCs w:val="20"/>
        </w:rPr>
        <w:t xml:space="preserve"> of</w:t>
      </w:r>
      <w:r>
        <w:rPr>
          <w:rFonts w:ascii="Times New Roman" w:hAnsi="Times New Roman"/>
          <w:sz w:val="20"/>
          <w:szCs w:val="20"/>
        </w:rPr>
        <w:t xml:space="preserve"> EAC diagnosis (</w:t>
      </w:r>
      <w:r>
        <w:rPr>
          <w:rFonts w:ascii="Times New Roman" w:hAnsi="Times New Roman"/>
          <w:i/>
          <w:sz w:val="20"/>
          <w:szCs w:val="20"/>
        </w:rPr>
        <w:t>P</w:t>
      </w:r>
      <w:r w:rsidRPr="00BD7615">
        <w:rPr>
          <w:rFonts w:ascii="Times New Roman" w:hAnsi="Times New Roman"/>
          <w:sz w:val="20"/>
          <w:szCs w:val="20"/>
        </w:rPr>
        <w:t xml:space="preserve"> &lt;</w:t>
      </w:r>
      <w:r>
        <w:rPr>
          <w:rFonts w:ascii="Times New Roman" w:hAnsi="Times New Roman"/>
          <w:sz w:val="20"/>
          <w:szCs w:val="20"/>
        </w:rPr>
        <w:t xml:space="preserve"> 0</w:t>
      </w:r>
      <w:r w:rsidRPr="00BD7615">
        <w:rPr>
          <w:rFonts w:ascii="Times New Roman" w:hAnsi="Times New Roman"/>
          <w:sz w:val="20"/>
          <w:szCs w:val="20"/>
        </w:rPr>
        <w:t>.001).</w:t>
      </w:r>
    </w:p>
    <w:sectPr w:rsidR="00E54B35" w:rsidSect="000B686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18" w:rsidRDefault="00C61C18" w:rsidP="000B6860">
      <w:pPr>
        <w:spacing w:after="0" w:line="240" w:lineRule="auto"/>
      </w:pPr>
      <w:r>
        <w:separator/>
      </w:r>
    </w:p>
  </w:endnote>
  <w:endnote w:type="continuationSeparator" w:id="0">
    <w:p w:rsidR="00C61C18" w:rsidRDefault="00C61C18" w:rsidP="000B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60" w:rsidRPr="000B6860" w:rsidRDefault="000B6860" w:rsidP="000B6860">
    <w:pPr>
      <w:spacing w:after="0" w:line="240" w:lineRule="auto"/>
      <w:rPr>
        <w:rFonts w:ascii="Times New Roman" w:hAnsi="Times New Roman"/>
        <w:color w:val="000000"/>
        <w:sz w:val="20"/>
        <w:szCs w:val="20"/>
      </w:rPr>
    </w:pPr>
    <w:r w:rsidRPr="00B4440E">
      <w:rPr>
        <w:rFonts w:ascii="Times New Roman" w:hAnsi="Times New Roman"/>
        <w:sz w:val="20"/>
        <w:szCs w:val="20"/>
      </w:rPr>
      <w:t xml:space="preserve">Thein et al. </w:t>
    </w:r>
    <w:r w:rsidRPr="00B4440E">
      <w:rPr>
        <w:rFonts w:ascii="Times New Roman" w:hAnsi="Times New Roman"/>
        <w:color w:val="000000"/>
        <w:sz w:val="20"/>
        <w:szCs w:val="20"/>
      </w:rPr>
      <w:t>Effects of socioeconomic status on esophageal adenocarcinoma</w:t>
    </w:r>
    <w:r w:rsidRPr="00B4440E">
      <w:rPr>
        <w:rFonts w:ascii="Times New Roman" w:hAnsi="Times New Roman"/>
        <w:sz w:val="20"/>
        <w:szCs w:val="20"/>
        <w:lang w:val="en-CA"/>
      </w:rPr>
      <w:t xml:space="preserve"> stage at diagnosis, receipt of treatment, and survival</w:t>
    </w:r>
    <w:r w:rsidRPr="00B4440E">
      <w:rPr>
        <w:rFonts w:ascii="Times New Roman" w:hAnsi="Times New Roman"/>
        <w:color w:val="000000"/>
        <w:sz w:val="20"/>
        <w:szCs w:val="20"/>
      </w:rPr>
      <w:t>: a population-based cohort study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18" w:rsidRDefault="00C61C18" w:rsidP="000B6860">
      <w:pPr>
        <w:spacing w:after="0" w:line="240" w:lineRule="auto"/>
      </w:pPr>
      <w:r>
        <w:separator/>
      </w:r>
    </w:p>
  </w:footnote>
  <w:footnote w:type="continuationSeparator" w:id="0">
    <w:p w:rsidR="00C61C18" w:rsidRDefault="00C61C18" w:rsidP="000B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0"/>
    <w:rsid w:val="000B6860"/>
    <w:rsid w:val="00C61C18"/>
    <w:rsid w:val="00E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2017-09-22T22:59:00Z</dcterms:created>
  <dcterms:modified xsi:type="dcterms:W3CDTF">2017-09-22T23:00:00Z</dcterms:modified>
</cp:coreProperties>
</file>