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69" w:rsidRDefault="00573769" w:rsidP="001F20F6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B3D78" w:rsidRDefault="002B3D78" w:rsidP="002B3D78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S1 Appendix. QUALITY ASSESSMENT OF THE OBSERVATIONAL STUDIES</w:t>
      </w:r>
    </w:p>
    <w:p w:rsidR="002B3D78" w:rsidRDefault="002B3D78" w:rsidP="002B3D78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(NOS)</w:t>
      </w:r>
    </w:p>
    <w:p w:rsidR="002B3D78" w:rsidRDefault="002B3D78" w:rsidP="002B3D78">
      <w:pPr>
        <w:spacing w:line="249" w:lineRule="exact"/>
        <w:rPr>
          <w:rFonts w:ascii="Times New Roman" w:eastAsia="Times New Roman" w:hAnsi="Times New Roman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Sample size was not given for any study.</w:t>
      </w:r>
    </w:p>
    <w:p w:rsidR="002B3D78" w:rsidRPr="002B3D78" w:rsidRDefault="002B3D78" w:rsidP="002B3D78">
      <w:pPr>
        <w:spacing w:line="195" w:lineRule="exact"/>
        <w:rPr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Follow up was adequate in 9 cases for the outcome analysis.</w:t>
      </w:r>
    </w:p>
    <w:p w:rsidR="002B3D78" w:rsidRPr="002B3D78" w:rsidRDefault="002B3D78" w:rsidP="002B3D78">
      <w:pPr>
        <w:spacing w:line="181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Ascertainment of exposure using surgical records was available for 4 cases.</w:t>
      </w:r>
    </w:p>
    <w:p w:rsidR="002B3D78" w:rsidRPr="002B3D78" w:rsidRDefault="002B3D78" w:rsidP="002B3D78">
      <w:pPr>
        <w:spacing w:line="179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Device comparability for the study designs was available for only 2 cases.</w:t>
      </w:r>
    </w:p>
    <w:p w:rsidR="002B3D78" w:rsidRPr="002B3D78" w:rsidRDefault="002B3D78" w:rsidP="002B3D78">
      <w:pPr>
        <w:spacing w:line="182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Demonstration of outcome at the start of the study was seen in 3 cases.</w:t>
      </w:r>
    </w:p>
    <w:p w:rsidR="002B3D78" w:rsidRPr="002B3D78" w:rsidRDefault="002B3D78" w:rsidP="002B3D78">
      <w:pPr>
        <w:spacing w:line="179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14 cases showed clear inclusion and exclusion criteria.</w:t>
      </w:r>
    </w:p>
    <w:p w:rsidR="002B3D78" w:rsidRPr="002B3D78" w:rsidRDefault="002B3D78" w:rsidP="002B3D78">
      <w:pPr>
        <w:spacing w:line="179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Only one study defined the number of patients as the unit of analysis.</w:t>
      </w:r>
    </w:p>
    <w:p w:rsidR="002B3D78" w:rsidRPr="002B3D78" w:rsidRDefault="002B3D78" w:rsidP="002B3D78">
      <w:pPr>
        <w:spacing w:line="182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The success rate of implants was available for 11 cases.</w:t>
      </w:r>
    </w:p>
    <w:p w:rsidR="002B3D78" w:rsidRPr="002B3D78" w:rsidRDefault="002B3D78" w:rsidP="002B3D78">
      <w:pPr>
        <w:spacing w:line="180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Alveolar ridge atrophy was not adequately reported except in 2 cases.</w:t>
      </w:r>
    </w:p>
    <w:p w:rsidR="002B3D78" w:rsidRPr="002B3D78" w:rsidRDefault="002B3D78" w:rsidP="002B3D78">
      <w:pPr>
        <w:spacing w:line="182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Selection of controls was adequately reported for only 2 cases</w:t>
      </w:r>
    </w:p>
    <w:p w:rsidR="002B3D78" w:rsidRPr="002B3D78" w:rsidRDefault="002B3D78" w:rsidP="002B3D78">
      <w:pPr>
        <w:spacing w:line="180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None of the studies described blinded assessment of split crest outcomes</w:t>
      </w:r>
    </w:p>
    <w:p w:rsidR="002B3D78" w:rsidRPr="002B3D78" w:rsidRDefault="002B3D78" w:rsidP="002B3D78">
      <w:pPr>
        <w:spacing w:line="182" w:lineRule="exact"/>
        <w:rPr>
          <w:rFonts w:ascii="Times New Roman" w:eastAsia="Times New Roman" w:hAnsi="Times New Roman"/>
          <w:sz w:val="24"/>
          <w:szCs w:val="24"/>
        </w:rPr>
      </w:pPr>
    </w:p>
    <w:p w:rsidR="002B3D78" w:rsidRPr="002B3D78" w:rsidRDefault="002B3D78" w:rsidP="002B3D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jc w:val="both"/>
        <w:rPr>
          <w:sz w:val="24"/>
          <w:szCs w:val="24"/>
        </w:rPr>
      </w:pPr>
      <w:r w:rsidRPr="002B3D78">
        <w:rPr>
          <w:rFonts w:ascii="Times New Roman" w:eastAsia="Times New Roman" w:hAnsi="Times New Roman"/>
          <w:sz w:val="24"/>
          <w:szCs w:val="24"/>
        </w:rPr>
        <w:t>Statistical analysis was given for 8 cases.</w:t>
      </w:r>
      <w:bookmarkStart w:id="1" w:name="page24"/>
      <w:bookmarkStart w:id="2" w:name="page25"/>
      <w:bookmarkStart w:id="3" w:name="page26"/>
      <w:bookmarkStart w:id="4" w:name="page27"/>
      <w:bookmarkEnd w:id="1"/>
      <w:bookmarkEnd w:id="2"/>
      <w:bookmarkEnd w:id="3"/>
      <w:bookmarkEnd w:id="4"/>
    </w:p>
    <w:p w:rsidR="002B3D78" w:rsidRPr="002B3D78" w:rsidRDefault="002B3D78" w:rsidP="002B3D78">
      <w:p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4B60" w:rsidRDefault="009F4B60" w:rsidP="009F4B60">
      <w:p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sectPr w:rsidR="009F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02C77DA"/>
    <w:lvl w:ilvl="0" w:tplc="668C9022">
      <w:start w:val="1"/>
      <w:numFmt w:val="decimal"/>
      <w:lvlText w:val="%1"/>
      <w:lvlJc w:val="left"/>
      <w:rPr>
        <w:sz w:val="28"/>
        <w:szCs w:val="28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85"/>
    <w:rsid w:val="00035C30"/>
    <w:rsid w:val="00043B81"/>
    <w:rsid w:val="00066559"/>
    <w:rsid w:val="000779A3"/>
    <w:rsid w:val="001D369A"/>
    <w:rsid w:val="001F20F6"/>
    <w:rsid w:val="002124A5"/>
    <w:rsid w:val="0023311A"/>
    <w:rsid w:val="00253B4D"/>
    <w:rsid w:val="002B2488"/>
    <w:rsid w:val="002B3D78"/>
    <w:rsid w:val="002C6BAE"/>
    <w:rsid w:val="003C11D7"/>
    <w:rsid w:val="003D7C1F"/>
    <w:rsid w:val="00497B2D"/>
    <w:rsid w:val="004E05B3"/>
    <w:rsid w:val="00573769"/>
    <w:rsid w:val="00646DFA"/>
    <w:rsid w:val="00663A0D"/>
    <w:rsid w:val="006E68FC"/>
    <w:rsid w:val="00754FAE"/>
    <w:rsid w:val="00762D6B"/>
    <w:rsid w:val="00783E36"/>
    <w:rsid w:val="007C601D"/>
    <w:rsid w:val="008027D1"/>
    <w:rsid w:val="008361BC"/>
    <w:rsid w:val="0084192D"/>
    <w:rsid w:val="00866CD7"/>
    <w:rsid w:val="009D7F6E"/>
    <w:rsid w:val="009F4B60"/>
    <w:rsid w:val="00A11540"/>
    <w:rsid w:val="00A879E0"/>
    <w:rsid w:val="00B17985"/>
    <w:rsid w:val="00BF345E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D"/>
    <w:pPr>
      <w:spacing w:after="0" w:line="240" w:lineRule="auto"/>
    </w:pPr>
    <w:rPr>
      <w:rFonts w:ascii="Calibri" w:eastAsia="Malgun Gothic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2D"/>
    <w:rPr>
      <w:rFonts w:ascii="Tahoma" w:eastAsia="Malgun Gothic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5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D"/>
    <w:pPr>
      <w:spacing w:after="0" w:line="240" w:lineRule="auto"/>
    </w:pPr>
    <w:rPr>
      <w:rFonts w:ascii="Calibri" w:eastAsia="Malgun Gothic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2D"/>
    <w:rPr>
      <w:rFonts w:ascii="Tahoma" w:eastAsia="Malgun Gothic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5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Nagendra</cp:lastModifiedBy>
  <cp:revision>4</cp:revision>
  <dcterms:created xsi:type="dcterms:W3CDTF">2017-06-21T06:52:00Z</dcterms:created>
  <dcterms:modified xsi:type="dcterms:W3CDTF">2017-06-21T06:53:00Z</dcterms:modified>
</cp:coreProperties>
</file>