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4281" w14:textId="415786CA" w:rsidR="00952490" w:rsidRDefault="00AB6178" w:rsidP="00952490">
      <w:pPr>
        <w:spacing w:after="0" w:line="360" w:lineRule="auto"/>
        <w:rPr>
          <w:rFonts w:ascii="Arial" w:hAnsi="Arial" w:cs="Arial"/>
          <w:b/>
        </w:rPr>
      </w:pPr>
      <w:r>
        <w:rPr>
          <w:rFonts w:ascii="Arial" w:hAnsi="Arial" w:cs="Arial"/>
          <w:b/>
        </w:rPr>
        <w:t>S2</w:t>
      </w:r>
      <w:bookmarkStart w:id="0" w:name="_GoBack"/>
      <w:bookmarkEnd w:id="0"/>
      <w:r>
        <w:rPr>
          <w:rFonts w:ascii="Arial" w:hAnsi="Arial" w:cs="Arial"/>
          <w:b/>
        </w:rPr>
        <w:t xml:space="preserve"> Table.</w:t>
      </w:r>
      <w:r w:rsidR="00952490">
        <w:rPr>
          <w:rFonts w:ascii="Arial" w:hAnsi="Arial" w:cs="Arial"/>
          <w:b/>
        </w:rPr>
        <w:t xml:space="preserve"> Summary of all recommendations </w:t>
      </w:r>
    </w:p>
    <w:p w14:paraId="38EC3152" w14:textId="77777777" w:rsidR="00952490" w:rsidRDefault="00952490" w:rsidP="00952490">
      <w:pPr>
        <w:spacing w:after="0" w:line="360" w:lineRule="auto"/>
        <w:rPr>
          <w:rFonts w:ascii="Arial" w:hAnsi="Arial" w:cs="Arial"/>
          <w:b/>
        </w:rPr>
      </w:pP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908"/>
      </w:tblGrid>
      <w:tr w:rsidR="00952490" w:rsidRPr="00162936" w14:paraId="6A3AAE6F" w14:textId="77777777" w:rsidTr="00545555">
        <w:trPr>
          <w:trHeight w:val="539"/>
        </w:trPr>
        <w:tc>
          <w:tcPr>
            <w:tcW w:w="1706" w:type="dxa"/>
            <w:tcBorders>
              <w:top w:val="single" w:sz="12" w:space="0" w:color="4F81BD"/>
              <w:left w:val="single" w:sz="12" w:space="0" w:color="4F81BD"/>
              <w:bottom w:val="single" w:sz="4" w:space="0" w:color="auto"/>
              <w:right w:val="single" w:sz="4" w:space="0" w:color="auto"/>
            </w:tcBorders>
            <w:shd w:val="clear" w:color="auto" w:fill="auto"/>
            <w:vAlign w:val="center"/>
            <w:hideMark/>
          </w:tcPr>
          <w:p w14:paraId="582CE430" w14:textId="77777777" w:rsidR="00952490" w:rsidRPr="00162936" w:rsidRDefault="00952490" w:rsidP="00545555">
            <w:pPr>
              <w:spacing w:after="0" w:line="240" w:lineRule="auto"/>
              <w:rPr>
                <w:rFonts w:ascii="Arial" w:hAnsi="Arial" w:cs="Arial"/>
                <w:b/>
              </w:rPr>
            </w:pPr>
            <w:r w:rsidRPr="00162936">
              <w:rPr>
                <w:rFonts w:ascii="Arial" w:hAnsi="Arial" w:cs="Arial"/>
                <w:b/>
              </w:rPr>
              <w:t>Section</w:t>
            </w:r>
          </w:p>
        </w:tc>
        <w:tc>
          <w:tcPr>
            <w:tcW w:w="8041" w:type="dxa"/>
            <w:tcBorders>
              <w:top w:val="single" w:sz="12" w:space="0" w:color="4F81BD"/>
              <w:left w:val="single" w:sz="4" w:space="0" w:color="auto"/>
              <w:bottom w:val="single" w:sz="4" w:space="0" w:color="auto"/>
              <w:right w:val="single" w:sz="12" w:space="0" w:color="4F81BD"/>
            </w:tcBorders>
            <w:shd w:val="clear" w:color="auto" w:fill="auto"/>
            <w:vAlign w:val="center"/>
            <w:hideMark/>
          </w:tcPr>
          <w:p w14:paraId="4D3AF7A1" w14:textId="77777777" w:rsidR="00952490" w:rsidRPr="00162936" w:rsidRDefault="00952490" w:rsidP="00545555">
            <w:pPr>
              <w:tabs>
                <w:tab w:val="left" w:pos="317"/>
              </w:tabs>
              <w:spacing w:after="0" w:line="240" w:lineRule="auto"/>
              <w:rPr>
                <w:rFonts w:ascii="Arial" w:hAnsi="Arial" w:cs="Arial"/>
                <w:b/>
              </w:rPr>
            </w:pPr>
            <w:r w:rsidRPr="00162936">
              <w:rPr>
                <w:rFonts w:ascii="Arial" w:hAnsi="Arial" w:cs="Arial"/>
                <w:b/>
              </w:rPr>
              <w:t>Recommendations</w:t>
            </w:r>
          </w:p>
        </w:tc>
      </w:tr>
      <w:tr w:rsidR="00952490" w:rsidRPr="000F526C" w14:paraId="3E13690E" w14:textId="77777777" w:rsidTr="00545555">
        <w:tc>
          <w:tcPr>
            <w:tcW w:w="1706" w:type="dxa"/>
            <w:tcBorders>
              <w:top w:val="single" w:sz="4" w:space="0" w:color="auto"/>
              <w:left w:val="single" w:sz="12" w:space="0" w:color="4F81BD"/>
              <w:bottom w:val="single" w:sz="4" w:space="0" w:color="auto"/>
              <w:right w:val="single" w:sz="4" w:space="0" w:color="auto"/>
            </w:tcBorders>
            <w:shd w:val="clear" w:color="auto" w:fill="auto"/>
            <w:hideMark/>
          </w:tcPr>
          <w:p w14:paraId="6842B515" w14:textId="77777777" w:rsidR="00952490" w:rsidRPr="00162936" w:rsidRDefault="00952490" w:rsidP="00545555">
            <w:pPr>
              <w:tabs>
                <w:tab w:val="left" w:pos="2268"/>
                <w:tab w:val="left" w:pos="2694"/>
              </w:tabs>
              <w:spacing w:after="0" w:line="240" w:lineRule="auto"/>
              <w:rPr>
                <w:rFonts w:ascii="Arial" w:hAnsi="Arial" w:cs="Arial"/>
                <w:b/>
                <w:sz w:val="20"/>
                <w:szCs w:val="20"/>
              </w:rPr>
            </w:pPr>
            <w:r w:rsidRPr="00162936">
              <w:rPr>
                <w:rFonts w:ascii="Arial" w:hAnsi="Arial" w:cs="Arial"/>
                <w:b/>
                <w:sz w:val="20"/>
                <w:szCs w:val="20"/>
              </w:rPr>
              <w:t xml:space="preserve">Preparation </w:t>
            </w:r>
          </w:p>
        </w:tc>
        <w:tc>
          <w:tcPr>
            <w:tcW w:w="8041" w:type="dxa"/>
            <w:tcBorders>
              <w:top w:val="single" w:sz="4" w:space="0" w:color="auto"/>
              <w:left w:val="single" w:sz="4" w:space="0" w:color="auto"/>
              <w:bottom w:val="single" w:sz="4" w:space="0" w:color="auto"/>
              <w:right w:val="single" w:sz="12" w:space="0" w:color="4F81BD"/>
            </w:tcBorders>
            <w:shd w:val="clear" w:color="auto" w:fill="auto"/>
          </w:tcPr>
          <w:p w14:paraId="6229E1E2" w14:textId="77777777" w:rsidR="00952490" w:rsidRDefault="00952490" w:rsidP="00545555">
            <w:pPr>
              <w:numPr>
                <w:ilvl w:val="0"/>
                <w:numId w:val="6"/>
              </w:numPr>
              <w:spacing w:after="0" w:line="240" w:lineRule="auto"/>
              <w:contextualSpacing/>
              <w:rPr>
                <w:rFonts w:ascii="Arial" w:hAnsi="Arial" w:cs="Arial"/>
                <w:sz w:val="20"/>
                <w:szCs w:val="20"/>
              </w:rPr>
            </w:pPr>
            <w:r>
              <w:rPr>
                <w:rFonts w:ascii="Arial" w:hAnsi="Arial" w:cs="Arial"/>
                <w:sz w:val="20"/>
                <w:szCs w:val="20"/>
              </w:rPr>
              <w:t>Selection of districts for demonstration projects should include some challenging areas or populations.</w:t>
            </w:r>
          </w:p>
          <w:p w14:paraId="7BCB9395" w14:textId="77777777" w:rsidR="00952490" w:rsidRPr="00A25D6F" w:rsidRDefault="00952490" w:rsidP="00545555">
            <w:pPr>
              <w:numPr>
                <w:ilvl w:val="0"/>
                <w:numId w:val="6"/>
              </w:numPr>
              <w:spacing w:after="0" w:line="240" w:lineRule="auto"/>
              <w:contextualSpacing/>
              <w:rPr>
                <w:rFonts w:ascii="Arial" w:hAnsi="Arial" w:cs="Arial"/>
                <w:sz w:val="20"/>
                <w:szCs w:val="20"/>
              </w:rPr>
            </w:pPr>
            <w:r w:rsidRPr="00A25D6F">
              <w:rPr>
                <w:rFonts w:ascii="Arial" w:hAnsi="Arial" w:cs="Arial"/>
                <w:sz w:val="20"/>
                <w:szCs w:val="20"/>
              </w:rPr>
              <w:t>Planning processes should include representatives from the MOH, MOE, and MOF.</w:t>
            </w:r>
            <w:r>
              <w:rPr>
                <w:rFonts w:ascii="Arial" w:hAnsi="Arial" w:cs="Arial"/>
                <w:sz w:val="20"/>
                <w:szCs w:val="20"/>
              </w:rPr>
              <w:t xml:space="preserve"> </w:t>
            </w:r>
            <w:r w:rsidRPr="00A25D6F">
              <w:rPr>
                <w:rFonts w:ascii="Arial" w:hAnsi="Arial" w:cs="Arial"/>
                <w:sz w:val="20"/>
                <w:szCs w:val="20"/>
              </w:rPr>
              <w:t>EPI involvement is critical for effective vaccine delivery.</w:t>
            </w:r>
          </w:p>
          <w:p w14:paraId="4BE9BE54" w14:textId="77777777" w:rsidR="00952490" w:rsidRDefault="00952490" w:rsidP="00545555">
            <w:pPr>
              <w:numPr>
                <w:ilvl w:val="0"/>
                <w:numId w:val="6"/>
              </w:numPr>
              <w:spacing w:after="0" w:line="240" w:lineRule="auto"/>
              <w:contextualSpacing/>
              <w:jc w:val="both"/>
              <w:rPr>
                <w:rFonts w:ascii="Arial" w:hAnsi="Arial" w:cs="Arial"/>
                <w:sz w:val="20"/>
                <w:szCs w:val="20"/>
                <w:lang w:eastAsia="en-US"/>
              </w:rPr>
            </w:pPr>
            <w:r>
              <w:rPr>
                <w:rFonts w:ascii="Arial" w:hAnsi="Arial" w:cs="Arial"/>
                <w:sz w:val="20"/>
                <w:szCs w:val="20"/>
                <w:lang w:eastAsia="en-US"/>
              </w:rPr>
              <w:t>HPV vaccine delivery should</w:t>
            </w:r>
            <w:r w:rsidRPr="00162936">
              <w:rPr>
                <w:rFonts w:ascii="Arial" w:hAnsi="Arial" w:cs="Arial"/>
                <w:sz w:val="20"/>
                <w:szCs w:val="20"/>
                <w:lang w:eastAsia="en-US"/>
              </w:rPr>
              <w:t xml:space="preserve"> be coordinated with rout</w:t>
            </w:r>
            <w:r>
              <w:rPr>
                <w:rFonts w:ascii="Arial" w:hAnsi="Arial" w:cs="Arial"/>
                <w:sz w:val="20"/>
                <w:szCs w:val="20"/>
                <w:lang w:eastAsia="en-US"/>
              </w:rPr>
              <w:t>ine EPI vaccine delivery</w:t>
            </w:r>
            <w:r w:rsidRPr="00162936">
              <w:rPr>
                <w:rFonts w:ascii="Arial" w:hAnsi="Arial" w:cs="Arial"/>
                <w:sz w:val="20"/>
                <w:szCs w:val="20"/>
                <w:lang w:eastAsia="en-US"/>
              </w:rPr>
              <w:t>.</w:t>
            </w:r>
          </w:p>
          <w:p w14:paraId="61377873" w14:textId="77777777" w:rsidR="00952490" w:rsidRPr="00162936" w:rsidRDefault="00952490" w:rsidP="00545555">
            <w:pPr>
              <w:numPr>
                <w:ilvl w:val="0"/>
                <w:numId w:val="6"/>
              </w:numPr>
              <w:spacing w:after="0" w:line="240" w:lineRule="auto"/>
              <w:contextualSpacing/>
              <w:jc w:val="both"/>
              <w:rPr>
                <w:rFonts w:ascii="Arial" w:hAnsi="Arial" w:cs="Arial"/>
                <w:sz w:val="20"/>
                <w:szCs w:val="20"/>
                <w:lang w:eastAsia="en-US"/>
              </w:rPr>
            </w:pPr>
            <w:r>
              <w:rPr>
                <w:rFonts w:ascii="Arial" w:hAnsi="Arial" w:cs="Arial"/>
                <w:sz w:val="20"/>
                <w:szCs w:val="20"/>
                <w:lang w:eastAsia="en-US"/>
              </w:rPr>
              <w:t xml:space="preserve">A headcount could be the only accurate way of estimating the target population size in schools, CHWs should be mobilised to enumerate out of school girls. </w:t>
            </w:r>
          </w:p>
          <w:p w14:paraId="2814CF1C" w14:textId="77777777" w:rsidR="00952490" w:rsidRPr="00162936" w:rsidRDefault="00952490" w:rsidP="00545555">
            <w:pPr>
              <w:numPr>
                <w:ilvl w:val="0"/>
                <w:numId w:val="6"/>
              </w:numPr>
              <w:spacing w:after="0" w:line="240" w:lineRule="auto"/>
              <w:contextualSpacing/>
              <w:jc w:val="both"/>
              <w:rPr>
                <w:rFonts w:ascii="Arial" w:hAnsi="Arial" w:cs="Arial"/>
                <w:sz w:val="20"/>
                <w:szCs w:val="20"/>
              </w:rPr>
            </w:pPr>
            <w:r w:rsidRPr="00162936">
              <w:rPr>
                <w:rFonts w:ascii="Arial" w:hAnsi="Arial" w:cs="Arial"/>
                <w:sz w:val="20"/>
                <w:szCs w:val="20"/>
              </w:rPr>
              <w:t>Adequate training is needed in</w:t>
            </w:r>
            <w:r>
              <w:rPr>
                <w:rFonts w:ascii="Arial" w:hAnsi="Arial" w:cs="Arial"/>
                <w:sz w:val="20"/>
                <w:szCs w:val="20"/>
              </w:rPr>
              <w:t xml:space="preserve"> order that staff understand key messages,</w:t>
            </w:r>
            <w:r w:rsidRPr="00162936">
              <w:rPr>
                <w:rFonts w:ascii="Arial" w:hAnsi="Arial" w:cs="Arial"/>
                <w:sz w:val="20"/>
                <w:szCs w:val="20"/>
              </w:rPr>
              <w:t xml:space="preserve"> eligibility criteria and to ensure that coverage estimates are accurate. </w:t>
            </w:r>
          </w:p>
          <w:p w14:paraId="415A3E43" w14:textId="77777777" w:rsidR="00952490" w:rsidRPr="000F526C" w:rsidRDefault="00952490" w:rsidP="00545555">
            <w:pPr>
              <w:numPr>
                <w:ilvl w:val="0"/>
                <w:numId w:val="6"/>
              </w:numPr>
              <w:spacing w:after="0" w:line="240" w:lineRule="auto"/>
              <w:contextualSpacing/>
              <w:jc w:val="both"/>
              <w:rPr>
                <w:rFonts w:ascii="Arial" w:hAnsi="Arial" w:cs="Arial"/>
                <w:sz w:val="20"/>
                <w:szCs w:val="20"/>
              </w:rPr>
            </w:pPr>
            <w:r w:rsidRPr="00162936">
              <w:rPr>
                <w:rFonts w:ascii="Arial" w:hAnsi="Arial" w:cs="Arial"/>
                <w:sz w:val="20"/>
                <w:szCs w:val="20"/>
              </w:rPr>
              <w:t xml:space="preserve">Cascade training </w:t>
            </w:r>
            <w:r>
              <w:rPr>
                <w:rFonts w:ascii="Arial" w:hAnsi="Arial" w:cs="Arial"/>
                <w:sz w:val="20"/>
                <w:szCs w:val="20"/>
              </w:rPr>
              <w:t>can be</w:t>
            </w:r>
            <w:r w:rsidRPr="00162936">
              <w:rPr>
                <w:rFonts w:ascii="Arial" w:hAnsi="Arial" w:cs="Arial"/>
                <w:sz w:val="20"/>
                <w:szCs w:val="20"/>
              </w:rPr>
              <w:t xml:space="preserve"> more efficient and less expensive than</w:t>
            </w:r>
            <w:r>
              <w:rPr>
                <w:rFonts w:ascii="Arial" w:hAnsi="Arial" w:cs="Arial"/>
                <w:sz w:val="20"/>
                <w:szCs w:val="20"/>
              </w:rPr>
              <w:t xml:space="preserve"> centralized training sessions; h</w:t>
            </w:r>
            <w:r w:rsidRPr="00162936">
              <w:rPr>
                <w:rFonts w:ascii="Arial" w:hAnsi="Arial" w:cs="Arial"/>
                <w:sz w:val="20"/>
                <w:szCs w:val="20"/>
              </w:rPr>
              <w:t>owever, should be monitored and eva</w:t>
            </w:r>
            <w:r>
              <w:rPr>
                <w:rFonts w:ascii="Arial" w:hAnsi="Arial" w:cs="Arial"/>
                <w:sz w:val="20"/>
                <w:szCs w:val="20"/>
              </w:rPr>
              <w:t>luated by national level staff</w:t>
            </w:r>
            <w:r w:rsidRPr="00162936">
              <w:rPr>
                <w:rFonts w:ascii="Arial" w:hAnsi="Arial" w:cs="Arial"/>
                <w:sz w:val="20"/>
                <w:szCs w:val="20"/>
              </w:rPr>
              <w:t xml:space="preserve">. </w:t>
            </w:r>
          </w:p>
        </w:tc>
      </w:tr>
      <w:tr w:rsidR="00952490" w:rsidRPr="005B3C9B" w14:paraId="32951DFF" w14:textId="77777777" w:rsidTr="00545555">
        <w:tc>
          <w:tcPr>
            <w:tcW w:w="1706" w:type="dxa"/>
            <w:tcBorders>
              <w:top w:val="single" w:sz="4" w:space="0" w:color="auto"/>
              <w:left w:val="single" w:sz="12" w:space="0" w:color="4F81BD"/>
              <w:bottom w:val="single" w:sz="4" w:space="0" w:color="auto"/>
              <w:right w:val="single" w:sz="4" w:space="0" w:color="auto"/>
            </w:tcBorders>
            <w:shd w:val="clear" w:color="auto" w:fill="auto"/>
          </w:tcPr>
          <w:p w14:paraId="09B21A54" w14:textId="77777777" w:rsidR="00952490" w:rsidRPr="00162936" w:rsidRDefault="00952490" w:rsidP="00545555">
            <w:pPr>
              <w:tabs>
                <w:tab w:val="left" w:pos="2268"/>
                <w:tab w:val="left" w:pos="2694"/>
              </w:tabs>
              <w:spacing w:after="0" w:line="240" w:lineRule="auto"/>
              <w:rPr>
                <w:rFonts w:ascii="Arial" w:hAnsi="Arial" w:cs="Arial"/>
                <w:b/>
                <w:sz w:val="20"/>
                <w:szCs w:val="20"/>
              </w:rPr>
            </w:pPr>
            <w:r w:rsidRPr="00162936">
              <w:rPr>
                <w:rFonts w:ascii="Arial" w:hAnsi="Arial" w:cs="Arial"/>
                <w:b/>
                <w:sz w:val="20"/>
                <w:szCs w:val="20"/>
              </w:rPr>
              <w:t>Communications</w:t>
            </w:r>
          </w:p>
        </w:tc>
        <w:tc>
          <w:tcPr>
            <w:tcW w:w="8041" w:type="dxa"/>
            <w:tcBorders>
              <w:top w:val="single" w:sz="4" w:space="0" w:color="auto"/>
              <w:left w:val="single" w:sz="4" w:space="0" w:color="auto"/>
              <w:bottom w:val="single" w:sz="4" w:space="0" w:color="auto"/>
              <w:right w:val="single" w:sz="12" w:space="0" w:color="4F81BD"/>
            </w:tcBorders>
            <w:shd w:val="clear" w:color="auto" w:fill="auto"/>
          </w:tcPr>
          <w:p w14:paraId="10A8ACA2" w14:textId="77777777" w:rsidR="00952490" w:rsidRPr="00162936" w:rsidRDefault="00952490" w:rsidP="00545555">
            <w:pPr>
              <w:numPr>
                <w:ilvl w:val="0"/>
                <w:numId w:val="2"/>
              </w:numPr>
              <w:spacing w:after="0" w:line="240" w:lineRule="auto"/>
              <w:jc w:val="both"/>
              <w:rPr>
                <w:rFonts w:ascii="Arial" w:hAnsi="Arial" w:cs="Arial"/>
                <w:sz w:val="20"/>
                <w:szCs w:val="20"/>
              </w:rPr>
            </w:pPr>
            <w:r w:rsidRPr="00162936">
              <w:rPr>
                <w:rFonts w:ascii="Arial" w:hAnsi="Arial" w:cs="Arial"/>
                <w:sz w:val="20"/>
                <w:szCs w:val="20"/>
              </w:rPr>
              <w:t>Social mobilisation in communities should begin at least one month before vaccination, earlier if possi</w:t>
            </w:r>
            <w:r>
              <w:rPr>
                <w:rFonts w:ascii="Arial" w:hAnsi="Arial" w:cs="Arial"/>
                <w:sz w:val="20"/>
                <w:szCs w:val="20"/>
              </w:rPr>
              <w:t>ble</w:t>
            </w:r>
            <w:r w:rsidRPr="00162936">
              <w:rPr>
                <w:rFonts w:ascii="Arial" w:hAnsi="Arial" w:cs="Arial"/>
                <w:sz w:val="20"/>
                <w:szCs w:val="20"/>
              </w:rPr>
              <w:t xml:space="preserve">. Time required (e.g. funds disbursement, printing) should not be underestimated. </w:t>
            </w:r>
          </w:p>
          <w:p w14:paraId="31F38B75" w14:textId="77777777" w:rsidR="00952490" w:rsidRDefault="00952490" w:rsidP="00545555">
            <w:pPr>
              <w:numPr>
                <w:ilvl w:val="0"/>
                <w:numId w:val="2"/>
              </w:numPr>
              <w:spacing w:after="0" w:line="240" w:lineRule="auto"/>
              <w:jc w:val="both"/>
              <w:rPr>
                <w:rFonts w:ascii="Arial" w:hAnsi="Arial" w:cs="Arial"/>
                <w:sz w:val="20"/>
                <w:szCs w:val="20"/>
              </w:rPr>
            </w:pPr>
            <w:r>
              <w:rPr>
                <w:rFonts w:ascii="Arial" w:hAnsi="Arial" w:cs="Arial"/>
                <w:sz w:val="20"/>
                <w:szCs w:val="20"/>
              </w:rPr>
              <w:t>Messages</w:t>
            </w:r>
            <w:r w:rsidRPr="00162936">
              <w:rPr>
                <w:rFonts w:ascii="Arial" w:hAnsi="Arial" w:cs="Arial"/>
                <w:sz w:val="20"/>
                <w:szCs w:val="20"/>
              </w:rPr>
              <w:t xml:space="preserve"> should focus on: cervical cancer prevention; safety and efficacy, including lack of fertility impact or long-term adverse effects, government endorsement, delivery timing and venues and the need to return for a second dose. </w:t>
            </w:r>
          </w:p>
          <w:p w14:paraId="6739E1B7" w14:textId="77777777" w:rsidR="0024225D" w:rsidRPr="0024225D" w:rsidRDefault="0024225D" w:rsidP="0024225D">
            <w:pPr>
              <w:numPr>
                <w:ilvl w:val="0"/>
                <w:numId w:val="2"/>
              </w:numPr>
              <w:spacing w:after="0" w:line="240" w:lineRule="auto"/>
              <w:jc w:val="both"/>
              <w:rPr>
                <w:rFonts w:ascii="Arial" w:hAnsi="Arial" w:cs="Arial"/>
                <w:sz w:val="20"/>
                <w:szCs w:val="20"/>
              </w:rPr>
            </w:pPr>
            <w:r w:rsidRPr="0024225D">
              <w:rPr>
                <w:rFonts w:ascii="Arial" w:hAnsi="Arial" w:cs="Arial"/>
                <w:sz w:val="20"/>
                <w:szCs w:val="20"/>
              </w:rPr>
              <w:t>C</w:t>
            </w:r>
            <w:r w:rsidRPr="0024225D">
              <w:rPr>
                <w:rFonts w:ascii="Arial" w:hAnsi="Arial" w:cs="Arial"/>
                <w:bCs/>
                <w:sz w:val="20"/>
                <w:szCs w:val="20"/>
              </w:rPr>
              <w:t>onsent</w:t>
            </w:r>
            <w:r w:rsidRPr="0024225D">
              <w:rPr>
                <w:rFonts w:ascii="Arial" w:hAnsi="Arial" w:cs="Arial"/>
                <w:b/>
                <w:bCs/>
                <w:sz w:val="20"/>
                <w:szCs w:val="20"/>
              </w:rPr>
              <w:t xml:space="preserve"> </w:t>
            </w:r>
            <w:r w:rsidRPr="0024225D">
              <w:rPr>
                <w:rFonts w:ascii="Arial" w:hAnsi="Arial" w:cs="Arial"/>
                <w:bCs/>
                <w:sz w:val="20"/>
                <w:szCs w:val="20"/>
              </w:rPr>
              <w:t>should be opt-out where feasible</w:t>
            </w:r>
            <w:r w:rsidRPr="0024225D">
              <w:rPr>
                <w:rFonts w:ascii="Arial" w:hAnsi="Arial" w:cs="Arial"/>
                <w:sz w:val="20"/>
                <w:szCs w:val="20"/>
              </w:rPr>
              <w:t xml:space="preserve">, ensuring consistency with existing EPI consent policy. If opt-in consent is chosen for HPV vaccination, processes should be streamlined and reasons clearly explained to parents and communities. An example of a streamlined process might be to implement a school health programme consent form at enrolment for all interventions delivered in schools. </w:t>
            </w:r>
          </w:p>
        </w:tc>
      </w:tr>
      <w:tr w:rsidR="00952490" w:rsidRPr="00A6044E" w14:paraId="2D3618E5" w14:textId="77777777" w:rsidTr="00545555">
        <w:trPr>
          <w:trHeight w:val="1266"/>
        </w:trPr>
        <w:tc>
          <w:tcPr>
            <w:tcW w:w="1706" w:type="dxa"/>
            <w:tcBorders>
              <w:top w:val="single" w:sz="4" w:space="0" w:color="auto"/>
              <w:left w:val="single" w:sz="12" w:space="0" w:color="4F81BD"/>
              <w:right w:val="single" w:sz="4" w:space="0" w:color="auto"/>
            </w:tcBorders>
            <w:shd w:val="clear" w:color="auto" w:fill="auto"/>
            <w:hideMark/>
          </w:tcPr>
          <w:p w14:paraId="1DAC846C" w14:textId="77777777" w:rsidR="00952490" w:rsidRPr="00162936" w:rsidRDefault="00952490" w:rsidP="00545555">
            <w:pPr>
              <w:tabs>
                <w:tab w:val="left" w:pos="2268"/>
                <w:tab w:val="left" w:pos="2694"/>
              </w:tabs>
              <w:spacing w:after="0" w:line="240" w:lineRule="auto"/>
              <w:rPr>
                <w:rFonts w:ascii="Arial" w:hAnsi="Arial" w:cs="Arial"/>
                <w:b/>
                <w:sz w:val="20"/>
                <w:szCs w:val="20"/>
              </w:rPr>
            </w:pPr>
            <w:r w:rsidRPr="00162936">
              <w:rPr>
                <w:rFonts w:ascii="Arial" w:hAnsi="Arial" w:cs="Arial"/>
                <w:b/>
                <w:sz w:val="20"/>
                <w:szCs w:val="20"/>
              </w:rPr>
              <w:t>Delivery</w:t>
            </w:r>
          </w:p>
        </w:tc>
        <w:tc>
          <w:tcPr>
            <w:tcW w:w="8041" w:type="dxa"/>
            <w:tcBorders>
              <w:top w:val="single" w:sz="4" w:space="0" w:color="auto"/>
              <w:left w:val="single" w:sz="4" w:space="0" w:color="auto"/>
              <w:right w:val="single" w:sz="12" w:space="0" w:color="4F81BD"/>
            </w:tcBorders>
            <w:shd w:val="clear" w:color="auto" w:fill="auto"/>
          </w:tcPr>
          <w:p w14:paraId="7E60F354" w14:textId="77777777" w:rsidR="00952490" w:rsidRPr="00654CEB" w:rsidRDefault="00952490" w:rsidP="00545555">
            <w:pPr>
              <w:numPr>
                <w:ilvl w:val="0"/>
                <w:numId w:val="1"/>
              </w:numPr>
              <w:tabs>
                <w:tab w:val="left" w:pos="288"/>
                <w:tab w:val="left" w:pos="317"/>
                <w:tab w:val="left" w:pos="747"/>
              </w:tabs>
              <w:spacing w:after="0" w:line="240" w:lineRule="auto"/>
              <w:jc w:val="both"/>
              <w:rPr>
                <w:rFonts w:ascii="Arial" w:eastAsia="Times New Roman" w:hAnsi="Arial" w:cs="Arial"/>
                <w:sz w:val="20"/>
                <w:szCs w:val="20"/>
              </w:rPr>
            </w:pPr>
            <w:r w:rsidRPr="00162936">
              <w:rPr>
                <w:rFonts w:ascii="Arial" w:eastAsia="Times New Roman" w:hAnsi="Arial" w:cs="Arial"/>
                <w:sz w:val="20"/>
                <w:szCs w:val="20"/>
              </w:rPr>
              <w:t xml:space="preserve">Countries should select a delivery strategy based on a combination of country specific factors: the proportion of the target group enrolled in school, absenteeism, operational costs, desired/adequate coverage, and programme sustainability. </w:t>
            </w:r>
          </w:p>
          <w:p w14:paraId="6863E462" w14:textId="77777777" w:rsidR="00952490" w:rsidRDefault="00952490" w:rsidP="00545555">
            <w:pPr>
              <w:numPr>
                <w:ilvl w:val="0"/>
                <w:numId w:val="1"/>
              </w:numPr>
              <w:tabs>
                <w:tab w:val="left" w:pos="288"/>
                <w:tab w:val="left" w:pos="317"/>
                <w:tab w:val="left" w:pos="747"/>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In areas with variable school attendance, an opportunity for out of school girls to receive the vaccine should be provided. </w:t>
            </w:r>
            <w:r w:rsidRPr="00816213">
              <w:rPr>
                <w:rFonts w:ascii="Arial" w:eastAsia="Times New Roman" w:hAnsi="Arial" w:cs="Arial"/>
                <w:sz w:val="20"/>
                <w:szCs w:val="20"/>
              </w:rPr>
              <w:t xml:space="preserve">A specific mobilisation strategy for out-of-school girls to encourage them to attend vaccination days at schools, outreach sites or the nearest health centre should be implemented. </w:t>
            </w:r>
          </w:p>
          <w:p w14:paraId="5B3D8201" w14:textId="77777777" w:rsidR="00952490" w:rsidRPr="00162936" w:rsidRDefault="00952490" w:rsidP="00545555">
            <w:pPr>
              <w:numPr>
                <w:ilvl w:val="0"/>
                <w:numId w:val="1"/>
              </w:numPr>
              <w:spacing w:after="0" w:line="240" w:lineRule="auto"/>
              <w:contextualSpacing/>
              <w:jc w:val="both"/>
              <w:rPr>
                <w:rFonts w:ascii="Arial" w:hAnsi="Arial" w:cs="Arial"/>
                <w:sz w:val="20"/>
                <w:szCs w:val="20"/>
              </w:rPr>
            </w:pPr>
            <w:r w:rsidRPr="00162936">
              <w:rPr>
                <w:rFonts w:ascii="Arial" w:hAnsi="Arial" w:cs="Arial"/>
                <w:sz w:val="20"/>
                <w:szCs w:val="20"/>
              </w:rPr>
              <w:t>The grade based eligibility criteria in a school programme is the easiest and quickest strategy to implement; however, we recommend taking into account country specific factors of acceptability to the target group and school enrolment statistics. Grade based criteria can cause challenges when calculating coverage estimates</w:t>
            </w:r>
            <w:r>
              <w:rPr>
                <w:rFonts w:ascii="Arial" w:hAnsi="Arial" w:cs="Arial"/>
                <w:sz w:val="20"/>
                <w:szCs w:val="20"/>
              </w:rPr>
              <w:t xml:space="preserve"> unless age is also recorded</w:t>
            </w:r>
            <w:r w:rsidRPr="00162936">
              <w:rPr>
                <w:rFonts w:ascii="Arial" w:hAnsi="Arial" w:cs="Arial"/>
                <w:sz w:val="20"/>
                <w:szCs w:val="20"/>
              </w:rPr>
              <w:t xml:space="preserve">. </w:t>
            </w:r>
          </w:p>
          <w:p w14:paraId="61B14A9C" w14:textId="77777777" w:rsidR="00952490" w:rsidRDefault="00952490" w:rsidP="00545555">
            <w:pPr>
              <w:numPr>
                <w:ilvl w:val="0"/>
                <w:numId w:val="1"/>
              </w:numPr>
              <w:tabs>
                <w:tab w:val="left" w:pos="288"/>
                <w:tab w:val="left" w:pos="317"/>
                <w:tab w:val="left" w:pos="747"/>
              </w:tabs>
              <w:spacing w:after="0" w:line="240" w:lineRule="auto"/>
              <w:jc w:val="both"/>
              <w:rPr>
                <w:rFonts w:ascii="Arial" w:eastAsia="Times New Roman" w:hAnsi="Arial" w:cs="Arial"/>
                <w:sz w:val="20"/>
                <w:szCs w:val="20"/>
              </w:rPr>
            </w:pPr>
            <w:r w:rsidRPr="00816213">
              <w:rPr>
                <w:rFonts w:ascii="Arial" w:eastAsia="Times New Roman" w:hAnsi="Arial" w:cs="Arial"/>
                <w:sz w:val="20"/>
                <w:szCs w:val="20"/>
              </w:rPr>
              <w:t>If resources allow, planning a two-stage delivery of each dose can be successful in reaching those girls who initially refused vaccination, especially when implementing HPV vaccination for the first time.</w:t>
            </w:r>
          </w:p>
          <w:p w14:paraId="6988323D" w14:textId="77777777" w:rsidR="00952490" w:rsidRPr="00A6044E" w:rsidRDefault="00952490" w:rsidP="00545555">
            <w:pPr>
              <w:numPr>
                <w:ilvl w:val="0"/>
                <w:numId w:val="1"/>
              </w:numPr>
              <w:tabs>
                <w:tab w:val="left" w:pos="288"/>
                <w:tab w:val="left" w:pos="317"/>
                <w:tab w:val="left" w:pos="747"/>
              </w:tabs>
              <w:spacing w:after="0" w:line="240" w:lineRule="auto"/>
              <w:jc w:val="both"/>
              <w:rPr>
                <w:rFonts w:ascii="Arial" w:eastAsia="Times New Roman" w:hAnsi="Arial" w:cs="Arial"/>
                <w:sz w:val="20"/>
                <w:szCs w:val="20"/>
              </w:rPr>
            </w:pPr>
            <w:r>
              <w:rPr>
                <w:rFonts w:ascii="Arial" w:hAnsi="Arial" w:cs="Arial"/>
                <w:sz w:val="20"/>
                <w:szCs w:val="20"/>
              </w:rPr>
              <w:t>Vaccination t</w:t>
            </w:r>
            <w:r w:rsidRPr="00A6044E">
              <w:rPr>
                <w:rFonts w:ascii="Arial" w:hAnsi="Arial" w:cs="Arial"/>
                <w:sz w:val="20"/>
                <w:szCs w:val="20"/>
              </w:rPr>
              <w:t xml:space="preserve">eams can include teachers and CHWs in order to decrease the number of qualified nurses needed for vaccine delivery sessions.  </w:t>
            </w:r>
          </w:p>
          <w:p w14:paraId="28FC39C2" w14:textId="77777777" w:rsidR="00952490" w:rsidRPr="00162936" w:rsidRDefault="00952490" w:rsidP="00545555">
            <w:pPr>
              <w:numPr>
                <w:ilvl w:val="0"/>
                <w:numId w:val="1"/>
              </w:numPr>
              <w:spacing w:after="0" w:line="240" w:lineRule="auto"/>
              <w:contextualSpacing/>
              <w:jc w:val="both"/>
              <w:rPr>
                <w:rFonts w:ascii="Arial" w:hAnsi="Arial" w:cs="Arial"/>
                <w:sz w:val="20"/>
                <w:szCs w:val="20"/>
              </w:rPr>
            </w:pPr>
            <w:r w:rsidRPr="00162936">
              <w:rPr>
                <w:rFonts w:ascii="Arial" w:hAnsi="Arial" w:cs="Arial"/>
                <w:sz w:val="20"/>
                <w:szCs w:val="20"/>
              </w:rPr>
              <w:t>Integration with other outreach activities, spreading HPV vaccine activities over a longer time period, task shifting to lower cadre staff, and/or allowing for longer working days could minimize the impact of HPV vaccine activities on other routine services if human resources are thought to be limited in country. These strategies and/or other strategies should be tested and evaluated.</w:t>
            </w:r>
          </w:p>
          <w:p w14:paraId="6F409B05" w14:textId="77777777" w:rsidR="00952490" w:rsidRDefault="00952490" w:rsidP="00545555">
            <w:pPr>
              <w:numPr>
                <w:ilvl w:val="0"/>
                <w:numId w:val="1"/>
              </w:numPr>
              <w:spacing w:after="0" w:line="240" w:lineRule="auto"/>
              <w:contextualSpacing/>
              <w:jc w:val="both"/>
              <w:rPr>
                <w:rFonts w:ascii="Arial" w:hAnsi="Arial" w:cs="Arial"/>
                <w:sz w:val="20"/>
                <w:szCs w:val="20"/>
              </w:rPr>
            </w:pPr>
            <w:r w:rsidRPr="00162936">
              <w:rPr>
                <w:rFonts w:ascii="Arial" w:hAnsi="Arial" w:cs="Arial"/>
                <w:sz w:val="20"/>
                <w:szCs w:val="20"/>
              </w:rPr>
              <w:t>Non-EPI stakeholders, such as teachers and parents, should be involved in monitoring and reporting AEs.</w:t>
            </w:r>
          </w:p>
          <w:p w14:paraId="1C87FCF7" w14:textId="77777777" w:rsidR="0024225D" w:rsidRPr="0024225D" w:rsidRDefault="0024225D" w:rsidP="0024225D">
            <w:pPr>
              <w:numPr>
                <w:ilvl w:val="0"/>
                <w:numId w:val="1"/>
              </w:numPr>
              <w:spacing w:after="0" w:line="240" w:lineRule="auto"/>
              <w:contextualSpacing/>
              <w:jc w:val="both"/>
              <w:rPr>
                <w:rFonts w:ascii="Arial" w:hAnsi="Arial" w:cs="Arial"/>
                <w:sz w:val="20"/>
                <w:szCs w:val="20"/>
              </w:rPr>
            </w:pPr>
            <w:r w:rsidRPr="0024225D">
              <w:rPr>
                <w:rFonts w:ascii="Arial" w:hAnsi="Arial" w:cs="Arial"/>
                <w:sz w:val="20"/>
                <w:szCs w:val="20"/>
              </w:rPr>
              <w:t>Countries need to be aware that HIV infected girls require 3 doses and should develop specific strategies to offer them the 3-dose regimen.</w:t>
            </w:r>
          </w:p>
          <w:p w14:paraId="280043CF" w14:textId="77777777" w:rsidR="0024225D" w:rsidRPr="00A6044E" w:rsidRDefault="0024225D" w:rsidP="0024225D">
            <w:pPr>
              <w:numPr>
                <w:ilvl w:val="0"/>
                <w:numId w:val="1"/>
              </w:numPr>
              <w:spacing w:after="0" w:line="240" w:lineRule="auto"/>
              <w:contextualSpacing/>
              <w:jc w:val="both"/>
              <w:rPr>
                <w:rFonts w:ascii="Arial" w:hAnsi="Arial" w:cs="Arial"/>
                <w:sz w:val="20"/>
                <w:szCs w:val="20"/>
              </w:rPr>
            </w:pPr>
            <w:r w:rsidRPr="0024225D">
              <w:rPr>
                <w:rFonts w:ascii="Arial" w:hAnsi="Arial" w:cs="Arial"/>
                <w:sz w:val="20"/>
                <w:szCs w:val="20"/>
              </w:rPr>
              <w:t xml:space="preserve">Whilst funding from international partners is available it may be worthwhile to maintain a wide age range of eligibility criteria for the first few years of national </w:t>
            </w:r>
            <w:r w:rsidRPr="0024225D">
              <w:rPr>
                <w:rFonts w:ascii="Arial" w:hAnsi="Arial" w:cs="Arial"/>
                <w:sz w:val="20"/>
                <w:szCs w:val="20"/>
              </w:rPr>
              <w:lastRenderedPageBreak/>
              <w:t>programmes e.g. 9-13 year old girls. The first few years of implementation can act as a small catch up campaign; subsequent years would then reduce to a single age cohort of 9 year olds.</w:t>
            </w:r>
          </w:p>
        </w:tc>
      </w:tr>
      <w:tr w:rsidR="00952490" w:rsidRPr="00E16106" w14:paraId="49A3A9A8" w14:textId="77777777" w:rsidTr="00545555">
        <w:trPr>
          <w:trHeight w:val="841"/>
        </w:trPr>
        <w:tc>
          <w:tcPr>
            <w:tcW w:w="1706" w:type="dxa"/>
            <w:tcBorders>
              <w:top w:val="single" w:sz="4" w:space="0" w:color="auto"/>
              <w:left w:val="single" w:sz="12" w:space="0" w:color="4F81BD"/>
              <w:bottom w:val="single" w:sz="4" w:space="0" w:color="auto"/>
              <w:right w:val="single" w:sz="4" w:space="0" w:color="auto"/>
            </w:tcBorders>
            <w:shd w:val="clear" w:color="auto" w:fill="auto"/>
            <w:hideMark/>
          </w:tcPr>
          <w:p w14:paraId="0F65C19E" w14:textId="77777777" w:rsidR="00952490" w:rsidRPr="00162936" w:rsidRDefault="00952490" w:rsidP="00545555">
            <w:pPr>
              <w:tabs>
                <w:tab w:val="left" w:pos="2268"/>
                <w:tab w:val="left" w:pos="2694"/>
              </w:tabs>
              <w:spacing w:after="0" w:line="240" w:lineRule="auto"/>
              <w:rPr>
                <w:rFonts w:ascii="Arial" w:hAnsi="Arial" w:cs="Arial"/>
                <w:b/>
                <w:sz w:val="20"/>
                <w:szCs w:val="20"/>
              </w:rPr>
            </w:pPr>
            <w:r w:rsidRPr="00162936">
              <w:rPr>
                <w:rFonts w:ascii="Arial" w:hAnsi="Arial" w:cs="Arial"/>
                <w:b/>
                <w:sz w:val="20"/>
                <w:szCs w:val="20"/>
              </w:rPr>
              <w:lastRenderedPageBreak/>
              <w:t xml:space="preserve">Achievements </w:t>
            </w:r>
          </w:p>
        </w:tc>
        <w:tc>
          <w:tcPr>
            <w:tcW w:w="8041" w:type="dxa"/>
            <w:tcBorders>
              <w:top w:val="single" w:sz="4" w:space="0" w:color="auto"/>
              <w:left w:val="single" w:sz="4" w:space="0" w:color="auto"/>
              <w:bottom w:val="single" w:sz="4" w:space="0" w:color="auto"/>
              <w:right w:val="single" w:sz="12" w:space="0" w:color="4F81BD"/>
            </w:tcBorders>
            <w:shd w:val="clear" w:color="auto" w:fill="auto"/>
          </w:tcPr>
          <w:p w14:paraId="4DC17542" w14:textId="77777777" w:rsidR="00952490" w:rsidRDefault="00952490" w:rsidP="00545555">
            <w:pPr>
              <w:numPr>
                <w:ilvl w:val="0"/>
                <w:numId w:val="3"/>
              </w:numPr>
              <w:spacing w:after="0" w:line="240" w:lineRule="auto"/>
              <w:ind w:left="747"/>
              <w:contextualSpacing/>
              <w:jc w:val="both"/>
              <w:rPr>
                <w:rFonts w:ascii="Arial" w:hAnsi="Arial" w:cs="Arial"/>
                <w:sz w:val="20"/>
                <w:szCs w:val="20"/>
              </w:rPr>
            </w:pPr>
            <w:r w:rsidRPr="00162936">
              <w:rPr>
                <w:rFonts w:ascii="Arial" w:hAnsi="Arial" w:cs="Arial"/>
                <w:sz w:val="20"/>
                <w:szCs w:val="20"/>
              </w:rPr>
              <w:t xml:space="preserve">Including a component of school-based delivery can yield high coverage and is recommended if resources allow. If school enrolment is low, a mixture of strategies could be important in order to attain good coverage. </w:t>
            </w:r>
          </w:p>
          <w:p w14:paraId="11BC3AEC" w14:textId="77777777" w:rsidR="00952490" w:rsidRPr="00162936" w:rsidRDefault="00952490" w:rsidP="00545555">
            <w:pPr>
              <w:numPr>
                <w:ilvl w:val="0"/>
                <w:numId w:val="3"/>
              </w:numPr>
              <w:spacing w:after="0" w:line="240" w:lineRule="auto"/>
              <w:ind w:left="747"/>
              <w:contextualSpacing/>
              <w:jc w:val="both"/>
              <w:rPr>
                <w:rFonts w:ascii="Arial" w:hAnsi="Arial" w:cs="Arial"/>
                <w:sz w:val="20"/>
                <w:szCs w:val="20"/>
              </w:rPr>
            </w:pPr>
            <w:r>
              <w:rPr>
                <w:rFonts w:ascii="Arial" w:hAnsi="Arial" w:cs="Arial"/>
                <w:sz w:val="20"/>
                <w:szCs w:val="20"/>
              </w:rPr>
              <w:t>More evaluation of health facility only strategies is needed.</w:t>
            </w:r>
            <w:r w:rsidRPr="00162936">
              <w:rPr>
                <w:rFonts w:ascii="Arial" w:hAnsi="Arial" w:cs="Arial"/>
                <w:sz w:val="20"/>
                <w:szCs w:val="20"/>
              </w:rPr>
              <w:t xml:space="preserve">   </w:t>
            </w:r>
          </w:p>
          <w:p w14:paraId="7D2D3052" w14:textId="77777777" w:rsidR="00952490" w:rsidRPr="00E16106" w:rsidRDefault="00952490" w:rsidP="00545555">
            <w:pPr>
              <w:numPr>
                <w:ilvl w:val="0"/>
                <w:numId w:val="3"/>
              </w:numPr>
              <w:spacing w:after="0" w:line="240" w:lineRule="auto"/>
              <w:ind w:left="747"/>
              <w:contextualSpacing/>
              <w:jc w:val="both"/>
              <w:rPr>
                <w:rFonts w:ascii="Arial" w:hAnsi="Arial" w:cs="Arial"/>
                <w:sz w:val="20"/>
                <w:szCs w:val="20"/>
              </w:rPr>
            </w:pPr>
            <w:r w:rsidRPr="00162936">
              <w:rPr>
                <w:rFonts w:ascii="Arial" w:hAnsi="Arial" w:cs="Arial"/>
                <w:sz w:val="20"/>
                <w:szCs w:val="20"/>
              </w:rPr>
              <w:t xml:space="preserve">An opportunity for girls who missed doses to receive the vaccine should be supplied, either at return visits to schools or referral to health facility or outreach sites, depending on the resources available.  </w:t>
            </w:r>
          </w:p>
        </w:tc>
      </w:tr>
      <w:tr w:rsidR="00952490" w:rsidRPr="00162936" w14:paraId="0EB58AEC" w14:textId="77777777" w:rsidTr="00545555">
        <w:trPr>
          <w:trHeight w:val="983"/>
        </w:trPr>
        <w:tc>
          <w:tcPr>
            <w:tcW w:w="1706" w:type="dxa"/>
            <w:tcBorders>
              <w:top w:val="single" w:sz="4" w:space="0" w:color="auto"/>
              <w:left w:val="single" w:sz="12" w:space="0" w:color="4F81BD"/>
              <w:bottom w:val="single" w:sz="4" w:space="0" w:color="auto"/>
              <w:right w:val="single" w:sz="4" w:space="0" w:color="auto"/>
            </w:tcBorders>
            <w:shd w:val="clear" w:color="auto" w:fill="auto"/>
            <w:hideMark/>
          </w:tcPr>
          <w:p w14:paraId="26B07337" w14:textId="77777777" w:rsidR="00952490" w:rsidRPr="00162936" w:rsidRDefault="00952490" w:rsidP="00545555">
            <w:pPr>
              <w:tabs>
                <w:tab w:val="left" w:pos="2268"/>
                <w:tab w:val="left" w:pos="2694"/>
              </w:tabs>
              <w:spacing w:after="0" w:line="240" w:lineRule="auto"/>
              <w:rPr>
                <w:rFonts w:ascii="Arial" w:hAnsi="Arial" w:cs="Arial"/>
                <w:b/>
                <w:sz w:val="20"/>
                <w:szCs w:val="20"/>
              </w:rPr>
            </w:pPr>
            <w:r w:rsidRPr="00162936">
              <w:rPr>
                <w:rFonts w:ascii="Arial" w:hAnsi="Arial" w:cs="Arial"/>
                <w:b/>
                <w:sz w:val="20"/>
                <w:szCs w:val="20"/>
              </w:rPr>
              <w:t xml:space="preserve">Sustainability </w:t>
            </w:r>
          </w:p>
        </w:tc>
        <w:tc>
          <w:tcPr>
            <w:tcW w:w="8041" w:type="dxa"/>
            <w:tcBorders>
              <w:top w:val="single" w:sz="4" w:space="0" w:color="auto"/>
              <w:left w:val="single" w:sz="4" w:space="0" w:color="auto"/>
              <w:bottom w:val="single" w:sz="4" w:space="0" w:color="auto"/>
              <w:right w:val="single" w:sz="12" w:space="0" w:color="4F81BD"/>
            </w:tcBorders>
            <w:shd w:val="clear" w:color="auto" w:fill="auto"/>
          </w:tcPr>
          <w:p w14:paraId="5A40CF02" w14:textId="77777777" w:rsidR="00952490" w:rsidRPr="00162936" w:rsidRDefault="00952490" w:rsidP="00545555">
            <w:pPr>
              <w:numPr>
                <w:ilvl w:val="0"/>
                <w:numId w:val="4"/>
              </w:numPr>
              <w:spacing w:after="0" w:line="240" w:lineRule="auto"/>
              <w:jc w:val="both"/>
              <w:rPr>
                <w:rFonts w:ascii="Arial" w:hAnsi="Arial" w:cs="Arial"/>
                <w:sz w:val="20"/>
                <w:szCs w:val="20"/>
              </w:rPr>
            </w:pPr>
            <w:r>
              <w:rPr>
                <w:rFonts w:ascii="Arial" w:hAnsi="Arial" w:cs="Arial"/>
                <w:sz w:val="20"/>
                <w:szCs w:val="20"/>
              </w:rPr>
              <w:t>More</w:t>
            </w:r>
            <w:r w:rsidRPr="00162936">
              <w:rPr>
                <w:rFonts w:ascii="Arial" w:hAnsi="Arial" w:cs="Arial"/>
                <w:sz w:val="20"/>
                <w:szCs w:val="20"/>
              </w:rPr>
              <w:t xml:space="preserve"> research should be conducted on scale-up experiences.</w:t>
            </w:r>
          </w:p>
          <w:p w14:paraId="03526B41" w14:textId="77777777" w:rsidR="00952490" w:rsidRDefault="00952490" w:rsidP="00545555">
            <w:pPr>
              <w:numPr>
                <w:ilvl w:val="0"/>
                <w:numId w:val="4"/>
              </w:numPr>
              <w:spacing w:after="0" w:line="240" w:lineRule="auto"/>
              <w:jc w:val="both"/>
              <w:rPr>
                <w:rFonts w:ascii="Arial" w:hAnsi="Arial" w:cs="Arial"/>
                <w:sz w:val="20"/>
                <w:szCs w:val="20"/>
              </w:rPr>
            </w:pPr>
            <w:r w:rsidRPr="00162936">
              <w:rPr>
                <w:rFonts w:ascii="Arial" w:hAnsi="Arial" w:cs="Arial"/>
                <w:sz w:val="20"/>
                <w:szCs w:val="20"/>
              </w:rPr>
              <w:t>Further exploration of sustainable funding alternatives should be conducted and disseminated, to encourage more countries to scale-up demonstration projects.</w:t>
            </w:r>
          </w:p>
          <w:p w14:paraId="0BE942D5" w14:textId="77777777" w:rsidR="0024225D" w:rsidRPr="00162936" w:rsidRDefault="0024225D" w:rsidP="00545555">
            <w:pPr>
              <w:numPr>
                <w:ilvl w:val="0"/>
                <w:numId w:val="4"/>
              </w:numPr>
              <w:spacing w:after="0" w:line="240" w:lineRule="auto"/>
              <w:jc w:val="both"/>
              <w:rPr>
                <w:rFonts w:ascii="Arial" w:hAnsi="Arial" w:cs="Arial"/>
                <w:sz w:val="20"/>
                <w:szCs w:val="20"/>
              </w:rPr>
            </w:pPr>
            <w:r w:rsidRPr="0024225D">
              <w:rPr>
                <w:rFonts w:ascii="Arial" w:hAnsi="Arial" w:cs="Arial"/>
                <w:sz w:val="20"/>
                <w:szCs w:val="20"/>
              </w:rPr>
              <w:t>Where feasible (e.g. in terms of funding and country experience with introducing vaccines), consider phased national implementation rather than demonstration projects</w:t>
            </w:r>
            <w:r>
              <w:rPr>
                <w:rFonts w:ascii="Arial" w:hAnsi="Arial" w:cs="Arial"/>
                <w:sz w:val="20"/>
                <w:szCs w:val="20"/>
              </w:rPr>
              <w:t>.</w:t>
            </w:r>
          </w:p>
        </w:tc>
      </w:tr>
      <w:tr w:rsidR="00952490" w:rsidRPr="00EE15E4" w14:paraId="7483FFD6" w14:textId="77777777" w:rsidTr="00545555">
        <w:trPr>
          <w:trHeight w:val="274"/>
        </w:trPr>
        <w:tc>
          <w:tcPr>
            <w:tcW w:w="1706" w:type="dxa"/>
            <w:tcBorders>
              <w:top w:val="single" w:sz="4" w:space="0" w:color="auto"/>
              <w:left w:val="single" w:sz="12" w:space="0" w:color="4F81BD"/>
              <w:bottom w:val="single" w:sz="12" w:space="0" w:color="4F81BD"/>
              <w:right w:val="single" w:sz="4" w:space="0" w:color="auto"/>
            </w:tcBorders>
            <w:shd w:val="clear" w:color="auto" w:fill="auto"/>
            <w:hideMark/>
          </w:tcPr>
          <w:p w14:paraId="659F4A47" w14:textId="77777777" w:rsidR="00952490" w:rsidRPr="00162936" w:rsidRDefault="00952490" w:rsidP="00545555">
            <w:pPr>
              <w:tabs>
                <w:tab w:val="left" w:pos="2268"/>
                <w:tab w:val="left" w:pos="2694"/>
              </w:tabs>
              <w:spacing w:after="0" w:line="240" w:lineRule="auto"/>
              <w:rPr>
                <w:rFonts w:ascii="Arial" w:hAnsi="Arial" w:cs="Arial"/>
                <w:b/>
                <w:sz w:val="20"/>
                <w:szCs w:val="20"/>
              </w:rPr>
            </w:pPr>
            <w:r w:rsidRPr="00162936">
              <w:rPr>
                <w:rFonts w:ascii="Arial" w:hAnsi="Arial" w:cs="Arial"/>
                <w:b/>
                <w:sz w:val="20"/>
                <w:szCs w:val="20"/>
              </w:rPr>
              <w:t xml:space="preserve">Integration of HPV vaccine with EPI and the health system </w:t>
            </w:r>
          </w:p>
        </w:tc>
        <w:tc>
          <w:tcPr>
            <w:tcW w:w="8041" w:type="dxa"/>
            <w:tcBorders>
              <w:top w:val="single" w:sz="4" w:space="0" w:color="auto"/>
              <w:left w:val="single" w:sz="4" w:space="0" w:color="auto"/>
              <w:bottom w:val="single" w:sz="12" w:space="0" w:color="4F81BD"/>
              <w:right w:val="single" w:sz="12" w:space="0" w:color="4F81BD"/>
            </w:tcBorders>
            <w:shd w:val="clear" w:color="auto" w:fill="auto"/>
          </w:tcPr>
          <w:p w14:paraId="2AF16C7C" w14:textId="77777777" w:rsidR="00952490" w:rsidRPr="00162936" w:rsidRDefault="00952490" w:rsidP="00545555">
            <w:pPr>
              <w:numPr>
                <w:ilvl w:val="0"/>
                <w:numId w:val="5"/>
              </w:numPr>
              <w:spacing w:after="0" w:line="240" w:lineRule="auto"/>
              <w:contextualSpacing/>
              <w:jc w:val="both"/>
              <w:rPr>
                <w:rFonts w:ascii="Arial" w:hAnsi="Arial" w:cs="Arial"/>
                <w:sz w:val="20"/>
                <w:szCs w:val="20"/>
              </w:rPr>
            </w:pPr>
            <w:r w:rsidRPr="00162936">
              <w:rPr>
                <w:rFonts w:ascii="Arial" w:hAnsi="Arial" w:cs="Arial"/>
                <w:sz w:val="20"/>
                <w:szCs w:val="20"/>
              </w:rPr>
              <w:t>Rigorous evaluation of combined interventions with HPV vaccine delivery is needed to assess the effect on implementation, coverage, workload and cost. Funding agencies should systematically encourage this.</w:t>
            </w:r>
          </w:p>
          <w:p w14:paraId="0ADB9563" w14:textId="77777777" w:rsidR="00952490" w:rsidRPr="00162936" w:rsidRDefault="00952490" w:rsidP="00545555">
            <w:pPr>
              <w:numPr>
                <w:ilvl w:val="0"/>
                <w:numId w:val="5"/>
              </w:numPr>
              <w:spacing w:after="0" w:line="240" w:lineRule="auto"/>
              <w:contextualSpacing/>
              <w:jc w:val="both"/>
              <w:rPr>
                <w:rFonts w:ascii="Arial" w:hAnsi="Arial" w:cs="Arial"/>
                <w:sz w:val="20"/>
                <w:szCs w:val="20"/>
              </w:rPr>
            </w:pPr>
            <w:r w:rsidRPr="00162936">
              <w:rPr>
                <w:rFonts w:ascii="Arial" w:hAnsi="Arial" w:cs="Arial"/>
                <w:sz w:val="20"/>
                <w:szCs w:val="20"/>
              </w:rPr>
              <w:t>Gradual integration of processes into routine processes should be planned and formalised after the first round of vaccination is completed (notably for activities such as communication, reporting procedures and processes, supervision, social mobilisation, remuneration, and human resources management).</w:t>
            </w:r>
          </w:p>
          <w:p w14:paraId="24FE9D41" w14:textId="77777777" w:rsidR="00952490" w:rsidRPr="00162936" w:rsidRDefault="00952490" w:rsidP="00545555">
            <w:pPr>
              <w:numPr>
                <w:ilvl w:val="0"/>
                <w:numId w:val="5"/>
              </w:numPr>
              <w:spacing w:after="0" w:line="240" w:lineRule="auto"/>
              <w:contextualSpacing/>
              <w:jc w:val="both"/>
              <w:rPr>
                <w:rFonts w:ascii="Arial" w:hAnsi="Arial" w:cs="Arial"/>
                <w:sz w:val="20"/>
                <w:szCs w:val="20"/>
              </w:rPr>
            </w:pPr>
            <w:r w:rsidRPr="00162936">
              <w:rPr>
                <w:rFonts w:ascii="Arial" w:hAnsi="Arial" w:cs="Arial"/>
                <w:sz w:val="20"/>
                <w:szCs w:val="20"/>
              </w:rPr>
              <w:t>Opportunities to initiate or strengthen existing school health programmes and/or pre-adolescent/adolescent health should be seized through on-going collaboration with partners (e.g. MOE, reproductive health departments).</w:t>
            </w:r>
          </w:p>
          <w:p w14:paraId="56E3997C" w14:textId="77777777" w:rsidR="00952490" w:rsidRPr="00EE15E4" w:rsidRDefault="00952490" w:rsidP="00545555">
            <w:pPr>
              <w:numPr>
                <w:ilvl w:val="0"/>
                <w:numId w:val="5"/>
              </w:numPr>
              <w:spacing w:after="0" w:line="240" w:lineRule="auto"/>
              <w:contextualSpacing/>
              <w:jc w:val="both"/>
              <w:rPr>
                <w:rFonts w:ascii="Arial" w:hAnsi="Arial" w:cs="Arial"/>
                <w:sz w:val="20"/>
                <w:szCs w:val="20"/>
              </w:rPr>
            </w:pPr>
            <w:r w:rsidRPr="00162936">
              <w:rPr>
                <w:rFonts w:ascii="Arial" w:hAnsi="Arial" w:cs="Arial"/>
                <w:sz w:val="20"/>
                <w:szCs w:val="20"/>
              </w:rPr>
              <w:t>HPV vaccine is overwhelmingly being delivered through “routinized” campaigns, it is critical to ensure that other routine health services are not disrupted by recurrent school delivery or that possible disruptions are mitigated, and that this delivery strategy is sustainably funded. This needs to be monitored and evaluated.</w:t>
            </w:r>
          </w:p>
        </w:tc>
      </w:tr>
    </w:tbl>
    <w:p w14:paraId="06FAB420" w14:textId="77777777" w:rsidR="00952490" w:rsidRPr="006145A0" w:rsidRDefault="00952490" w:rsidP="00952490">
      <w:pPr>
        <w:spacing w:after="0" w:line="360" w:lineRule="auto"/>
        <w:rPr>
          <w:rFonts w:ascii="Arial" w:hAnsi="Arial" w:cs="Arial"/>
          <w:b/>
        </w:rPr>
      </w:pPr>
    </w:p>
    <w:p w14:paraId="5ADCDB02" w14:textId="77777777" w:rsidR="00215130" w:rsidRDefault="00215130"/>
    <w:sectPr w:rsidR="00215130" w:rsidSect="00F86F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621"/>
    <w:multiLevelType w:val="hybridMultilevel"/>
    <w:tmpl w:val="D8BE8422"/>
    <w:lvl w:ilvl="0" w:tplc="65968842">
      <w:start w:val="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51B6F14"/>
    <w:multiLevelType w:val="hybridMultilevel"/>
    <w:tmpl w:val="7CAA26D4"/>
    <w:lvl w:ilvl="0" w:tplc="65968842">
      <w:start w:val="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906946"/>
    <w:multiLevelType w:val="multilevel"/>
    <w:tmpl w:val="48E02D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73D215C"/>
    <w:multiLevelType w:val="multilevel"/>
    <w:tmpl w:val="1D1042C4"/>
    <w:lvl w:ilvl="0">
      <w:numFmt w:val="bullet"/>
      <w:lvlText w:val="-"/>
      <w:lvlJc w:val="left"/>
      <w:pPr>
        <w:ind w:left="648" w:hanging="360"/>
      </w:pPr>
      <w:rPr>
        <w:rFonts w:ascii="Arial" w:hAnsi="Arial" w:hint="default"/>
      </w:rPr>
    </w:lvl>
    <w:lvl w:ilvl="1">
      <w:start w:val="1"/>
      <w:numFmt w:val="bullet"/>
      <w:lvlText w:val=""/>
      <w:lvlJc w:val="left"/>
      <w:pPr>
        <w:ind w:left="1080" w:hanging="432"/>
      </w:pPr>
      <w:rPr>
        <w:rFonts w:ascii="Symbol" w:hAnsi="Symbol" w:hint="default"/>
      </w:rPr>
    </w:lvl>
    <w:lvl w:ilvl="2">
      <w:start w:val="1"/>
      <w:numFmt w:val="decimal"/>
      <w:lvlText w:val="%1.%2.%3."/>
      <w:lvlJc w:val="left"/>
      <w:pPr>
        <w:ind w:left="1512" w:hanging="504"/>
      </w:pPr>
    </w:lvl>
    <w:lvl w:ilvl="3">
      <w:start w:val="1"/>
      <w:numFmt w:val="decimal"/>
      <w:lvlText w:val="%1.%2.%3.%4."/>
      <w:lvlJc w:val="left"/>
      <w:pPr>
        <w:ind w:left="2016" w:hanging="648"/>
      </w:pPr>
    </w:lvl>
    <w:lvl w:ilvl="4">
      <w:start w:val="1"/>
      <w:numFmt w:val="decimal"/>
      <w:lvlText w:val="%1.%2.%3.%4.%5."/>
      <w:lvlJc w:val="left"/>
      <w:pPr>
        <w:ind w:left="2520" w:hanging="792"/>
      </w:pPr>
    </w:lvl>
    <w:lvl w:ilvl="5">
      <w:start w:val="1"/>
      <w:numFmt w:val="decimal"/>
      <w:lvlText w:val="%1.%2.%3.%4.%5.%6."/>
      <w:lvlJc w:val="left"/>
      <w:pPr>
        <w:ind w:left="3024" w:hanging="936"/>
      </w:pPr>
    </w:lvl>
    <w:lvl w:ilvl="6">
      <w:start w:val="1"/>
      <w:numFmt w:val="decimal"/>
      <w:lvlText w:val="%1.%2.%3.%4.%5.%6.%7."/>
      <w:lvlJc w:val="left"/>
      <w:pPr>
        <w:ind w:left="3528" w:hanging="1080"/>
      </w:pPr>
    </w:lvl>
    <w:lvl w:ilvl="7">
      <w:start w:val="1"/>
      <w:numFmt w:val="decimal"/>
      <w:lvlText w:val="%1.%2.%3.%4.%5.%6.%7.%8."/>
      <w:lvlJc w:val="left"/>
      <w:pPr>
        <w:ind w:left="4032" w:hanging="1224"/>
      </w:pPr>
    </w:lvl>
    <w:lvl w:ilvl="8">
      <w:start w:val="1"/>
      <w:numFmt w:val="decimal"/>
      <w:lvlText w:val="%1.%2.%3.%4.%5.%6.%7.%8.%9."/>
      <w:lvlJc w:val="left"/>
      <w:pPr>
        <w:ind w:left="4608" w:hanging="1440"/>
      </w:pPr>
    </w:lvl>
  </w:abstractNum>
  <w:abstractNum w:abstractNumId="4">
    <w:nsid w:val="4F9248E2"/>
    <w:multiLevelType w:val="hybridMultilevel"/>
    <w:tmpl w:val="054467CC"/>
    <w:lvl w:ilvl="0" w:tplc="65968842">
      <w:start w:val="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2D45FD9"/>
    <w:multiLevelType w:val="hybridMultilevel"/>
    <w:tmpl w:val="944A7800"/>
    <w:lvl w:ilvl="0" w:tplc="65968842">
      <w:start w:val="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ECA02A3"/>
    <w:multiLevelType w:val="hybridMultilevel"/>
    <w:tmpl w:val="A0BCBB32"/>
    <w:lvl w:ilvl="0" w:tplc="65968842">
      <w:start w:val="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0"/>
    <w:rsid w:val="00215130"/>
    <w:rsid w:val="0024225D"/>
    <w:rsid w:val="005277AE"/>
    <w:rsid w:val="00952490"/>
    <w:rsid w:val="00AB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E62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2490"/>
    <w:pPr>
      <w:spacing w:after="200" w:line="276" w:lineRule="auto"/>
    </w:pPr>
    <w:rPr>
      <w:rFonts w:ascii="Calibri" w:eastAsia="Calibri"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5076</Characters>
  <Application>Microsoft Macintosh Word</Application>
  <DocSecurity>0</DocSecurity>
  <Lines>42</Lines>
  <Paragraphs>11</Paragraphs>
  <ScaleCrop>false</ScaleCrop>
  <Company>LSHTM</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Gallagher</dc:creator>
  <cp:keywords/>
  <dc:description/>
  <cp:lastModifiedBy>Katherine Gallagher</cp:lastModifiedBy>
  <cp:revision>2</cp:revision>
  <dcterms:created xsi:type="dcterms:W3CDTF">2017-02-10T16:47:00Z</dcterms:created>
  <dcterms:modified xsi:type="dcterms:W3CDTF">2017-02-10T16:47:00Z</dcterms:modified>
</cp:coreProperties>
</file>