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16" w:rsidRPr="00260484" w:rsidRDefault="00274E16" w:rsidP="00274E16">
      <w:pPr>
        <w:snapToGrid w:val="0"/>
        <w:spacing w:line="360" w:lineRule="auto"/>
        <w:jc w:val="both"/>
      </w:pPr>
      <w:r w:rsidRPr="00260484">
        <w:rPr>
          <w:b/>
        </w:rPr>
        <w:t>S2</w:t>
      </w:r>
      <w:r w:rsidRPr="003517F2">
        <w:rPr>
          <w:b/>
        </w:rPr>
        <w:t xml:space="preserve"> </w:t>
      </w:r>
      <w:r w:rsidRPr="00260484">
        <w:rPr>
          <w:b/>
        </w:rPr>
        <w:t>Table</w:t>
      </w:r>
      <w:r w:rsidRPr="00260484">
        <w:t xml:space="preserve">. Summary of </w:t>
      </w:r>
      <w:proofErr w:type="spellStart"/>
      <w:r w:rsidRPr="00260484">
        <w:t>Rq</w:t>
      </w:r>
      <w:proofErr w:type="spellEnd"/>
      <w:r w:rsidRPr="00260484">
        <w:t xml:space="preserve"> and SAR of the Pt nanostructures on sapphire with 3, 10, and 20 nm Pt deposition (DA) after annealing between 500 and </w:t>
      </w:r>
      <w:r w:rsidRPr="00260484">
        <w:rPr>
          <w:rFonts w:eastAsia="SimSun"/>
        </w:rPr>
        <w:t>950 ˚C for 450 s</w:t>
      </w:r>
      <w:r w:rsidRPr="00260484">
        <w:t xml:space="preserve">. </w:t>
      </w:r>
    </w:p>
    <w:p w:rsidR="00274E16" w:rsidRPr="00260484" w:rsidRDefault="00274E16" w:rsidP="00274E16">
      <w:pPr>
        <w:snapToGrid w:val="0"/>
        <w:spacing w:line="360" w:lineRule="auto"/>
        <w:jc w:val="both"/>
      </w:pPr>
    </w:p>
    <w:tbl>
      <w:tblPr>
        <w:tblW w:w="89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275"/>
        <w:gridCol w:w="1276"/>
        <w:gridCol w:w="1297"/>
        <w:gridCol w:w="1304"/>
      </w:tblGrid>
      <w:tr w:rsidR="00274E16" w:rsidRPr="00A06A6F" w:rsidTr="00B11533">
        <w:trPr>
          <w:trHeight w:val="553"/>
        </w:trPr>
        <w:tc>
          <w:tcPr>
            <w:tcW w:w="1418" w:type="dxa"/>
            <w:vMerge w:val="restart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274E16" w:rsidRPr="00260484" w:rsidRDefault="00274E16" w:rsidP="00B11533">
            <w:pPr>
              <w:adjustRightInd w:val="0"/>
              <w:snapToGrid w:val="0"/>
              <w:spacing w:line="360" w:lineRule="auto"/>
              <w:ind w:firstLine="240"/>
              <w:jc w:val="right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DA</w:t>
            </w:r>
          </w:p>
          <w:p w:rsidR="00274E16" w:rsidRPr="00260484" w:rsidRDefault="00274E16" w:rsidP="00B11533">
            <w:pPr>
              <w:adjustRightInd w:val="0"/>
              <w:snapToGrid w:val="0"/>
              <w:spacing w:line="360" w:lineRule="auto"/>
              <w:ind w:firstLine="240"/>
              <w:jc w:val="right"/>
              <w:rPr>
                <w:rFonts w:eastAsia="맑은 고딕"/>
                <w:b/>
                <w:bCs/>
              </w:rPr>
            </w:pPr>
          </w:p>
          <w:p w:rsidR="00274E16" w:rsidRPr="00260484" w:rsidRDefault="00274E16" w:rsidP="00B11533">
            <w:pPr>
              <w:adjustRightInd w:val="0"/>
              <w:snapToGrid w:val="0"/>
              <w:spacing w:line="360" w:lineRule="auto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 xml:space="preserve">AT 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E16" w:rsidRPr="00260484" w:rsidRDefault="00274E16" w:rsidP="00B11533">
            <w:pPr>
              <w:snapToGrid w:val="0"/>
              <w:spacing w:line="360" w:lineRule="auto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3 nm</w:t>
            </w:r>
          </w:p>
        </w:tc>
        <w:tc>
          <w:tcPr>
            <w:tcW w:w="2551" w:type="dxa"/>
            <w:gridSpan w:val="2"/>
            <w:vMerge w:val="restart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E16" w:rsidRPr="00260484" w:rsidRDefault="00274E16" w:rsidP="00B11533">
            <w:pPr>
              <w:snapToGrid w:val="0"/>
              <w:spacing w:line="360" w:lineRule="auto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10 nm</w:t>
            </w:r>
          </w:p>
        </w:tc>
        <w:tc>
          <w:tcPr>
            <w:tcW w:w="2601" w:type="dxa"/>
            <w:gridSpan w:val="2"/>
            <w:vMerge w:val="restart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E16" w:rsidRPr="00260484" w:rsidRDefault="00274E16" w:rsidP="00B11533">
            <w:pPr>
              <w:snapToGrid w:val="0"/>
              <w:spacing w:line="360" w:lineRule="auto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20 nm</w:t>
            </w:r>
          </w:p>
        </w:tc>
      </w:tr>
      <w:tr w:rsidR="00274E16" w:rsidRPr="00A06A6F" w:rsidTr="00B11533">
        <w:trPr>
          <w:trHeight w:val="458"/>
        </w:trPr>
        <w:tc>
          <w:tcPr>
            <w:tcW w:w="141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16" w:rsidRPr="00260484" w:rsidRDefault="00274E16" w:rsidP="00B11533">
            <w:pPr>
              <w:snapToGrid w:val="0"/>
              <w:spacing w:line="360" w:lineRule="auto"/>
              <w:jc w:val="center"/>
              <w:rPr>
                <w:rFonts w:eastAsia="맑은 고딕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16" w:rsidRPr="00260484" w:rsidRDefault="00274E16" w:rsidP="00B11533">
            <w:pPr>
              <w:snapToGrid w:val="0"/>
              <w:spacing w:line="360" w:lineRule="auto"/>
              <w:jc w:val="center"/>
              <w:rPr>
                <w:rFonts w:eastAsia="맑은 고딕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16" w:rsidRPr="00260484" w:rsidRDefault="00274E16" w:rsidP="00B11533">
            <w:pPr>
              <w:snapToGrid w:val="0"/>
              <w:spacing w:line="360" w:lineRule="auto"/>
              <w:jc w:val="center"/>
              <w:rPr>
                <w:rFonts w:eastAsia="맑은 고딕"/>
                <w:b/>
                <w:bCs/>
              </w:rPr>
            </w:pPr>
          </w:p>
        </w:tc>
        <w:tc>
          <w:tcPr>
            <w:tcW w:w="260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16" w:rsidRPr="00260484" w:rsidRDefault="00274E16" w:rsidP="00B11533">
            <w:pPr>
              <w:snapToGrid w:val="0"/>
              <w:spacing w:line="360" w:lineRule="auto"/>
              <w:jc w:val="center"/>
              <w:rPr>
                <w:rFonts w:eastAsia="맑은 고딕"/>
                <w:b/>
                <w:bCs/>
              </w:rPr>
            </w:pPr>
          </w:p>
        </w:tc>
      </w:tr>
      <w:tr w:rsidR="00274E16" w:rsidRPr="00A06A6F" w:rsidTr="00B11533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proofErr w:type="spellStart"/>
            <w:r w:rsidRPr="00260484">
              <w:rPr>
                <w:rFonts w:eastAsia="맑은 고딕"/>
                <w:b/>
                <w:bCs/>
              </w:rPr>
              <w:t>Rq</w:t>
            </w:r>
            <w:proofErr w:type="spellEnd"/>
            <w:r w:rsidRPr="00260484">
              <w:rPr>
                <w:rFonts w:eastAsia="맑은 고딕"/>
                <w:b/>
                <w:bCs/>
              </w:rPr>
              <w:t xml:space="preserve"> [nm]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SAR [%]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proofErr w:type="spellStart"/>
            <w:r w:rsidRPr="00260484">
              <w:rPr>
                <w:rFonts w:eastAsia="맑은 고딕"/>
                <w:b/>
                <w:bCs/>
              </w:rPr>
              <w:t>Rq</w:t>
            </w:r>
            <w:proofErr w:type="spellEnd"/>
            <w:r w:rsidRPr="00260484">
              <w:rPr>
                <w:rFonts w:eastAsia="맑은 고딕"/>
                <w:b/>
                <w:bCs/>
              </w:rPr>
              <w:t xml:space="preserve"> [nm]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SAR [%]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proofErr w:type="spellStart"/>
            <w:r w:rsidRPr="00260484">
              <w:rPr>
                <w:rFonts w:eastAsia="맑은 고딕"/>
                <w:b/>
                <w:bCs/>
              </w:rPr>
              <w:t>Rq</w:t>
            </w:r>
            <w:proofErr w:type="spellEnd"/>
            <w:r w:rsidRPr="00260484">
              <w:rPr>
                <w:rFonts w:eastAsia="맑은 고딕"/>
                <w:b/>
                <w:bCs/>
              </w:rPr>
              <w:t xml:space="preserve"> [nm]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SAR [%]</w:t>
            </w:r>
          </w:p>
        </w:tc>
      </w:tr>
      <w:tr w:rsidR="00274E16" w:rsidRPr="00A06A6F" w:rsidTr="00B11533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0.11</w:t>
            </w:r>
          </w:p>
        </w:tc>
      </w:tr>
      <w:tr w:rsidR="00274E16" w:rsidRPr="00A06A6F" w:rsidTr="00B11533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0.11</w:t>
            </w:r>
          </w:p>
        </w:tc>
      </w:tr>
      <w:tr w:rsidR="00274E16" w:rsidRPr="00A06A6F" w:rsidTr="00B11533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0.27</w:t>
            </w:r>
          </w:p>
        </w:tc>
      </w:tr>
      <w:tr w:rsidR="00274E16" w:rsidRPr="00A06A6F" w:rsidTr="00B11533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3.50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1.83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1.10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0.45</w:t>
            </w:r>
          </w:p>
        </w:tc>
      </w:tr>
      <w:tr w:rsidR="00274E16" w:rsidRPr="00A06A6F" w:rsidTr="00B11533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1.21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2.30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0.75</w:t>
            </w:r>
          </w:p>
        </w:tc>
      </w:tr>
      <w:tr w:rsidR="00274E16" w:rsidRPr="00A06A6F" w:rsidTr="00B11533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4.20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1.30</w:t>
            </w:r>
          </w:p>
        </w:tc>
      </w:tr>
      <w:tr w:rsidR="00274E16" w:rsidRPr="00A06A6F" w:rsidTr="00B11533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1.35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6.10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1.92</w:t>
            </w:r>
          </w:p>
        </w:tc>
      </w:tr>
      <w:tr w:rsidR="00274E16" w:rsidRPr="00A06A6F" w:rsidTr="00B11533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3.90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1.98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6.00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1.41</w:t>
            </w:r>
          </w:p>
        </w:tc>
      </w:tr>
      <w:tr w:rsidR="00274E16" w:rsidRPr="00A06A6F" w:rsidTr="00B11533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1.97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7.40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1.66</w:t>
            </w:r>
          </w:p>
        </w:tc>
      </w:tr>
      <w:tr w:rsidR="00274E16" w:rsidRPr="00A06A6F" w:rsidTr="00B11533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doub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  <w:b/>
                <w:bCs/>
              </w:rPr>
            </w:pPr>
            <w:r w:rsidRPr="00260484">
              <w:rPr>
                <w:rFonts w:eastAsia="맑은 고딕"/>
                <w:b/>
                <w:bCs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0.75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4.50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4.10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9.20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16" w:rsidRPr="00260484" w:rsidRDefault="00274E16" w:rsidP="00B11533">
            <w:pPr>
              <w:snapToGrid w:val="0"/>
              <w:jc w:val="center"/>
              <w:rPr>
                <w:rFonts w:eastAsia="맑은 고딕"/>
              </w:rPr>
            </w:pPr>
            <w:r w:rsidRPr="00260484">
              <w:rPr>
                <w:rFonts w:eastAsia="맑은 고딕"/>
              </w:rPr>
              <w:t>1.98</w:t>
            </w:r>
          </w:p>
        </w:tc>
      </w:tr>
    </w:tbl>
    <w:p w:rsidR="00274E16" w:rsidRPr="00260484" w:rsidRDefault="00274E16" w:rsidP="00274E16">
      <w:pPr>
        <w:snapToGrid w:val="0"/>
        <w:spacing w:line="360" w:lineRule="auto"/>
        <w:rPr>
          <w:rFonts w:eastAsiaTheme="minorEastAsia"/>
        </w:rPr>
      </w:pPr>
    </w:p>
    <w:p w:rsidR="00977E26" w:rsidRPr="00274E16" w:rsidRDefault="00274E16" w:rsidP="00274E16">
      <w:bookmarkStart w:id="0" w:name="_GoBack"/>
      <w:bookmarkEnd w:id="0"/>
    </w:p>
    <w:sectPr w:rsidR="00977E26" w:rsidRPr="00274E16" w:rsidSect="00955AB8">
      <w:footerReference w:type="even" r:id="rId6"/>
      <w:footerReference w:type="default" r:id="rId7"/>
      <w:pgSz w:w="11907" w:h="16839" w:code="9"/>
      <w:pgMar w:top="1701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4E16">
      <w:r>
        <w:separator/>
      </w:r>
    </w:p>
  </w:endnote>
  <w:endnote w:type="continuationSeparator" w:id="0">
    <w:p w:rsidR="00000000" w:rsidRDefault="0027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A9" w:rsidRDefault="007A3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9A9" w:rsidRDefault="00274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A9" w:rsidRDefault="007A3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E16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9A9" w:rsidRDefault="00274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4E16">
      <w:r>
        <w:separator/>
      </w:r>
    </w:p>
  </w:footnote>
  <w:footnote w:type="continuationSeparator" w:id="0">
    <w:p w:rsidR="00000000" w:rsidRDefault="0027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92"/>
    <w:rsid w:val="00246EE7"/>
    <w:rsid w:val="00274E16"/>
    <w:rsid w:val="003D7B92"/>
    <w:rsid w:val="007A38DA"/>
    <w:rsid w:val="00955AB8"/>
    <w:rsid w:val="00B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A1544-EAF3-44D4-ACF9-DAB418C8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B8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A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55AB8"/>
    <w:rPr>
      <w:rFonts w:ascii="Times New Roman" w:eastAsia="바탕" w:hAnsi="Times New Roman" w:cs="Times New Roman"/>
      <w:kern w:val="0"/>
      <w:sz w:val="24"/>
      <w:szCs w:val="24"/>
    </w:rPr>
  </w:style>
  <w:style w:type="character" w:styleId="PageNumber">
    <w:name w:val="page number"/>
    <w:basedOn w:val="DefaultParagraphFont"/>
    <w:rsid w:val="0095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Jihooon Lee</dc:creator>
  <cp:keywords/>
  <dc:description/>
  <cp:lastModifiedBy>Prof. Jihooon Lee</cp:lastModifiedBy>
  <cp:revision>4</cp:revision>
  <dcterms:created xsi:type="dcterms:W3CDTF">2017-04-27T00:28:00Z</dcterms:created>
  <dcterms:modified xsi:type="dcterms:W3CDTF">2017-04-27T00:42:00Z</dcterms:modified>
</cp:coreProperties>
</file>