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DD" w:rsidRPr="005C4F5F" w:rsidRDefault="00BF74DD" w:rsidP="00BF74DD">
      <w:pPr>
        <w:jc w:val="both"/>
        <w:rPr>
          <w:rFonts w:ascii="Times New Roman" w:hAnsi="Times New Roman" w:cs="Times New Roman"/>
        </w:rPr>
      </w:pPr>
      <w:proofErr w:type="gramStart"/>
      <w:r w:rsidRPr="0047628F">
        <w:rPr>
          <w:rFonts w:ascii="Times New Roman" w:hAnsi="Times New Roman" w:cs="Times New Roman"/>
          <w:b/>
        </w:rPr>
        <w:t xml:space="preserve">Supplementary Table </w:t>
      </w:r>
      <w:bookmarkStart w:id="0" w:name="_GoBack"/>
      <w:r w:rsidRPr="00BF74DD">
        <w:rPr>
          <w:rFonts w:ascii="Times New Roman" w:hAnsi="Times New Roman" w:cs="Times New Roman"/>
          <w:b/>
        </w:rPr>
        <w:t>4</w:t>
      </w:r>
      <w:bookmarkEnd w:id="0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Annotated t</w:t>
      </w:r>
      <w:r w:rsidRPr="005C4F5F">
        <w:rPr>
          <w:rFonts w:ascii="Times New Roman" w:hAnsi="Times New Roman" w:cs="Times New Roman"/>
        </w:rPr>
        <w:t xml:space="preserve">ranscripts </w:t>
      </w:r>
      <w:r>
        <w:rPr>
          <w:rFonts w:ascii="Times New Roman" w:hAnsi="Times New Roman" w:cs="Times New Roman"/>
        </w:rPr>
        <w:t>within the 122</w:t>
      </w:r>
      <w:r w:rsidRPr="005C4F5F">
        <w:rPr>
          <w:rFonts w:ascii="Times New Roman" w:hAnsi="Times New Roman" w:cs="Times New Roman"/>
        </w:rPr>
        <w:t xml:space="preserve"> features exhibiting </w:t>
      </w:r>
      <w:r>
        <w:rPr>
          <w:rFonts w:ascii="Times New Roman" w:hAnsi="Times New Roman" w:cs="Times New Roman"/>
        </w:rPr>
        <w:t xml:space="preserve">common </w:t>
      </w:r>
      <w:r w:rsidRPr="005C4F5F">
        <w:rPr>
          <w:rFonts w:ascii="Times New Roman" w:hAnsi="Times New Roman" w:cs="Times New Roman"/>
        </w:rPr>
        <w:t xml:space="preserve">differential expression in </w:t>
      </w:r>
      <w:proofErr w:type="spellStart"/>
      <w:r>
        <w:rPr>
          <w:rFonts w:ascii="Times New Roman" w:hAnsi="Times New Roman" w:cs="Times New Roman"/>
        </w:rPr>
        <w:t>midgut</w:t>
      </w:r>
      <w:proofErr w:type="spellEnd"/>
      <w:r>
        <w:rPr>
          <w:rFonts w:ascii="Times New Roman" w:hAnsi="Times New Roman" w:cs="Times New Roman"/>
        </w:rPr>
        <w:t xml:space="preserve"> of </w:t>
      </w:r>
      <w:r w:rsidRPr="005C4F5F">
        <w:rPr>
          <w:rFonts w:ascii="Times New Roman" w:hAnsi="Times New Roman" w:cs="Times New Roman"/>
        </w:rPr>
        <w:t xml:space="preserve">Atlantic salmon fed </w:t>
      </w:r>
      <w:r>
        <w:rPr>
          <w:rFonts w:ascii="Times New Roman" w:hAnsi="Times New Roman" w:cs="Times New Roman"/>
        </w:rPr>
        <w:t>DC</w:t>
      </w:r>
      <w:r w:rsidRPr="005C4F5F">
        <w:rPr>
          <w:rFonts w:ascii="Times New Roman" w:hAnsi="Times New Roman" w:cs="Times New Roman"/>
        </w:rPr>
        <w:t xml:space="preserve">O compared to fish fed either </w:t>
      </w:r>
      <w:r>
        <w:rPr>
          <w:rFonts w:ascii="Times New Roman" w:hAnsi="Times New Roman" w:cs="Times New Roman"/>
        </w:rPr>
        <w:t>F</w:t>
      </w:r>
      <w:r w:rsidRPr="005C4F5F">
        <w:rPr>
          <w:rFonts w:ascii="Times New Roman" w:hAnsi="Times New Roman" w:cs="Times New Roman"/>
        </w:rPr>
        <w:t xml:space="preserve">O or </w:t>
      </w:r>
      <w:r>
        <w:rPr>
          <w:rFonts w:ascii="Times New Roman" w:hAnsi="Times New Roman" w:cs="Times New Roman"/>
        </w:rPr>
        <w:t>W</w:t>
      </w:r>
      <w:r w:rsidRPr="005C4F5F">
        <w:rPr>
          <w:rFonts w:ascii="Times New Roman" w:hAnsi="Times New Roman" w:cs="Times New Roman"/>
        </w:rPr>
        <w:t xml:space="preserve">CO diets. Features are arranged by functional categories and within them by increasing p value (assessed by Welch t-test). </w:t>
      </w: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4"/>
        <w:gridCol w:w="830"/>
        <w:gridCol w:w="718"/>
        <w:gridCol w:w="896"/>
        <w:gridCol w:w="708"/>
        <w:gridCol w:w="6096"/>
      </w:tblGrid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b/>
                <w:sz w:val="20"/>
                <w:szCs w:val="20"/>
              </w:rPr>
              <w:t>KO no</w:t>
            </w:r>
          </w:p>
        </w:tc>
        <w:tc>
          <w:tcPr>
            <w:tcW w:w="1548" w:type="dxa"/>
            <w:gridSpan w:val="2"/>
          </w:tcPr>
          <w:p w:rsidR="00BF74DD" w:rsidRPr="007C4ACF" w:rsidRDefault="00BF74DD" w:rsidP="00527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b/>
                <w:sz w:val="20"/>
                <w:szCs w:val="20"/>
              </w:rPr>
              <w:t>FO/DCO</w:t>
            </w:r>
          </w:p>
        </w:tc>
        <w:tc>
          <w:tcPr>
            <w:tcW w:w="1604" w:type="dxa"/>
            <w:gridSpan w:val="2"/>
          </w:tcPr>
          <w:p w:rsidR="00BF74DD" w:rsidRPr="007C4ACF" w:rsidRDefault="00BF74DD" w:rsidP="00527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b/>
                <w:sz w:val="20"/>
                <w:szCs w:val="20"/>
              </w:rPr>
              <w:t>WCO/DCO</w:t>
            </w:r>
          </w:p>
        </w:tc>
        <w:tc>
          <w:tcPr>
            <w:tcW w:w="6096" w:type="dxa"/>
          </w:tcPr>
          <w:p w:rsidR="00BF74DD" w:rsidRPr="007C4ACF" w:rsidRDefault="00BF74DD" w:rsidP="00527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b/>
                <w:sz w:val="20"/>
                <w:szCs w:val="20"/>
              </w:rPr>
              <w:t>Annotation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1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FC</w:t>
            </w:r>
          </w:p>
        </w:tc>
        <w:tc>
          <w:tcPr>
            <w:tcW w:w="8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FC</w:t>
            </w: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2932" w:type="dxa"/>
            <w:gridSpan w:val="3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i/>
                <w:sz w:val="20"/>
                <w:szCs w:val="20"/>
              </w:rPr>
              <w:t>Metabolism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26.2</w:t>
            </w:r>
            <w:r w:rsidRPr="007C4A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%)</w:t>
            </w:r>
          </w:p>
        </w:tc>
        <w:tc>
          <w:tcPr>
            <w:tcW w:w="8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2932" w:type="dxa"/>
            <w:gridSpan w:val="3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i/>
                <w:sz w:val="20"/>
                <w:szCs w:val="20"/>
              </w:rPr>
              <w:t>Lipid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15.4</w:t>
            </w:r>
            <w:r w:rsidRPr="007C4A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%)</w:t>
            </w:r>
          </w:p>
        </w:tc>
        <w:tc>
          <w:tcPr>
            <w:tcW w:w="8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K10226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 xml:space="preserve">Delta 6 fatty acyl </w:t>
            </w:r>
            <w:proofErr w:type="spellStart"/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desaturase</w:t>
            </w:r>
            <w:proofErr w:type="spellEnd"/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K10226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 xml:space="preserve">Delta 6 fatty acyl </w:t>
            </w:r>
            <w:proofErr w:type="spellStart"/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desaturase</w:t>
            </w:r>
            <w:proofErr w:type="spellEnd"/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K10226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 xml:space="preserve">Delta 6 fatty acyl </w:t>
            </w:r>
            <w:proofErr w:type="spellStart"/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desaturase</w:t>
            </w:r>
            <w:proofErr w:type="spellEnd"/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K10226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 xml:space="preserve">Delta 6 fatty acyl </w:t>
            </w:r>
            <w:proofErr w:type="spellStart"/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desaturase</w:t>
            </w:r>
            <w:proofErr w:type="spellEnd"/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K10226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 xml:space="preserve">Delta 6 fatty acyl </w:t>
            </w:r>
            <w:proofErr w:type="spellStart"/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desaturase</w:t>
            </w:r>
            <w:proofErr w:type="spellEnd"/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K10226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0.0076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 xml:space="preserve">Delta 6 fatty acyl </w:t>
            </w:r>
            <w:proofErr w:type="spellStart"/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desaturase</w:t>
            </w:r>
            <w:proofErr w:type="spellEnd"/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K10226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0.0085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 xml:space="preserve">Delta 6 fatty acyl </w:t>
            </w:r>
            <w:proofErr w:type="spellStart"/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desaturase</w:t>
            </w:r>
            <w:proofErr w:type="spellEnd"/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K08729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0.0214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0.0411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Phosphatidylserine</w:t>
            </w:r>
            <w:proofErr w:type="spellEnd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synthase 1 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K01116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0.0243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0.0264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Phosphatidylinositol phospholipase C, gamma-1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K10226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0.0272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0.0417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 xml:space="preserve">Delta 6 fatty acyl </w:t>
            </w:r>
            <w:proofErr w:type="spellStart"/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desaturase</w:t>
            </w:r>
            <w:proofErr w:type="spellEnd"/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K00515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0.0311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0.0289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Beta-carotene 15,15'-dioxygenase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K00515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0.0314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0.0429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Beta-carotene 15,15'-dioxygenase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2932" w:type="dxa"/>
            <w:gridSpan w:val="3"/>
          </w:tcPr>
          <w:p w:rsidR="00BF74DD" w:rsidRPr="00341FC6" w:rsidRDefault="00BF74DD" w:rsidP="00527A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>Amino acid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4.6</w:t>
            </w: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%)</w:t>
            </w:r>
          </w:p>
        </w:tc>
        <w:tc>
          <w:tcPr>
            <w:tcW w:w="8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K00757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-1.61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Uridine</w:t>
            </w:r>
            <w:proofErr w:type="spellEnd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phosphorylase</w:t>
            </w:r>
            <w:proofErr w:type="spellEnd"/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K03021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DNA-directed RNA polymerase III subunit RPC2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K00757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0.0262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0.0288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Uridine</w:t>
            </w:r>
            <w:proofErr w:type="spellEnd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phosphorylase</w:t>
            </w:r>
            <w:proofErr w:type="spellEnd"/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3828" w:type="dxa"/>
            <w:gridSpan w:val="4"/>
          </w:tcPr>
          <w:p w:rsidR="00BF74DD" w:rsidRPr="00341FC6" w:rsidRDefault="00BF74DD" w:rsidP="00527A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>Energy metabolism (1.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%)</w:t>
            </w: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K02261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0.0439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Cytochrome c oxidase subunit 2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3828" w:type="dxa"/>
            <w:gridSpan w:val="4"/>
          </w:tcPr>
          <w:p w:rsidR="00BF74DD" w:rsidRPr="00341FC6" w:rsidRDefault="00BF74DD" w:rsidP="00527A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>Other metabolic process (1.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%)</w:t>
            </w: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K00485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0.0284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imethylaniline</w:t>
            </w:r>
            <w:proofErr w:type="spellEnd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(N-oxide forming)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3828" w:type="dxa"/>
            <w:gridSpan w:val="4"/>
          </w:tcPr>
          <w:p w:rsidR="00BF74DD" w:rsidRPr="00341FC6" w:rsidRDefault="00BF74DD" w:rsidP="00527A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>Translation (3.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%)</w:t>
            </w: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K14572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0.0124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Midasin</w:t>
            </w:r>
            <w:proofErr w:type="spellEnd"/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K03260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0.0377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-1.81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0.0341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-2.17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Translation initiation factor 4G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3828" w:type="dxa"/>
            <w:gridSpan w:val="4"/>
          </w:tcPr>
          <w:p w:rsidR="00BF74DD" w:rsidRPr="00341FC6" w:rsidRDefault="00BF74DD" w:rsidP="00527A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>Transport and catabolism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12.3</w:t>
            </w: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%)</w:t>
            </w: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K12485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0.0166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0.0417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Rab11 family-interacting protein 3/4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K14683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0.0228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0.0249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Solute carrier family 34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K14714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0.0452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0.0349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Solute carrier family 39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K14683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0.0188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Solute carrier family 34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K14683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0.0171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Solute carrier family 34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K14702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0.0329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0.0297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Solute carrier family 26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K12479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0.0303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-1.45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0.0189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Vacuolar</w:t>
            </w:r>
            <w:proofErr w:type="spellEnd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protein sorting-associated protein 45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K10413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-1.95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0.0232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Dynein heavy chain 1, cytosolic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4536" w:type="dxa"/>
            <w:gridSpan w:val="5"/>
          </w:tcPr>
          <w:p w:rsidR="00BF74DD" w:rsidRPr="00341FC6" w:rsidRDefault="00BF74DD" w:rsidP="00527A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>Signalling (6.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%)</w:t>
            </w: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K13024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0.0354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-2.06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0.0233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-2.83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Inositol-</w:t>
            </w: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hexakisphosphate</w:t>
            </w:r>
            <w:proofErr w:type="spellEnd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diphosphoinositol-pentakisphosphate</w:t>
            </w:r>
            <w:proofErr w:type="spellEnd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1-kinase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K03068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0.0397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 density lipoprotein receptor-related protein 5/6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K19614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Pigment epithelium-derived factor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K04469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0.0243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Nuclear factor of kappa light polypeptide gene enhancer 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3828" w:type="dxa"/>
            <w:gridSpan w:val="4"/>
          </w:tcPr>
          <w:p w:rsidR="00BF74DD" w:rsidRPr="00341FC6" w:rsidRDefault="00BF74DD" w:rsidP="00527A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Protein folding (4.6</w:t>
            </w: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%)</w:t>
            </w: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K09540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-1.78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Translocation protein SEC63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K10615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0.0386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E3 ubiquitin-protein ligase HERC4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K10576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Ubiquitin-conjugating enzyme E2 H 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3828" w:type="dxa"/>
            <w:gridSpan w:val="4"/>
          </w:tcPr>
          <w:p w:rsidR="00BF74DD" w:rsidRPr="00341FC6" w:rsidRDefault="00BF74DD" w:rsidP="00527A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>Transcription (3.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>. %)</w:t>
            </w: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K12893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-1.80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0.0348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Splicing factor, arginine/serine-rich 4/5/6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K09040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0.0224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Nuclear factor </w:t>
            </w: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erythroid</w:t>
            </w:r>
            <w:proofErr w:type="spellEnd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2-related factor 1/3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3828" w:type="dxa"/>
            <w:gridSpan w:val="4"/>
          </w:tcPr>
          <w:p w:rsidR="00BF74DD" w:rsidRPr="00341FC6" w:rsidRDefault="00BF74DD" w:rsidP="00527A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>Digestive system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10.8</w:t>
            </w: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%)</w:t>
            </w: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K14710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0.0417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Solute carrier protein 30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K01395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0.0335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Meprin</w:t>
            </w:r>
            <w:proofErr w:type="spellEnd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K19721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0.0292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0.0203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Collagen, type V/XI/XXIV/XXVII, alpha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K05641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0.0289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ATP-binding cassette, subfamily A (ABC1), member 1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K00678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0.0456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Phosphatidylcholine</w:t>
            </w:r>
            <w:proofErr w:type="spellEnd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-retinol O-</w:t>
            </w: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acyltransferase</w:t>
            </w:r>
            <w:proofErr w:type="spellEnd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K08760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0.0315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0.0171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6C2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polipoprotein</w:t>
            </w:r>
            <w:proofErr w:type="spellEnd"/>
            <w:r w:rsidRPr="006C2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A-IV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K14463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0.0216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0.0333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6C2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icrosomal triglyceride transfer protein large subunit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3828" w:type="dxa"/>
            <w:gridSpan w:val="4"/>
          </w:tcPr>
          <w:p w:rsidR="00BF74DD" w:rsidRPr="00341FC6" w:rsidRDefault="00BF74DD" w:rsidP="00527A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>Immune system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12.3</w:t>
            </w:r>
            <w:r w:rsidRPr="00341F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%)</w:t>
            </w: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K15412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-1.62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0.0381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Complement factor </w:t>
            </w: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properdin</w:t>
            </w:r>
            <w:proofErr w:type="spellEnd"/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K01369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0.0497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-2.78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0.0418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-1.84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Legumain</w:t>
            </w:r>
            <w:proofErr w:type="spellEnd"/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K01320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 factor VII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K03999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0.0253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-1.91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-2.47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Complement component 8 subunit gamma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K01365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0.0085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Cathepsin</w:t>
            </w:r>
            <w:proofErr w:type="spellEnd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 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K12649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0.0201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0.0487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ATP-dependent RNA helicase DHX58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K06261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0.0302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0.0374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Platelet glycoprotein </w:t>
            </w: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</w:t>
            </w:r>
            <w:proofErr w:type="spellEnd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alpha chain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K05464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0.0364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0.0114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 arrest-specific 6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4536" w:type="dxa"/>
            <w:gridSpan w:val="5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i/>
                <w:sz w:val="20"/>
                <w:szCs w:val="20"/>
              </w:rPr>
              <w:t>Miscellaneous or unknown function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21.5</w:t>
            </w:r>
            <w:r w:rsidRPr="007C4A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%)</w:t>
            </w:r>
          </w:p>
        </w:tc>
        <w:tc>
          <w:tcPr>
            <w:tcW w:w="6096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K05729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14.42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0.0367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 guanine nucleotide exchange factor 6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K16493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Protocadherin</w:t>
            </w:r>
            <w:proofErr w:type="spellEnd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alpha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K07739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0.0407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-2.66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-3.72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Elongator</w:t>
            </w:r>
            <w:proofErr w:type="spellEnd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complex protein 3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K17934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-2.39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-2.02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NAPDH oxidase organizer 1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K17046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0.0435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0.0268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DEK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K18264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0.0230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0.0164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Integral membrane protein 2B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K11982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-1.82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0.0496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-1.62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E3 Ubiquitin-protein ligase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K18595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-1.80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0.0363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-1.57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Echinoderm microtubule-associated protein-like 1/2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K10647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0.0318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Midline 2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K04309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0.0200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0.0432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Leucine-rich repeat-containing G </w:t>
            </w:r>
            <w:proofErr w:type="spellStart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preotin</w:t>
            </w:r>
            <w:proofErr w:type="spellEnd"/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-coupled receptor 4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sz w:val="20"/>
                <w:szCs w:val="20"/>
              </w:rPr>
              <w:t>K04917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0.0381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-1.40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Potassium channel subfamily K member 6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K16727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0.0421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0.0406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 guanine nucleotide exchange factor 10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K19728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0.0201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0.0174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Familial </w:t>
            </w:r>
            <w:proofErr w:type="spellStart"/>
            <w:r w:rsidRPr="006C2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hemophagocytic</w:t>
            </w:r>
            <w:proofErr w:type="spellEnd"/>
            <w:r w:rsidRPr="006C2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lymphohistiocytosis</w:t>
            </w:r>
            <w:proofErr w:type="spellEnd"/>
            <w:r w:rsidRPr="006C2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(FHPL)</w:t>
            </w:r>
          </w:p>
        </w:tc>
      </w:tr>
      <w:tr w:rsidR="00BF74DD" w:rsidRPr="007C4ACF" w:rsidTr="00527AE8">
        <w:tc>
          <w:tcPr>
            <w:tcW w:w="1384" w:type="dxa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K20067</w:t>
            </w:r>
          </w:p>
        </w:tc>
        <w:tc>
          <w:tcPr>
            <w:tcW w:w="830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71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96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708" w:type="dxa"/>
            <w:vAlign w:val="bottom"/>
          </w:tcPr>
          <w:p w:rsidR="00BF74DD" w:rsidRPr="007C4ACF" w:rsidRDefault="00BF74DD" w:rsidP="00527A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6096" w:type="dxa"/>
            <w:vAlign w:val="bottom"/>
          </w:tcPr>
          <w:p w:rsidR="00BF74DD" w:rsidRPr="007C4ACF" w:rsidRDefault="00BF74DD" w:rsidP="00527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C2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tonin-1/2</w:t>
            </w:r>
          </w:p>
        </w:tc>
      </w:tr>
    </w:tbl>
    <w:p w:rsidR="00BF74DD" w:rsidRDefault="00BF74DD" w:rsidP="00BF74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4A1C" w:rsidRDefault="00334A1C"/>
    <w:sectPr w:rsidR="00334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DD"/>
    <w:rsid w:val="00334A1C"/>
    <w:rsid w:val="00B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Betancor</dc:creator>
  <cp:lastModifiedBy>Monica Betancor</cp:lastModifiedBy>
  <cp:revision>1</cp:revision>
  <dcterms:created xsi:type="dcterms:W3CDTF">2017-03-28T17:43:00Z</dcterms:created>
  <dcterms:modified xsi:type="dcterms:W3CDTF">2017-03-28T17:43:00Z</dcterms:modified>
</cp:coreProperties>
</file>