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9C" w:rsidRDefault="002E059C" w:rsidP="002E059C">
      <w:pPr>
        <w:spacing w:line="480" w:lineRule="auto"/>
        <w:outlineLvl w:val="0"/>
        <w:rPr>
          <w:rFonts w:ascii="Times New Roman" w:hAnsi="Times New Roman"/>
          <w:sz w:val="32"/>
          <w:szCs w:val="32"/>
        </w:rPr>
      </w:pPr>
      <w:r w:rsidRPr="0034058D">
        <w:rPr>
          <w:rFonts w:ascii="Times New Roman" w:hAnsi="Times New Roman"/>
          <w:sz w:val="32"/>
          <w:szCs w:val="32"/>
        </w:rPr>
        <w:t xml:space="preserve">Landscape, environmental and social predictors of Hantavirus risk </w:t>
      </w:r>
      <w:r>
        <w:rPr>
          <w:rFonts w:ascii="Times New Roman" w:hAnsi="Times New Roman"/>
          <w:sz w:val="32"/>
          <w:szCs w:val="32"/>
        </w:rPr>
        <w:t>in São Paulo, Brazil</w:t>
      </w:r>
    </w:p>
    <w:p w:rsidR="004C2B7A" w:rsidRPr="00161537" w:rsidRDefault="004C2B7A" w:rsidP="004C2B7A">
      <w:pPr>
        <w:pStyle w:val="Default"/>
        <w:spacing w:line="480" w:lineRule="auto"/>
        <w:rPr>
          <w:rFonts w:ascii="Times New Roman" w:eastAsiaTheme="minorHAnsi" w:hAnsi="Times New Roman" w:cs="Times New Roman"/>
          <w:lang w:eastAsia="en-US"/>
        </w:rPr>
      </w:pPr>
      <w:r w:rsidRPr="00161537">
        <w:rPr>
          <w:rFonts w:ascii="Times New Roman" w:eastAsiaTheme="minorHAnsi" w:hAnsi="Times New Roman"/>
          <w:lang w:eastAsia="en-US"/>
        </w:rPr>
        <w:t>Paula Ribeiro Prist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vertAlign w:val="superscript"/>
          <w:lang w:eastAsia="en-US"/>
        </w:rPr>
        <w:t>*</w:t>
      </w:r>
      <w:r w:rsidRPr="00161537">
        <w:rPr>
          <w:rFonts w:ascii="Times New Roman" w:eastAsiaTheme="minorHAnsi" w:hAnsi="Times New Roman"/>
          <w:lang w:eastAsia="en-US"/>
        </w:rPr>
        <w:t>, Maria Uriarte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2</w:t>
      </w:r>
      <w:r w:rsidRPr="00583852">
        <w:rPr>
          <w:rFonts w:ascii="Times New Roman" w:eastAsiaTheme="minorHAnsi" w:hAnsi="Times New Roman"/>
          <w:lang w:eastAsia="en-US"/>
        </w:rPr>
        <w:t>,</w:t>
      </w:r>
      <w:r w:rsidRPr="0098756A">
        <w:rPr>
          <w:rFonts w:ascii="Times New Roman" w:eastAsiaTheme="minorHAnsi" w:hAnsi="Times New Roman"/>
          <w:lang w:eastAsia="en-US"/>
        </w:rPr>
        <w:t xml:space="preserve"> </w:t>
      </w:r>
      <w:r w:rsidRPr="00161537">
        <w:rPr>
          <w:rFonts w:ascii="Times New Roman" w:eastAsiaTheme="minorHAnsi" w:hAnsi="Times New Roman"/>
          <w:lang w:eastAsia="en-US"/>
        </w:rPr>
        <w:t>Leandro Reverberi Tambosi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vertAlign w:val="superscript"/>
          <w:lang w:eastAsia="en-US"/>
        </w:rPr>
        <w:t>,2</w:t>
      </w:r>
      <w:r w:rsidRPr="00161537">
        <w:rPr>
          <w:rFonts w:ascii="Times New Roman" w:eastAsiaTheme="minorHAnsi" w:hAnsi="Times New Roman"/>
          <w:lang w:eastAsia="en-US"/>
        </w:rPr>
        <w:t>, Amanda Prado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  <w:r w:rsidRPr="00161537">
        <w:rPr>
          <w:rFonts w:ascii="Times New Roman" w:eastAsiaTheme="minorHAnsi" w:hAnsi="Times New Roman"/>
          <w:lang w:eastAsia="en-US"/>
        </w:rPr>
        <w:t>,</w:t>
      </w:r>
      <w:r>
        <w:rPr>
          <w:rFonts w:ascii="Times New Roman" w:eastAsiaTheme="minorHAnsi" w:hAnsi="Times New Roman"/>
          <w:lang w:eastAsia="en-US"/>
        </w:rPr>
        <w:t xml:space="preserve"> Renata Pardini</w:t>
      </w:r>
      <w:r>
        <w:rPr>
          <w:rFonts w:ascii="Times New Roman" w:eastAsiaTheme="minorHAnsi" w:hAnsi="Times New Roman"/>
          <w:vertAlign w:val="superscript"/>
          <w:lang w:eastAsia="en-US"/>
        </w:rPr>
        <w:t>3</w:t>
      </w:r>
      <w:r>
        <w:rPr>
          <w:rFonts w:ascii="Times New Roman" w:eastAsiaTheme="minorHAnsi" w:hAnsi="Times New Roman"/>
          <w:lang w:eastAsia="en-US"/>
        </w:rPr>
        <w:t>, Paulo Sérgio D´Andrea</w:t>
      </w:r>
      <w:r>
        <w:rPr>
          <w:rFonts w:ascii="Times New Roman" w:eastAsiaTheme="minorHAnsi" w:hAnsi="Times New Roman"/>
          <w:vertAlign w:val="superscript"/>
          <w:lang w:eastAsia="en-US"/>
        </w:rPr>
        <w:t>4</w:t>
      </w:r>
      <w:r>
        <w:rPr>
          <w:rFonts w:ascii="Times New Roman" w:eastAsiaTheme="minorHAnsi" w:hAnsi="Times New Roman"/>
          <w:lang w:eastAsia="en-US"/>
        </w:rPr>
        <w:t xml:space="preserve">, </w:t>
      </w:r>
      <w:r w:rsidRPr="00161537">
        <w:rPr>
          <w:rFonts w:ascii="Times New Roman" w:eastAsiaTheme="minorHAnsi" w:hAnsi="Times New Roman"/>
          <w:lang w:eastAsia="en-US"/>
        </w:rPr>
        <w:t>Jean Paul Metzger</w:t>
      </w:r>
      <w:r w:rsidRPr="00161537">
        <w:rPr>
          <w:rFonts w:ascii="Times New Roman" w:eastAsiaTheme="minorHAnsi" w:hAnsi="Times New Roman"/>
          <w:vertAlign w:val="superscript"/>
          <w:lang w:eastAsia="en-US"/>
        </w:rPr>
        <w:t>1</w:t>
      </w:r>
    </w:p>
    <w:p w:rsidR="00EB75F0" w:rsidRPr="001653CB" w:rsidRDefault="00EB75F0" w:rsidP="00E32A7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32A73" w:rsidRDefault="00E32A73" w:rsidP="00E32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31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BE5131">
        <w:rPr>
          <w:rFonts w:ascii="Times New Roman" w:hAnsi="Times New Roman" w:cs="Times New Roman"/>
          <w:sz w:val="24"/>
          <w:szCs w:val="24"/>
        </w:rPr>
        <w:t xml:space="preserve"> </w:t>
      </w:r>
      <w:r w:rsidRPr="00BE5131">
        <w:rPr>
          <w:rFonts w:ascii="Times New Roman" w:hAnsi="Times New Roman" w:cs="Times New Roman"/>
          <w:b/>
          <w:sz w:val="24"/>
          <w:szCs w:val="24"/>
        </w:rPr>
        <w:t>Material</w:t>
      </w:r>
    </w:p>
    <w:p w:rsidR="006B6609" w:rsidRDefault="006B6609" w:rsidP="006B66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Exploratory analysis</w:t>
      </w:r>
    </w:p>
    <w:p w:rsidR="00BD69C8" w:rsidRDefault="004E72C8" w:rsidP="00DD57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both regions</w:t>
      </w:r>
      <w:r w:rsidR="00BD69C8">
        <w:rPr>
          <w:rFonts w:ascii="Times New Roman" w:hAnsi="Times New Roman" w:cs="Times New Roman"/>
          <w:sz w:val="24"/>
          <w:szCs w:val="24"/>
        </w:rPr>
        <w:t xml:space="preserve"> the same model </w:t>
      </w:r>
      <w:r>
        <w:rPr>
          <w:rFonts w:ascii="Times New Roman" w:hAnsi="Times New Roman" w:cs="Times New Roman"/>
          <w:sz w:val="24"/>
          <w:szCs w:val="24"/>
        </w:rPr>
        <w:t>was selected with the lower AIC.</w:t>
      </w:r>
      <w:r w:rsidR="00BD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was </w:t>
      </w:r>
      <w:r w:rsidR="00BD69C8">
        <w:rPr>
          <w:rFonts w:ascii="Times New Roman" w:hAnsi="Times New Roman" w:cs="Times New Roman"/>
          <w:sz w:val="24"/>
          <w:szCs w:val="24"/>
        </w:rPr>
        <w:t xml:space="preserve">the model containing </w:t>
      </w:r>
      <w:r>
        <w:rPr>
          <w:rFonts w:ascii="Times New Roman" w:hAnsi="Times New Roman" w:cs="Times New Roman"/>
          <w:sz w:val="24"/>
          <w:szCs w:val="24"/>
        </w:rPr>
        <w:t xml:space="preserve">the variables </w:t>
      </w:r>
      <w:r w:rsidR="00BD69C8">
        <w:rPr>
          <w:rFonts w:ascii="Times New Roman" w:hAnsi="Times New Roman" w:cs="Times New Roman"/>
          <w:sz w:val="24"/>
          <w:szCs w:val="24"/>
        </w:rPr>
        <w:t xml:space="preserve">population at risk, </w:t>
      </w:r>
      <w:r w:rsidR="00D67B6B">
        <w:rPr>
          <w:rFonts w:ascii="Times New Roman" w:hAnsi="Times New Roman" w:cs="Times New Roman"/>
          <w:sz w:val="24"/>
          <w:szCs w:val="24"/>
        </w:rPr>
        <w:t>HDI</w:t>
      </w:r>
      <w:r w:rsidR="00BD69C8">
        <w:rPr>
          <w:rFonts w:ascii="Times New Roman" w:hAnsi="Times New Roman" w:cs="Times New Roman"/>
          <w:sz w:val="24"/>
          <w:szCs w:val="24"/>
        </w:rPr>
        <w:t>, percent of habitat cover, number of fragments, amount of sugarcane, annual total precipitation and annual mean temperature (m7).</w:t>
      </w:r>
      <w:r w:rsidR="0076524A">
        <w:rPr>
          <w:rFonts w:ascii="Times New Roman" w:hAnsi="Times New Roman" w:cs="Times New Roman"/>
          <w:sz w:val="24"/>
          <w:szCs w:val="24"/>
        </w:rPr>
        <w:t xml:space="preserve"> </w:t>
      </w:r>
      <w:r w:rsidR="00DD57C4">
        <w:rPr>
          <w:rFonts w:ascii="Times New Roman" w:hAnsi="Times New Roman" w:cs="Times New Roman"/>
          <w:sz w:val="24"/>
          <w:szCs w:val="24"/>
        </w:rPr>
        <w:tab/>
      </w:r>
    </w:p>
    <w:p w:rsidR="00F21674" w:rsidRDefault="0076524A" w:rsidP="00DD57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be sure that our model contained all the best predictor variables, w</w:t>
      </w:r>
      <w:r w:rsidR="00DD57C4" w:rsidRPr="00373F1E">
        <w:rPr>
          <w:rFonts w:ascii="Times New Roman" w:hAnsi="Times New Roman" w:cs="Times New Roman"/>
          <w:sz w:val="24"/>
          <w:szCs w:val="24"/>
        </w:rPr>
        <w:t xml:space="preserve">e also tested </w:t>
      </w:r>
      <w:r w:rsidR="00377586">
        <w:rPr>
          <w:rFonts w:ascii="Times New Roman" w:hAnsi="Times New Roman" w:cs="Times New Roman"/>
          <w:sz w:val="24"/>
          <w:szCs w:val="24"/>
        </w:rPr>
        <w:t xml:space="preserve">if the abundance of </w:t>
      </w:r>
      <w:r>
        <w:rPr>
          <w:rFonts w:ascii="Times New Roman" w:hAnsi="Times New Roman" w:cs="Times New Roman"/>
          <w:sz w:val="24"/>
          <w:szCs w:val="24"/>
        </w:rPr>
        <w:t>reservoir rodents of São Paulo had associations with Hantavirus incidence.</w:t>
      </w:r>
      <w:r w:rsidR="00F21674">
        <w:rPr>
          <w:rFonts w:ascii="Times New Roman" w:hAnsi="Times New Roman" w:cs="Times New Roman"/>
          <w:sz w:val="24"/>
          <w:szCs w:val="24"/>
        </w:rPr>
        <w:t xml:space="preserve"> To do so we extracted the abundance rodent data obtained in Prado (2015) in municipality levels (average abundance for each municipality for each reservoir rodent - </w:t>
      </w:r>
      <w:r w:rsidR="00F21674" w:rsidRPr="00F21674">
        <w:rPr>
          <w:rFonts w:ascii="Times New Roman" w:hAnsi="Times New Roman" w:cs="Times New Roman"/>
          <w:i/>
          <w:sz w:val="24"/>
          <w:szCs w:val="24"/>
        </w:rPr>
        <w:t xml:space="preserve">O. </w:t>
      </w:r>
      <w:proofErr w:type="spellStart"/>
      <w:r w:rsidR="00F21674" w:rsidRPr="00F21674">
        <w:rPr>
          <w:rFonts w:ascii="Times New Roman" w:hAnsi="Times New Roman" w:cs="Times New Roman"/>
          <w:i/>
          <w:sz w:val="24"/>
          <w:szCs w:val="24"/>
        </w:rPr>
        <w:t>nigripes</w:t>
      </w:r>
      <w:proofErr w:type="spellEnd"/>
      <w:r w:rsidR="00F21674">
        <w:rPr>
          <w:rFonts w:ascii="Times New Roman" w:hAnsi="Times New Roman" w:cs="Times New Roman"/>
          <w:sz w:val="24"/>
          <w:szCs w:val="24"/>
        </w:rPr>
        <w:t xml:space="preserve"> and </w:t>
      </w:r>
      <w:r w:rsidR="00F21674" w:rsidRPr="00F21674">
        <w:rPr>
          <w:rFonts w:ascii="Times New Roman" w:hAnsi="Times New Roman" w:cs="Times New Roman"/>
          <w:i/>
          <w:sz w:val="24"/>
          <w:szCs w:val="24"/>
        </w:rPr>
        <w:t xml:space="preserve">N. </w:t>
      </w:r>
      <w:proofErr w:type="spellStart"/>
      <w:r w:rsidR="00F21674" w:rsidRPr="00F21674">
        <w:rPr>
          <w:rFonts w:ascii="Times New Roman" w:hAnsi="Times New Roman" w:cs="Times New Roman"/>
          <w:i/>
          <w:sz w:val="24"/>
          <w:szCs w:val="24"/>
        </w:rPr>
        <w:t>lasiurus</w:t>
      </w:r>
      <w:proofErr w:type="spellEnd"/>
      <w:r w:rsidR="00F2167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1674" w:rsidRDefault="00F21674" w:rsidP="00F216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3F1E">
        <w:rPr>
          <w:rFonts w:ascii="Times New Roman" w:hAnsi="Times New Roman" w:cs="Times New Roman"/>
          <w:sz w:val="24"/>
          <w:szCs w:val="24"/>
        </w:rPr>
        <w:t xml:space="preserve">Rodent abundance data were obtained through studies performed in Atlantic Forest region, conducted by </w:t>
      </w:r>
      <w:proofErr w:type="spellStart"/>
      <w:r w:rsidRPr="00373F1E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373F1E">
        <w:rPr>
          <w:rFonts w:ascii="Times New Roman" w:hAnsi="Times New Roman" w:cs="Times New Roman"/>
          <w:sz w:val="24"/>
          <w:szCs w:val="24"/>
        </w:rPr>
        <w:t xml:space="preserve">. </w:t>
      </w:r>
      <w:r w:rsidRPr="0022590E">
        <w:rPr>
          <w:rFonts w:ascii="Times New Roman" w:hAnsi="Times New Roman" w:cs="Times New Roman"/>
          <w:sz w:val="24"/>
          <w:szCs w:val="24"/>
          <w:lang w:val="pt-BR"/>
        </w:rPr>
        <w:t>Rena</w:t>
      </w:r>
      <w:r w:rsidR="00377586">
        <w:rPr>
          <w:rFonts w:ascii="Times New Roman" w:hAnsi="Times New Roman" w:cs="Times New Roman"/>
          <w:sz w:val="24"/>
          <w:szCs w:val="24"/>
          <w:lang w:val="pt-BR"/>
        </w:rPr>
        <w:t>ta Pardini, Dra. Fabiana Umetsu</w:t>
      </w:r>
      <w:r w:rsidRPr="0022590E">
        <w:rPr>
          <w:rFonts w:ascii="Times New Roman" w:hAnsi="Times New Roman" w:cs="Times New Roman"/>
          <w:sz w:val="24"/>
          <w:szCs w:val="24"/>
          <w:lang w:val="pt-BR"/>
        </w:rPr>
        <w:t xml:space="preserve"> and Dra. Adriana Bueno, fr</w:t>
      </w:r>
      <w:r w:rsidR="00377586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22590E">
        <w:rPr>
          <w:rFonts w:ascii="Times New Roman" w:hAnsi="Times New Roman" w:cs="Times New Roman"/>
          <w:sz w:val="24"/>
          <w:szCs w:val="24"/>
          <w:lang w:val="pt-BR"/>
        </w:rPr>
        <w:t xml:space="preserve">m São Paulo University. </w:t>
      </w:r>
      <w:r w:rsidRPr="00373F1E">
        <w:rPr>
          <w:rFonts w:ascii="Times New Roman" w:hAnsi="Times New Roman" w:cs="Times New Roman"/>
          <w:sz w:val="24"/>
          <w:szCs w:val="24"/>
        </w:rPr>
        <w:t xml:space="preserve">The study area comprised areas of fragmented and continuously- forested landscapes characterized by different levels of remaining native forest (50, 30 and 10%), but similar with respect to climate, topography, type of forest and of human use, and distance to areas of continuous forest </w:t>
      </w:r>
      <w:r w:rsidRPr="002441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441B1">
        <w:rPr>
          <w:rFonts w:ascii="Times New Roman" w:hAnsi="Times New Roman" w:cs="Times New Roman"/>
          <w:sz w:val="24"/>
          <w:szCs w:val="24"/>
        </w:rPr>
        <w:t>Pardini</w:t>
      </w:r>
      <w:proofErr w:type="spellEnd"/>
      <w:r w:rsidRPr="002441B1">
        <w:rPr>
          <w:rFonts w:ascii="Times New Roman" w:hAnsi="Times New Roman" w:cs="Times New Roman"/>
          <w:sz w:val="24"/>
          <w:szCs w:val="24"/>
        </w:rPr>
        <w:t xml:space="preserve"> et al. 2010</w:t>
      </w:r>
      <w:r w:rsidRPr="00373F1E">
        <w:rPr>
          <w:rFonts w:ascii="Times New Roman" w:hAnsi="Times New Roman" w:cs="Times New Roman"/>
          <w:sz w:val="24"/>
          <w:szCs w:val="24"/>
        </w:rPr>
        <w:t>). Small mammals were trapped with large pitfall traps</w:t>
      </w:r>
      <w:r>
        <w:rPr>
          <w:rFonts w:ascii="Times New Roman" w:hAnsi="Times New Roman" w:cs="Times New Roman"/>
          <w:sz w:val="24"/>
          <w:szCs w:val="24"/>
        </w:rPr>
        <w:t xml:space="preserve"> in a total of 104 sampling points in 6 landscapes, of which 68 were collected in forest (18 in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intact forest and 50 in forest fragments) and 36 in matrix areas. In control landscapes 6 points were sampled, being 3 in intact forest and 3 in intermediate forest. </w:t>
      </w:r>
      <w:r w:rsidRPr="00AC2D6F">
        <w:rPr>
          <w:rFonts w:ascii="Times New Roman" w:eastAsia="Times New Roman" w:hAnsi="Times New Roman" w:cs="Times New Roman"/>
          <w:sz w:val="24"/>
          <w:szCs w:val="24"/>
        </w:rPr>
        <w:t xml:space="preserve">Greater details about point selection can be read in </w:t>
      </w:r>
      <w:proofErr w:type="spellStart"/>
      <w:r w:rsidRPr="0022590E">
        <w:rPr>
          <w:rFonts w:ascii="Times New Roman" w:eastAsia="Times New Roman" w:hAnsi="Times New Roman" w:cs="Times New Roman"/>
          <w:sz w:val="24"/>
          <w:szCs w:val="24"/>
        </w:rPr>
        <w:t>Bueno</w:t>
      </w:r>
      <w:proofErr w:type="spellEnd"/>
      <w:r w:rsidRPr="0022590E">
        <w:rPr>
          <w:rFonts w:ascii="Times New Roman" w:eastAsia="Times New Roman" w:hAnsi="Times New Roman" w:cs="Times New Roman"/>
          <w:sz w:val="24"/>
          <w:szCs w:val="24"/>
        </w:rPr>
        <w:t xml:space="preserve"> (2008), </w:t>
      </w:r>
      <w:proofErr w:type="spellStart"/>
      <w:r w:rsidRPr="002441B1">
        <w:rPr>
          <w:rFonts w:ascii="Times New Roman" w:eastAsia="Times New Roman" w:hAnsi="Times New Roman" w:cs="Times New Roman"/>
          <w:sz w:val="24"/>
          <w:szCs w:val="24"/>
        </w:rPr>
        <w:t>Umetsu</w:t>
      </w:r>
      <w:proofErr w:type="spellEnd"/>
      <w:r w:rsidRPr="002441B1">
        <w:rPr>
          <w:rFonts w:ascii="Times New Roman" w:eastAsia="Times New Roman" w:hAnsi="Times New Roman" w:cs="Times New Roman"/>
          <w:sz w:val="24"/>
          <w:szCs w:val="24"/>
        </w:rPr>
        <w:t xml:space="preserve"> (2010) and </w:t>
      </w:r>
      <w:proofErr w:type="spellStart"/>
      <w:r w:rsidRPr="00ED5E17">
        <w:rPr>
          <w:rFonts w:ascii="Times New Roman" w:eastAsia="Times New Roman" w:hAnsi="Times New Roman" w:cs="Times New Roman"/>
          <w:sz w:val="24"/>
          <w:szCs w:val="24"/>
        </w:rPr>
        <w:t>Puttker</w:t>
      </w:r>
      <w:proofErr w:type="spellEnd"/>
      <w:r w:rsidRPr="00ED5E17">
        <w:rPr>
          <w:rFonts w:ascii="Times New Roman" w:eastAsia="Times New Roman" w:hAnsi="Times New Roman" w:cs="Times New Roman"/>
          <w:sz w:val="24"/>
          <w:szCs w:val="24"/>
        </w:rPr>
        <w:t xml:space="preserve"> (2008</w:t>
      </w:r>
      <w:r w:rsidRPr="00AC2D6F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Total effort was 352 trap-night-point and 23.936 trap-night in the 68 points of the forest, and 176 trap-night-point, 6.336 trap-night in the 36 matrix points. </w:t>
      </w:r>
      <w:r w:rsidRPr="00BB528B">
        <w:rPr>
          <w:rFonts w:ascii="Times New Roman" w:hAnsi="Times New Roman" w:cs="Times New Roman"/>
          <w:sz w:val="24"/>
          <w:szCs w:val="24"/>
        </w:rPr>
        <w:t>Landscape metrics (percent of forest cover, edge density</w:t>
      </w:r>
      <w:r>
        <w:rPr>
          <w:rFonts w:ascii="Times New Roman" w:hAnsi="Times New Roman" w:cs="Times New Roman"/>
          <w:sz w:val="24"/>
          <w:szCs w:val="24"/>
        </w:rPr>
        <w:t xml:space="preserve"> and percent of forest cover at landscape level</w:t>
      </w:r>
      <w:r w:rsidRPr="00BB528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BB528B">
        <w:rPr>
          <w:rFonts w:ascii="Times New Roman" w:hAnsi="Times New Roman" w:cs="Times New Roman"/>
          <w:sz w:val="24"/>
          <w:szCs w:val="24"/>
        </w:rPr>
        <w:t xml:space="preserve">extracted in </w:t>
      </w:r>
      <w:proofErr w:type="spellStart"/>
      <w:r w:rsidRPr="00BB528B">
        <w:rPr>
          <w:rFonts w:ascii="Times New Roman" w:hAnsi="Times New Roman" w:cs="Times New Roman"/>
          <w:sz w:val="24"/>
          <w:szCs w:val="24"/>
        </w:rPr>
        <w:t>ArcGis</w:t>
      </w:r>
      <w:proofErr w:type="spellEnd"/>
      <w:r w:rsidRPr="00BB528B">
        <w:rPr>
          <w:rFonts w:ascii="Times New Roman" w:hAnsi="Times New Roman" w:cs="Times New Roman"/>
          <w:sz w:val="24"/>
          <w:szCs w:val="24"/>
        </w:rPr>
        <w:t xml:space="preserve"> 10.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528B">
        <w:rPr>
          <w:rFonts w:ascii="Times New Roman" w:hAnsi="Times New Roman" w:cs="Times New Roman"/>
          <w:sz w:val="24"/>
          <w:szCs w:val="24"/>
        </w:rPr>
        <w:t xml:space="preserve"> buffer</w:t>
      </w:r>
      <w:r w:rsidR="00377586">
        <w:rPr>
          <w:rFonts w:ascii="Times New Roman" w:hAnsi="Times New Roman" w:cs="Times New Roman"/>
          <w:sz w:val="24"/>
          <w:szCs w:val="24"/>
        </w:rPr>
        <w:t>s</w:t>
      </w:r>
      <w:r w:rsidRPr="00BB528B">
        <w:rPr>
          <w:rFonts w:ascii="Times New Roman" w:hAnsi="Times New Roman" w:cs="Times New Roman"/>
          <w:sz w:val="24"/>
          <w:szCs w:val="24"/>
        </w:rPr>
        <w:t xml:space="preserve"> </w:t>
      </w:r>
      <w:r w:rsidR="00377586">
        <w:rPr>
          <w:rFonts w:ascii="Times New Roman" w:hAnsi="Times New Roman" w:cs="Times New Roman"/>
          <w:sz w:val="24"/>
          <w:szCs w:val="24"/>
        </w:rPr>
        <w:t xml:space="preserve">(200, 500 and 800 m) </w:t>
      </w:r>
      <w:r w:rsidRPr="00BB528B">
        <w:rPr>
          <w:rFonts w:ascii="Times New Roman" w:hAnsi="Times New Roman" w:cs="Times New Roman"/>
          <w:sz w:val="24"/>
          <w:szCs w:val="24"/>
        </w:rPr>
        <w:t xml:space="preserve">of each sampled </w:t>
      </w:r>
      <w:r>
        <w:rPr>
          <w:rFonts w:ascii="Times New Roman" w:hAnsi="Times New Roman" w:cs="Times New Roman"/>
          <w:sz w:val="24"/>
          <w:szCs w:val="24"/>
        </w:rPr>
        <w:t>point</w:t>
      </w:r>
      <w:r w:rsidRPr="00BB528B">
        <w:rPr>
          <w:rFonts w:ascii="Times New Roman" w:hAnsi="Times New Roman" w:cs="Times New Roman"/>
          <w:sz w:val="24"/>
          <w:szCs w:val="24"/>
        </w:rPr>
        <w:t>. Multiple regression models, in an</w:t>
      </w:r>
      <w:r w:rsidRPr="00BB528B">
        <w:rPr>
          <w:rFonts w:ascii="Times New Roman" w:hAnsi="Times New Roman" w:cs="Times New Roman"/>
          <w:color w:val="000000"/>
          <w:sz w:val="24"/>
          <w:szCs w:val="24"/>
        </w:rPr>
        <w:t xml:space="preserve"> information-theoretic approach </w:t>
      </w:r>
      <w:r w:rsidRPr="00BB528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BB528B">
        <w:rPr>
          <w:rFonts w:ascii="Times New Roman" w:hAnsi="Times New Roman" w:cs="Times New Roman"/>
          <w:sz w:val="24"/>
          <w:szCs w:val="24"/>
        </w:rPr>
        <w:t xml:space="preserve"> performed to find the best model, and the best buffer size.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B9D">
        <w:rPr>
          <w:rFonts w:ascii="Times New Roman" w:eastAsia="Times New Roman" w:hAnsi="Times New Roman" w:cs="Times New Roman"/>
          <w:sz w:val="24"/>
          <w:szCs w:val="24"/>
        </w:rPr>
        <w:t xml:space="preserve">From the best model, selected through AIC, the abundance of </w:t>
      </w:r>
      <w:r w:rsidRPr="00D45B9D">
        <w:rPr>
          <w:rFonts w:ascii="Times New Roman" w:eastAsia="Times New Roman" w:hAnsi="Times New Roman" w:cs="Times New Roman"/>
          <w:i/>
          <w:sz w:val="24"/>
          <w:szCs w:val="24"/>
        </w:rPr>
        <w:t xml:space="preserve">O. </w:t>
      </w:r>
      <w:proofErr w:type="spellStart"/>
      <w:r w:rsidRPr="00D45B9D">
        <w:rPr>
          <w:rFonts w:ascii="Times New Roman" w:eastAsia="Times New Roman" w:hAnsi="Times New Roman" w:cs="Times New Roman"/>
          <w:i/>
          <w:sz w:val="24"/>
          <w:szCs w:val="24"/>
        </w:rPr>
        <w:t>nigripes</w:t>
      </w:r>
      <w:proofErr w:type="spellEnd"/>
      <w:r w:rsidRPr="00D45B9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D45B9D">
        <w:rPr>
          <w:rFonts w:ascii="Times New Roman" w:eastAsia="Times New Roman" w:hAnsi="Times New Roman" w:cs="Times New Roman"/>
          <w:i/>
          <w:sz w:val="24"/>
          <w:szCs w:val="24"/>
        </w:rPr>
        <w:t xml:space="preserve">N. </w:t>
      </w:r>
      <w:proofErr w:type="spellStart"/>
      <w:r w:rsidRPr="00D45B9D">
        <w:rPr>
          <w:rFonts w:ascii="Times New Roman" w:eastAsia="Times New Roman" w:hAnsi="Times New Roman" w:cs="Times New Roman"/>
          <w:i/>
          <w:sz w:val="24"/>
          <w:szCs w:val="24"/>
        </w:rPr>
        <w:t>lasiurus</w:t>
      </w:r>
      <w:proofErr w:type="spellEnd"/>
      <w:r w:rsidRPr="00D45B9D">
        <w:rPr>
          <w:rFonts w:ascii="Times New Roman" w:eastAsia="Times New Roman" w:hAnsi="Times New Roman" w:cs="Times New Roman"/>
          <w:sz w:val="24"/>
          <w:szCs w:val="24"/>
        </w:rPr>
        <w:t xml:space="preserve"> were extrapolated from the sampled landscapes to the entire state of São Paulo, using the </w:t>
      </w:r>
      <w:r w:rsidRPr="00D45B9D">
        <w:rPr>
          <w:rFonts w:ascii="Times New Roman" w:hAnsi="Times New Roman"/>
          <w:sz w:val="24"/>
          <w:szCs w:val="24"/>
        </w:rPr>
        <w:t xml:space="preserve">São Paulo state Forest Inventory map </w:t>
      </w:r>
      <w:r w:rsidRPr="00D45B9D">
        <w:rPr>
          <w:rFonts w:ascii="Times New Roman" w:eastAsia="Times New Roman" w:hAnsi="Times New Roman" w:cs="Times New Roman"/>
          <w:sz w:val="24"/>
          <w:szCs w:val="24"/>
        </w:rPr>
        <w:t>from 20</w:t>
      </w:r>
      <w:r>
        <w:rPr>
          <w:rFonts w:ascii="Times New Roman" w:eastAsia="Times New Roman" w:hAnsi="Times New Roman" w:cs="Times New Roman"/>
          <w:sz w:val="24"/>
          <w:szCs w:val="24"/>
        </w:rPr>
        <w:t>10 (more details in Prado 2015)</w:t>
      </w:r>
      <w:r w:rsidRPr="00D45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1F35" w:rsidRPr="00B75F1D" w:rsidRDefault="002F1F35" w:rsidP="002F1F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Again, we used generalized linear mixed models, considering </w:t>
      </w:r>
      <w:r w:rsidRPr="00B75F1D">
        <w:rPr>
          <w:rFonts w:ascii="Times New Roman" w:hAnsi="Times New Roman" w:cs="Times New Roman"/>
          <w:sz w:val="24"/>
          <w:szCs w:val="24"/>
        </w:rPr>
        <w:t>municipality and year as random effects</w:t>
      </w:r>
      <w:r>
        <w:rPr>
          <w:rFonts w:ascii="Times New Roman" w:hAnsi="Times New Roman" w:cs="Times New Roman"/>
          <w:sz w:val="24"/>
          <w:szCs w:val="24"/>
        </w:rPr>
        <w:t>, and the</w:t>
      </w:r>
      <w:r w:rsidRPr="00B75F1D">
        <w:rPr>
          <w:rFonts w:ascii="Times New Roman" w:hAnsi="Times New Roman" w:cs="Times New Roman"/>
          <w:sz w:val="24"/>
          <w:szCs w:val="24"/>
        </w:rPr>
        <w:t xml:space="preserve"> presence of HPS cases as the response</w:t>
      </w:r>
      <w:r w:rsidRPr="00E01BC3">
        <w:rPr>
          <w:rFonts w:ascii="Times New Roman" w:hAnsi="Times New Roman" w:cs="Times New Roman"/>
          <w:sz w:val="24"/>
          <w:szCs w:val="24"/>
        </w:rPr>
        <w:t xml:space="preserve"> </w:t>
      </w:r>
      <w:r w:rsidRPr="00B75F1D">
        <w:rPr>
          <w:rFonts w:ascii="Times New Roman" w:hAnsi="Times New Roman" w:cs="Times New Roman"/>
          <w:sz w:val="24"/>
          <w:szCs w:val="24"/>
        </w:rPr>
        <w:t>variable.</w:t>
      </w:r>
      <w:r>
        <w:rPr>
          <w:rFonts w:ascii="Times New Roman" w:hAnsi="Times New Roman" w:cs="Times New Roman"/>
          <w:sz w:val="24"/>
          <w:szCs w:val="24"/>
        </w:rPr>
        <w:t xml:space="preserve"> We </w:t>
      </w:r>
      <w:r w:rsidRPr="00A83744">
        <w:rPr>
          <w:rFonts w:ascii="Times New Roman" w:hAnsi="Times New Roman" w:cs="Times New Roman"/>
          <w:sz w:val="24"/>
          <w:szCs w:val="24"/>
        </w:rPr>
        <w:t xml:space="preserve">performed a maximum likelihood model selection procedure, considering the second-order </w:t>
      </w:r>
      <w:proofErr w:type="spellStart"/>
      <w:r w:rsidRPr="00A83744">
        <w:rPr>
          <w:rFonts w:ascii="Times New Roman" w:hAnsi="Times New Roman" w:cs="Times New Roman"/>
          <w:sz w:val="24"/>
          <w:szCs w:val="24"/>
        </w:rPr>
        <w:t>Akaike´s</w:t>
      </w:r>
      <w:proofErr w:type="spellEnd"/>
      <w:r w:rsidRPr="00A83744">
        <w:rPr>
          <w:rFonts w:ascii="Times New Roman" w:hAnsi="Times New Roman" w:cs="Times New Roman"/>
          <w:sz w:val="24"/>
          <w:szCs w:val="24"/>
        </w:rPr>
        <w:t xml:space="preserve"> information criterion (AIC) (Burnham and Anderson 2002) to compare a set of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83744">
        <w:rPr>
          <w:rFonts w:ascii="Times New Roman" w:hAnsi="Times New Roman" w:cs="Times New Roman"/>
          <w:sz w:val="24"/>
          <w:szCs w:val="24"/>
        </w:rPr>
        <w:t xml:space="preserve"> candidate models</w:t>
      </w:r>
      <w:r>
        <w:rPr>
          <w:rFonts w:ascii="Times New Roman" w:hAnsi="Times New Roman" w:cs="Times New Roman"/>
          <w:sz w:val="24"/>
          <w:szCs w:val="24"/>
        </w:rPr>
        <w:t>, for each biome,</w:t>
      </w:r>
      <w:r w:rsidRPr="00A83744">
        <w:rPr>
          <w:rFonts w:ascii="Times New Roman" w:hAnsi="Times New Roman" w:cs="Times New Roman"/>
          <w:sz w:val="24"/>
          <w:szCs w:val="24"/>
        </w:rPr>
        <w:t xml:space="preserve"> combining climate, social, </w:t>
      </w:r>
      <w:r w:rsidR="00377586">
        <w:rPr>
          <w:rFonts w:ascii="Times New Roman" w:hAnsi="Times New Roman" w:cs="Times New Roman"/>
          <w:sz w:val="24"/>
          <w:szCs w:val="24"/>
        </w:rPr>
        <w:t xml:space="preserve">landscape, </w:t>
      </w:r>
      <w:r w:rsidRPr="00A83744">
        <w:rPr>
          <w:rFonts w:ascii="Times New Roman" w:hAnsi="Times New Roman" w:cs="Times New Roman"/>
          <w:sz w:val="24"/>
          <w:szCs w:val="24"/>
        </w:rPr>
        <w:t>agricultural</w:t>
      </w:r>
      <w:r>
        <w:rPr>
          <w:rFonts w:ascii="Times New Roman" w:hAnsi="Times New Roman" w:cs="Times New Roman"/>
          <w:sz w:val="24"/>
          <w:szCs w:val="24"/>
        </w:rPr>
        <w:t xml:space="preserve"> and rodent</w:t>
      </w:r>
      <w:r w:rsidRPr="00A83744">
        <w:rPr>
          <w:rFonts w:ascii="Times New Roman" w:hAnsi="Times New Roman" w:cs="Times New Roman"/>
          <w:sz w:val="24"/>
          <w:szCs w:val="24"/>
        </w:rPr>
        <w:t xml:space="preserve"> variables,</w:t>
      </w:r>
      <w:r w:rsidR="00377586">
        <w:rPr>
          <w:rFonts w:ascii="Times New Roman" w:hAnsi="Times New Roman" w:cs="Times New Roman"/>
          <w:sz w:val="24"/>
          <w:szCs w:val="24"/>
        </w:rPr>
        <w:t xml:space="preserve"> and</w:t>
      </w:r>
      <w:r w:rsidRPr="00A83744">
        <w:rPr>
          <w:rFonts w:ascii="Times New Roman" w:hAnsi="Times New Roman" w:cs="Times New Roman"/>
          <w:sz w:val="24"/>
          <w:szCs w:val="24"/>
        </w:rPr>
        <w:t xml:space="preserve"> including only variables with correlations lower than 0.4.</w:t>
      </w:r>
      <w:r>
        <w:rPr>
          <w:rFonts w:ascii="Times New Roman" w:hAnsi="Times New Roman" w:cs="Times New Roman"/>
          <w:sz w:val="24"/>
          <w:szCs w:val="24"/>
        </w:rPr>
        <w:t xml:space="preserve"> Once rodent abundance data was extrapolated to São Paulo state based on landscape metrics, we never included abundance data and landscape metrics in the same model.</w:t>
      </w:r>
      <w:r w:rsidR="008D5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5F1D">
        <w:rPr>
          <w:rFonts w:ascii="Times New Roman" w:hAnsi="Times New Roman" w:cs="Times New Roman"/>
          <w:sz w:val="24"/>
          <w:szCs w:val="24"/>
        </w:rPr>
        <w:t xml:space="preserve">ll estimated parameters were standardized, centered on their means and divided by two standard deviations. </w:t>
      </w:r>
      <w:r>
        <w:rPr>
          <w:rFonts w:ascii="Times New Roman" w:hAnsi="Times New Roman" w:cs="Times New Roman"/>
          <w:sz w:val="24"/>
          <w:szCs w:val="24"/>
        </w:rPr>
        <w:t>The model with the lower AIC were used in the Bayesian analysis (Table S</w:t>
      </w:r>
      <w:r w:rsidR="008C16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shows the results of the best models of exploratory analysis for both regions</w:t>
      </w:r>
      <w:r w:rsidR="002E7D1C">
        <w:rPr>
          <w:rFonts w:ascii="Times New Roman" w:hAnsi="Times New Roman" w:cs="Times New Roman"/>
          <w:sz w:val="24"/>
          <w:szCs w:val="24"/>
        </w:rPr>
        <w:t xml:space="preserve">; </w:t>
      </w:r>
      <w:r w:rsidR="002E7D1C">
        <w:rPr>
          <w:rFonts w:ascii="Times New Roman" w:hAnsi="Times New Roman"/>
          <w:sz w:val="24"/>
          <w:szCs w:val="24"/>
        </w:rPr>
        <w:t>for cerrado we also shown the first model with rodent included - once it does not appear in the best models selected).</w:t>
      </w:r>
    </w:p>
    <w:p w:rsidR="00BE486C" w:rsidRDefault="008D54C7" w:rsidP="00BE486C">
      <w:pPr>
        <w:spacing w:line="480" w:lineRule="auto"/>
        <w:rPr>
          <w:rFonts w:ascii="Times New Roman" w:hAnsi="Times New Roman"/>
          <w:sz w:val="24"/>
          <w:szCs w:val="24"/>
        </w:rPr>
      </w:pPr>
      <w:r w:rsidRPr="00F934C3">
        <w:rPr>
          <w:rFonts w:ascii="Times New Roman" w:hAnsi="Times New Roman" w:cs="Times New Roman"/>
          <w:sz w:val="24"/>
          <w:szCs w:val="24"/>
        </w:rPr>
        <w:lastRenderedPageBreak/>
        <w:t>Table S</w:t>
      </w:r>
      <w:r w:rsidR="008C163C">
        <w:rPr>
          <w:rFonts w:ascii="Times New Roman" w:hAnsi="Times New Roman" w:cs="Times New Roman"/>
          <w:sz w:val="24"/>
          <w:szCs w:val="24"/>
        </w:rPr>
        <w:t>2</w:t>
      </w:r>
      <w:r w:rsidRPr="00F934C3">
        <w:rPr>
          <w:rFonts w:ascii="Times New Roman" w:hAnsi="Times New Roman" w:cs="Times New Roman"/>
          <w:sz w:val="24"/>
          <w:szCs w:val="24"/>
        </w:rPr>
        <w:t xml:space="preserve">. Exploratory analysis results made with </w:t>
      </w:r>
      <w:r w:rsidRPr="00F934C3">
        <w:rPr>
          <w:rFonts w:ascii="Times New Roman" w:hAnsi="Times New Roman"/>
          <w:sz w:val="24"/>
          <w:szCs w:val="24"/>
        </w:rPr>
        <w:t>generalized linear mixed model to reduce the number of predictor variables</w:t>
      </w:r>
      <w:r>
        <w:rPr>
          <w:rFonts w:ascii="Times New Roman" w:hAnsi="Times New Roman"/>
          <w:sz w:val="24"/>
          <w:szCs w:val="24"/>
        </w:rPr>
        <w:t>. Only the models that had an AIC value close to 2 are shown.</w:t>
      </w:r>
      <w:r w:rsidR="002E7D1C">
        <w:rPr>
          <w:rFonts w:ascii="Times New Roman" w:hAnsi="Times New Roman"/>
          <w:sz w:val="24"/>
          <w:szCs w:val="24"/>
        </w:rPr>
        <w:t xml:space="preserve"> For cerrado we also shown the first model with rodent included (once it does not appear in the best models selected).</w:t>
      </w:r>
      <w:r w:rsidR="00BE48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86C">
        <w:rPr>
          <w:rFonts w:ascii="Times New Roman" w:hAnsi="Times New Roman"/>
          <w:sz w:val="24"/>
          <w:szCs w:val="24"/>
        </w:rPr>
        <w:t>PopRisk</w:t>
      </w:r>
      <w:proofErr w:type="spellEnd"/>
      <w:r w:rsidR="00BE486C">
        <w:rPr>
          <w:rFonts w:ascii="Times New Roman" w:hAnsi="Times New Roman"/>
          <w:sz w:val="24"/>
          <w:szCs w:val="24"/>
        </w:rPr>
        <w:t xml:space="preserve"> = population at risk; HDI = Human Development Index; PLAND = percent of habitat cover; NP = number of fragments; ED= habitat edge density; Cane = amount of sugarcane; Pasture = amount of pasture; </w:t>
      </w:r>
      <w:proofErr w:type="spellStart"/>
      <w:r w:rsidR="00BE486C">
        <w:rPr>
          <w:rFonts w:ascii="Times New Roman" w:hAnsi="Times New Roman"/>
          <w:sz w:val="24"/>
          <w:szCs w:val="24"/>
        </w:rPr>
        <w:t>TotalP</w:t>
      </w:r>
      <w:proofErr w:type="spellEnd"/>
      <w:r w:rsidR="00BE486C">
        <w:rPr>
          <w:rFonts w:ascii="Times New Roman" w:hAnsi="Times New Roman"/>
          <w:sz w:val="24"/>
          <w:szCs w:val="24"/>
        </w:rPr>
        <w:t xml:space="preserve">= annual total precipitation; </w:t>
      </w:r>
      <w:proofErr w:type="spellStart"/>
      <w:r w:rsidR="00BE486C">
        <w:rPr>
          <w:rFonts w:ascii="Times New Roman" w:hAnsi="Times New Roman"/>
          <w:sz w:val="24"/>
          <w:szCs w:val="24"/>
        </w:rPr>
        <w:t>MaxP</w:t>
      </w:r>
      <w:proofErr w:type="spellEnd"/>
      <w:r w:rsidR="00BE486C">
        <w:rPr>
          <w:rFonts w:ascii="Times New Roman" w:hAnsi="Times New Roman"/>
          <w:sz w:val="24"/>
          <w:szCs w:val="24"/>
        </w:rPr>
        <w:t xml:space="preserve">= annual maximum precipitation; </w:t>
      </w:r>
      <w:proofErr w:type="spellStart"/>
      <w:r w:rsidR="00BE486C">
        <w:rPr>
          <w:rFonts w:ascii="Times New Roman" w:hAnsi="Times New Roman"/>
          <w:sz w:val="24"/>
          <w:szCs w:val="24"/>
        </w:rPr>
        <w:t>MeanT</w:t>
      </w:r>
      <w:proofErr w:type="spellEnd"/>
      <w:r w:rsidR="00BE486C">
        <w:rPr>
          <w:rFonts w:ascii="Times New Roman" w:hAnsi="Times New Roman"/>
          <w:sz w:val="24"/>
          <w:szCs w:val="24"/>
        </w:rPr>
        <w:t xml:space="preserve"> = annual mean temperature; </w:t>
      </w:r>
      <w:proofErr w:type="spellStart"/>
      <w:r w:rsidR="00BE486C">
        <w:rPr>
          <w:rFonts w:ascii="Times New Roman" w:hAnsi="Times New Roman"/>
          <w:sz w:val="24"/>
          <w:szCs w:val="24"/>
        </w:rPr>
        <w:t>MeanTWint</w:t>
      </w:r>
      <w:proofErr w:type="spellEnd"/>
      <w:r w:rsidR="00BE486C">
        <w:rPr>
          <w:rFonts w:ascii="Times New Roman" w:hAnsi="Times New Roman"/>
          <w:sz w:val="24"/>
          <w:szCs w:val="24"/>
        </w:rPr>
        <w:t xml:space="preserve"> = annual mean temperature of winter</w:t>
      </w:r>
      <w:r w:rsidR="0058490C">
        <w:rPr>
          <w:rFonts w:ascii="Times New Roman" w:hAnsi="Times New Roman"/>
          <w:sz w:val="24"/>
          <w:szCs w:val="24"/>
        </w:rPr>
        <w:t xml:space="preserve">; NL = abundance of </w:t>
      </w:r>
      <w:proofErr w:type="spellStart"/>
      <w:r w:rsidR="0058490C" w:rsidRPr="0058490C">
        <w:rPr>
          <w:rFonts w:ascii="Times New Roman" w:hAnsi="Times New Roman"/>
          <w:i/>
          <w:sz w:val="24"/>
          <w:szCs w:val="24"/>
        </w:rPr>
        <w:t>Necromys</w:t>
      </w:r>
      <w:proofErr w:type="spellEnd"/>
      <w:r w:rsidR="0058490C" w:rsidRPr="00584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8490C" w:rsidRPr="0058490C">
        <w:rPr>
          <w:rFonts w:ascii="Times New Roman" w:hAnsi="Times New Roman"/>
          <w:i/>
          <w:sz w:val="24"/>
          <w:szCs w:val="24"/>
        </w:rPr>
        <w:t>lasiurus</w:t>
      </w:r>
      <w:proofErr w:type="spellEnd"/>
      <w:r w:rsidR="0058490C">
        <w:rPr>
          <w:rFonts w:ascii="Times New Roman" w:hAnsi="Times New Roman"/>
          <w:sz w:val="24"/>
          <w:szCs w:val="24"/>
        </w:rPr>
        <w:t xml:space="preserve">; ON = </w:t>
      </w:r>
      <w:proofErr w:type="spellStart"/>
      <w:r w:rsidR="0058490C">
        <w:rPr>
          <w:rFonts w:ascii="Times New Roman" w:hAnsi="Times New Roman"/>
          <w:sz w:val="24"/>
          <w:szCs w:val="24"/>
        </w:rPr>
        <w:t>abunandance</w:t>
      </w:r>
      <w:proofErr w:type="spellEnd"/>
      <w:r w:rsidR="0058490C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75164B">
        <w:rPr>
          <w:rFonts w:ascii="Times New Roman" w:hAnsi="Times New Roman"/>
          <w:i/>
          <w:sz w:val="24"/>
          <w:szCs w:val="24"/>
        </w:rPr>
        <w:t>Oli</w:t>
      </w:r>
      <w:r w:rsidR="0058490C" w:rsidRPr="0058490C">
        <w:rPr>
          <w:rFonts w:ascii="Times New Roman" w:hAnsi="Times New Roman"/>
          <w:i/>
          <w:sz w:val="24"/>
          <w:szCs w:val="24"/>
        </w:rPr>
        <w:t>gor</w:t>
      </w:r>
      <w:r w:rsidR="0075164B">
        <w:rPr>
          <w:rFonts w:ascii="Times New Roman" w:hAnsi="Times New Roman"/>
          <w:i/>
          <w:sz w:val="24"/>
          <w:szCs w:val="24"/>
        </w:rPr>
        <w:t>y</w:t>
      </w:r>
      <w:r w:rsidR="0058490C" w:rsidRPr="0058490C">
        <w:rPr>
          <w:rFonts w:ascii="Times New Roman" w:hAnsi="Times New Roman"/>
          <w:i/>
          <w:sz w:val="24"/>
          <w:szCs w:val="24"/>
        </w:rPr>
        <w:t>zom</w:t>
      </w:r>
      <w:r w:rsidR="0075164B">
        <w:rPr>
          <w:rFonts w:ascii="Times New Roman" w:hAnsi="Times New Roman"/>
          <w:i/>
          <w:sz w:val="24"/>
          <w:szCs w:val="24"/>
        </w:rPr>
        <w:t>y</w:t>
      </w:r>
      <w:r w:rsidR="0058490C" w:rsidRPr="0058490C">
        <w:rPr>
          <w:rFonts w:ascii="Times New Roman" w:hAnsi="Times New Roman"/>
          <w:i/>
          <w:sz w:val="24"/>
          <w:szCs w:val="24"/>
        </w:rPr>
        <w:t>s</w:t>
      </w:r>
      <w:proofErr w:type="spellEnd"/>
      <w:r w:rsidR="0058490C" w:rsidRPr="00584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8490C" w:rsidRPr="0058490C">
        <w:rPr>
          <w:rFonts w:ascii="Times New Roman" w:hAnsi="Times New Roman"/>
          <w:i/>
          <w:sz w:val="24"/>
          <w:szCs w:val="24"/>
        </w:rPr>
        <w:t>nigripes</w:t>
      </w:r>
      <w:proofErr w:type="spellEnd"/>
      <w:r w:rsidR="00BE486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-522" w:type="dxa"/>
        <w:tblLayout w:type="fixed"/>
        <w:tblLook w:val="04A0"/>
      </w:tblPr>
      <w:tblGrid>
        <w:gridCol w:w="810"/>
        <w:gridCol w:w="5220"/>
        <w:gridCol w:w="990"/>
        <w:gridCol w:w="806"/>
        <w:gridCol w:w="900"/>
        <w:gridCol w:w="1054"/>
      </w:tblGrid>
      <w:tr w:rsidR="00FF31F7" w:rsidRPr="00FF31F7" w:rsidTr="00FF31F7">
        <w:tc>
          <w:tcPr>
            <w:tcW w:w="978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F7" w:rsidRPr="00FF31F7" w:rsidRDefault="00FE05B0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  <w:r w:rsidR="00FF31F7" w:rsidRPr="00FF31F7">
              <w:rPr>
                <w:rFonts w:ascii="Times New Roman" w:eastAsia="Times New Roman" w:hAnsi="Times New Roman" w:cs="Times New Roman"/>
                <w:b/>
                <w:color w:val="000000"/>
              </w:rPr>
              <w:t>errado</w:t>
            </w:r>
          </w:p>
        </w:tc>
      </w:tr>
      <w:tr w:rsidR="00FF31F7" w:rsidRPr="00777D0E" w:rsidTr="00FF31F7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7" w:rsidRPr="00777D0E" w:rsidRDefault="008D54C7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Model</w:t>
            </w:r>
            <w:r w:rsidR="00FF31F7">
              <w:rPr>
                <w:rFonts w:ascii="Times New Roman" w:eastAsia="Times New Roman" w:hAnsi="Times New Roman" w:cs="Times New Roman"/>
                <w:color w:val="000000"/>
              </w:rPr>
              <w:t xml:space="preserve"> Nome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C7" w:rsidRPr="00777D0E" w:rsidRDefault="008D54C7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Predictors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Variables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C7" w:rsidRPr="00777D0E" w:rsidRDefault="008D54C7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AIC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7" w:rsidRPr="00777D0E" w:rsidRDefault="008D54C7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7D0E">
              <w:rPr>
                <w:rFonts w:ascii="Times New Roman" w:eastAsia="Times New Roman" w:hAnsi="Times New Roman" w:cs="Times New Roman"/>
                <w:color w:val="000000"/>
              </w:rPr>
              <w:t>Df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7" w:rsidRPr="00777D0E" w:rsidRDefault="008D54C7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7D0E">
              <w:rPr>
                <w:rFonts w:ascii="Times New Roman" w:eastAsia="Times New Roman" w:hAnsi="Times New Roman" w:cs="Times New Roman"/>
                <w:color w:val="000000"/>
              </w:rPr>
              <w:t>logLik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7" w:rsidRPr="00777D0E" w:rsidRDefault="008D54C7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Deviance</w:t>
            </w:r>
          </w:p>
        </w:tc>
      </w:tr>
      <w:tr w:rsidR="00FF31F7" w:rsidRPr="00777D0E" w:rsidTr="00FF31F7"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C7" w:rsidRPr="00777D0E" w:rsidRDefault="00E417B5" w:rsidP="002466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8D54C7" w:rsidRPr="00777D0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hAnsi="Times New Roman" w:cs="Times New Roman"/>
                <w:color w:val="000000"/>
              </w:rPr>
              <w:t>HDI</w:t>
            </w:r>
            <w:r w:rsidR="008D54C7" w:rsidRPr="00777D0E">
              <w:rPr>
                <w:rFonts w:ascii="Times New Roman" w:hAnsi="Times New Roman" w:cs="Times New Roman"/>
                <w:color w:val="000000"/>
              </w:rPr>
              <w:t>; PLAND;</w:t>
            </w:r>
            <w:r w:rsidR="00BE48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D54C7" w:rsidRPr="00777D0E">
              <w:rPr>
                <w:rFonts w:ascii="Times New Roman" w:hAnsi="Times New Roman" w:cs="Times New Roman"/>
                <w:color w:val="000000"/>
              </w:rPr>
              <w:t>NP;</w:t>
            </w:r>
            <w:r w:rsidR="00BE48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hAnsi="Times New Roman" w:cs="Times New Roman"/>
                <w:color w:val="000000"/>
              </w:rPr>
              <w:t>Cane</w:t>
            </w:r>
            <w:r w:rsidR="008D54C7" w:rsidRPr="00777D0E">
              <w:rPr>
                <w:rFonts w:ascii="Times New Roman" w:hAnsi="Times New Roman" w:cs="Times New Roman"/>
                <w:color w:val="000000"/>
              </w:rPr>
              <w:t>;</w:t>
            </w:r>
            <w:r w:rsidR="00BE48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D54C7" w:rsidRPr="00777D0E">
              <w:rPr>
                <w:rFonts w:ascii="Times New Roman" w:hAnsi="Times New Roman" w:cs="Times New Roman"/>
                <w:color w:val="000000"/>
              </w:rPr>
              <w:t>TotalP</w:t>
            </w:r>
            <w:proofErr w:type="spellEnd"/>
            <w:r w:rsidR="008D54C7" w:rsidRPr="00777D0E">
              <w:rPr>
                <w:rFonts w:ascii="Times New Roman" w:hAnsi="Times New Roman" w:cs="Times New Roman"/>
                <w:color w:val="000000"/>
              </w:rPr>
              <w:t>;</w:t>
            </w:r>
            <w:r w:rsidR="00BE48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D54C7" w:rsidRPr="00777D0E">
              <w:rPr>
                <w:rFonts w:ascii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384.79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-183.39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366.79</w:t>
            </w:r>
          </w:p>
        </w:tc>
      </w:tr>
      <w:tr w:rsidR="00FF31F7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m11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8D54C7" w:rsidRPr="00777D0E" w:rsidRDefault="00E417B5" w:rsidP="002466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NP;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MeanTWint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385.04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-183.52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367.04</w:t>
            </w:r>
          </w:p>
        </w:tc>
      </w:tr>
      <w:tr w:rsidR="00FF31F7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m5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8D54C7" w:rsidRPr="00777D0E" w:rsidRDefault="00E417B5" w:rsidP="002466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ED;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385.6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-183.8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367.6</w:t>
            </w:r>
          </w:p>
        </w:tc>
      </w:tr>
      <w:tr w:rsidR="00FF31F7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m9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8D54C7" w:rsidRPr="00777D0E" w:rsidRDefault="00E417B5" w:rsidP="002466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ED;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MeanTWint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385.73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-183.87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367.73</w:t>
            </w:r>
          </w:p>
        </w:tc>
      </w:tr>
      <w:tr w:rsidR="00FF31F7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m6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8D54C7" w:rsidRPr="00777D0E" w:rsidRDefault="00E417B5" w:rsidP="002466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PLAND;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385.91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-183.95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367.91</w:t>
            </w:r>
          </w:p>
        </w:tc>
      </w:tr>
      <w:tr w:rsidR="00FF31F7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m10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8D54C7" w:rsidRPr="00777D0E" w:rsidRDefault="00E417B5" w:rsidP="002466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PLAND;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MeanTWint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386.2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-184.1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368.2</w:t>
            </w:r>
          </w:p>
        </w:tc>
      </w:tr>
      <w:tr w:rsidR="00FF31F7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m31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8D54C7" w:rsidRPr="00777D0E" w:rsidRDefault="00E417B5" w:rsidP="002466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NP;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Pasture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386.73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-184.36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368.73</w:t>
            </w:r>
          </w:p>
        </w:tc>
      </w:tr>
      <w:tr w:rsidR="00FF31F7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m4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8D54C7" w:rsidRPr="00777D0E" w:rsidRDefault="00E417B5" w:rsidP="002466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PLAND; NP;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386.73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-183.37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366.73</w:t>
            </w:r>
          </w:p>
        </w:tc>
      </w:tr>
      <w:tr w:rsidR="00FF31F7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m8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8D54C7" w:rsidRPr="00777D0E" w:rsidRDefault="00E417B5" w:rsidP="002466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="008D54C7">
              <w:rPr>
                <w:rFonts w:ascii="Times New Roman" w:eastAsia="Times New Roman" w:hAnsi="Times New Roman" w:cs="Times New Roman"/>
                <w:color w:val="000000"/>
              </w:rPr>
              <w:t>PLAND;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D54C7">
              <w:rPr>
                <w:rFonts w:ascii="Times New Roman" w:eastAsia="Times New Roman" w:hAnsi="Times New Roman" w:cs="Times New Roman"/>
                <w:color w:val="000000"/>
              </w:rPr>
              <w:t>NP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8D54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8D54C7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r w:rsidR="008D54C7">
              <w:rPr>
                <w:rFonts w:ascii="Times New Roman" w:eastAsia="Times New Roman" w:hAnsi="Times New Roman" w:cs="Times New Roman"/>
                <w:color w:val="000000"/>
              </w:rPr>
              <w:t>Wint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386.95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-183.47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366.95</w:t>
            </w:r>
          </w:p>
        </w:tc>
      </w:tr>
      <w:tr w:rsidR="00FF31F7" w:rsidRPr="00777D0E" w:rsidTr="00FF31F7"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6B" w:rsidRPr="00777D0E" w:rsidRDefault="00593A6B" w:rsidP="002466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r7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B" w:rsidRPr="00777D0E" w:rsidRDefault="00E417B5" w:rsidP="00D67B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 xml:space="preserve"> HDI; </w:t>
            </w:r>
            <w:r w:rsidR="0063290F" w:rsidRPr="0063290F">
              <w:rPr>
                <w:rFonts w:ascii="Times New Roman" w:eastAsia="Times New Roman" w:hAnsi="Times New Roman" w:cs="Times New Roman"/>
                <w:color w:val="000000"/>
              </w:rPr>
              <w:t>NL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 xml:space="preserve">; Pasture; </w:t>
            </w:r>
            <w:proofErr w:type="spellStart"/>
            <w:r w:rsidR="0063290F" w:rsidRPr="0063290F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D67B6B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63290F" w:rsidRPr="0063290F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A6B" w:rsidRPr="00777D0E" w:rsidRDefault="00593A6B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1360.84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6B" w:rsidRPr="00777D0E" w:rsidRDefault="00593A6B" w:rsidP="00FF31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6B" w:rsidRPr="00777D0E" w:rsidRDefault="00593A6B" w:rsidP="00593A6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670</w:t>
            </w: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A6B" w:rsidRPr="00777D0E" w:rsidRDefault="00593A6B" w:rsidP="0024661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1340.84</w:t>
            </w:r>
          </w:p>
        </w:tc>
      </w:tr>
      <w:tr w:rsidR="00FF31F7" w:rsidRPr="00FF31F7" w:rsidTr="00FF31F7">
        <w:trPr>
          <w:trHeight w:val="377"/>
        </w:trPr>
        <w:tc>
          <w:tcPr>
            <w:tcW w:w="97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F7" w:rsidRPr="00FF31F7" w:rsidRDefault="00FF31F7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F31F7">
              <w:rPr>
                <w:rFonts w:ascii="Times New Roman" w:eastAsia="Times New Roman" w:hAnsi="Times New Roman" w:cs="Times New Roman"/>
                <w:b/>
                <w:color w:val="000000"/>
              </w:rPr>
              <w:t>Atlantic Forest</w:t>
            </w:r>
          </w:p>
        </w:tc>
      </w:tr>
      <w:tr w:rsidR="00FF31F7" w:rsidRPr="00777D0E" w:rsidTr="00FF31F7"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54C7" w:rsidRPr="00777D0E" w:rsidRDefault="00E417B5" w:rsidP="00FF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PLAND; NP;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TotalP</w:t>
            </w:r>
            <w:proofErr w:type="spellEnd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54C7" w:rsidRPr="00777D0E" w:rsidRDefault="008D54C7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982.55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7" w:rsidRPr="00777D0E" w:rsidRDefault="008D54C7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-482.28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964.55</w:t>
            </w:r>
          </w:p>
        </w:tc>
      </w:tr>
      <w:tr w:rsidR="00FF31F7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m3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4C7" w:rsidRPr="00777D0E" w:rsidRDefault="00E417B5" w:rsidP="00FF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NP;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TotalP</w:t>
            </w:r>
            <w:proofErr w:type="spellEnd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4C7" w:rsidRPr="00777D0E" w:rsidRDefault="008D54C7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982.57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7" w:rsidRPr="00777D0E" w:rsidRDefault="008D54C7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-482.28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964.57</w:t>
            </w:r>
          </w:p>
        </w:tc>
      </w:tr>
      <w:tr w:rsidR="00FF31F7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m6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4C7" w:rsidRPr="00777D0E" w:rsidRDefault="00E417B5" w:rsidP="00FF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PLAND;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4C7" w:rsidRPr="00777D0E" w:rsidRDefault="008D54C7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983.95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7" w:rsidRPr="00777D0E" w:rsidRDefault="008D54C7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-482.97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965.95</w:t>
            </w:r>
          </w:p>
        </w:tc>
      </w:tr>
      <w:tr w:rsidR="00FF31F7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m4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4C7" w:rsidRPr="00777D0E" w:rsidRDefault="00E417B5" w:rsidP="00FF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PLAND; NP;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4C7" w:rsidRPr="00777D0E" w:rsidRDefault="008D54C7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984.04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7" w:rsidRPr="00777D0E" w:rsidRDefault="008D54C7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-482.02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964.04</w:t>
            </w:r>
          </w:p>
        </w:tc>
      </w:tr>
      <w:tr w:rsidR="00FF31F7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m2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4C7" w:rsidRPr="00777D0E" w:rsidRDefault="00E417B5" w:rsidP="00FF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PLAND;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TotalP</w:t>
            </w:r>
            <w:proofErr w:type="spellEnd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4C7" w:rsidRPr="00777D0E" w:rsidRDefault="008D54C7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984.05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7" w:rsidRPr="00777D0E" w:rsidRDefault="008D54C7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-483.02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966.05</w:t>
            </w:r>
          </w:p>
        </w:tc>
      </w:tr>
      <w:tr w:rsidR="00FF31F7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655AE1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4C7" w:rsidRPr="00777D0E" w:rsidRDefault="00E417B5" w:rsidP="00FF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NP;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4C7" w:rsidRPr="00777D0E" w:rsidRDefault="008D54C7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984.1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7" w:rsidRPr="00777D0E" w:rsidRDefault="008D54C7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-482.05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964.1</w:t>
            </w:r>
          </w:p>
        </w:tc>
      </w:tr>
      <w:tr w:rsidR="00FF31F7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0F" w:rsidRPr="00777D0E" w:rsidRDefault="0063290F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90F" w:rsidRPr="00777D0E" w:rsidRDefault="00E417B5" w:rsidP="0058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5849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58490C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="003E2F93" w:rsidRPr="003E2F93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r w:rsidR="0058490C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58490C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3E2F93" w:rsidRPr="003E2F93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58490C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3E2F93" w:rsidRPr="003E2F93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290F" w:rsidRPr="00777D0E" w:rsidRDefault="0063290F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984.5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0F" w:rsidRPr="00777D0E" w:rsidRDefault="0063290F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0F" w:rsidRPr="00777D0E" w:rsidRDefault="0063290F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-483.2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90F" w:rsidRPr="00777D0E" w:rsidRDefault="0063290F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966.5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F31F7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m1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4C7" w:rsidRPr="00777D0E" w:rsidRDefault="00E417B5" w:rsidP="00FF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ED;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TotalP</w:t>
            </w:r>
            <w:proofErr w:type="spellEnd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4C7" w:rsidRPr="00777D0E" w:rsidRDefault="008D54C7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984.54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7" w:rsidRPr="00777D0E" w:rsidRDefault="008D54C7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-483.27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966.54</w:t>
            </w:r>
          </w:p>
        </w:tc>
      </w:tr>
      <w:tr w:rsidR="00FF31F7" w:rsidRPr="00777D0E" w:rsidTr="00FF31F7"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m5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4C7" w:rsidRPr="00777D0E" w:rsidRDefault="00E417B5" w:rsidP="00FF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PopRisk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HDI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ED; </w:t>
            </w:r>
            <w:r w:rsidR="00D67B6B">
              <w:rPr>
                <w:rFonts w:ascii="Times New Roman" w:eastAsia="Times New Roman" w:hAnsi="Times New Roman" w:cs="Times New Roman"/>
                <w:color w:val="000000"/>
              </w:rPr>
              <w:t>Cane</w:t>
            </w:r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MaxP</w:t>
            </w:r>
            <w:proofErr w:type="spellEnd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8D54C7" w:rsidRPr="00777D0E">
              <w:rPr>
                <w:rFonts w:ascii="Times New Roman" w:eastAsia="Times New Roman" w:hAnsi="Times New Roman" w:cs="Times New Roman"/>
                <w:color w:val="000000"/>
              </w:rPr>
              <w:t>MeanT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54C7" w:rsidRPr="00777D0E" w:rsidRDefault="008D54C7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984.8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7D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C7" w:rsidRPr="00777D0E" w:rsidRDefault="008D54C7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-483.4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C7" w:rsidRPr="00777D0E" w:rsidRDefault="008D54C7" w:rsidP="00FF31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7D0E">
              <w:rPr>
                <w:rFonts w:ascii="Times New Roman" w:hAnsi="Times New Roman" w:cs="Times New Roman"/>
                <w:color w:val="000000"/>
              </w:rPr>
              <w:t>966.8</w:t>
            </w:r>
          </w:p>
        </w:tc>
      </w:tr>
    </w:tbl>
    <w:p w:rsidR="00FF31F7" w:rsidRDefault="002F1F35" w:rsidP="002E7D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2FF" w:rsidRPr="00C73231" w:rsidRDefault="00FF31F7" w:rsidP="003316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7D1C">
        <w:rPr>
          <w:rFonts w:ascii="Times New Roman" w:hAnsi="Times New Roman" w:cs="Times New Roman"/>
          <w:sz w:val="24"/>
          <w:szCs w:val="24"/>
        </w:rPr>
        <w:t>Again, in both region</w:t>
      </w:r>
      <w:r w:rsidR="00377586">
        <w:rPr>
          <w:rFonts w:ascii="Times New Roman" w:hAnsi="Times New Roman" w:cs="Times New Roman"/>
          <w:sz w:val="24"/>
          <w:szCs w:val="24"/>
        </w:rPr>
        <w:t>s</w:t>
      </w:r>
      <w:r w:rsidR="002E7D1C">
        <w:rPr>
          <w:rFonts w:ascii="Times New Roman" w:hAnsi="Times New Roman" w:cs="Times New Roman"/>
          <w:sz w:val="24"/>
          <w:szCs w:val="24"/>
        </w:rPr>
        <w:t xml:space="preserve"> the model containing the predictor variables population at risk, </w:t>
      </w:r>
      <w:r w:rsidR="00D67B6B">
        <w:rPr>
          <w:rFonts w:ascii="Times New Roman" w:hAnsi="Times New Roman" w:cs="Times New Roman"/>
          <w:sz w:val="24"/>
          <w:szCs w:val="24"/>
        </w:rPr>
        <w:t>HDI</w:t>
      </w:r>
      <w:r w:rsidR="002E7D1C">
        <w:rPr>
          <w:rFonts w:ascii="Times New Roman" w:hAnsi="Times New Roman" w:cs="Times New Roman"/>
          <w:sz w:val="24"/>
          <w:szCs w:val="24"/>
        </w:rPr>
        <w:t>, percent of habitat cover, number of fragments, amount of sugarcane, annual total precipitation and annual mean temperature (m7) was selected with the lower AIC.</w:t>
      </w:r>
      <w:r w:rsidR="0033161F" w:rsidRPr="00C73231">
        <w:rPr>
          <w:rFonts w:ascii="Times New Roman" w:hAnsi="Times New Roman" w:cs="Times New Roman"/>
          <w:sz w:val="24"/>
          <w:szCs w:val="24"/>
        </w:rPr>
        <w:t xml:space="preserve"> </w:t>
      </w:r>
      <w:r w:rsidR="007A780F">
        <w:rPr>
          <w:rFonts w:ascii="Times New Roman" w:hAnsi="Times New Roman" w:cs="Times New Roman"/>
          <w:sz w:val="24"/>
          <w:szCs w:val="24"/>
        </w:rPr>
        <w:t>In that way these variables were included in the final Bayesian model.</w:t>
      </w:r>
    </w:p>
    <w:p w:rsidR="0033161F" w:rsidRPr="0033161F" w:rsidRDefault="0033161F" w:rsidP="000F62F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E4D5B" w:rsidRPr="0033161F" w:rsidRDefault="00FE4D5B" w:rsidP="000F62F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3161F">
        <w:rPr>
          <w:rFonts w:ascii="Times New Roman" w:hAnsi="Times New Roman" w:cs="Times New Roman"/>
          <w:b/>
          <w:sz w:val="24"/>
          <w:szCs w:val="24"/>
          <w:lang w:val="pt-BR"/>
        </w:rPr>
        <w:t>References</w:t>
      </w:r>
    </w:p>
    <w:p w:rsidR="00FE4D5B" w:rsidRPr="0022590E" w:rsidRDefault="00FE4D5B" w:rsidP="000F62FF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Bueno AA (2008)</w:t>
      </w:r>
      <w:r w:rsidRPr="0022590E">
        <w:rPr>
          <w:rFonts w:ascii="Times New Roman" w:hAnsi="Times New Roman" w:cs="Times New Roman"/>
          <w:sz w:val="24"/>
          <w:szCs w:val="24"/>
          <w:lang w:val="pt-BR"/>
        </w:rPr>
        <w:t xml:space="preserve"> Pequenos mamíferos da Mata Atlântica do Planalto Atlântico paulista: uma avaliação da ameaça de extinção e da resposta a alterações no contexto e tamanho dos remanescentes. In: Instituto de Biociências. Departamento de Zoologia. Universidade de São Paulo, São Paulo, p. 124.</w:t>
      </w:r>
    </w:p>
    <w:p w:rsidR="00FE4D5B" w:rsidRPr="00CE6149" w:rsidRDefault="00FE4D5B" w:rsidP="000F62FF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2441B1">
        <w:rPr>
          <w:rFonts w:ascii="Times New Roman" w:hAnsi="Times New Roman" w:cs="Times New Roman"/>
          <w:sz w:val="24"/>
          <w:szCs w:val="24"/>
        </w:rPr>
        <w:t>Pardini</w:t>
      </w:r>
      <w:proofErr w:type="spellEnd"/>
      <w:r w:rsidRPr="002441B1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2441B1">
        <w:rPr>
          <w:rFonts w:ascii="Times New Roman" w:hAnsi="Times New Roman" w:cs="Times New Roman"/>
          <w:sz w:val="24"/>
          <w:szCs w:val="24"/>
        </w:rPr>
        <w:t>Bueno</w:t>
      </w:r>
      <w:proofErr w:type="spellEnd"/>
      <w:r w:rsidRPr="002441B1">
        <w:rPr>
          <w:rFonts w:ascii="Times New Roman" w:hAnsi="Times New Roman" w:cs="Times New Roman"/>
          <w:sz w:val="24"/>
          <w:szCs w:val="24"/>
        </w:rPr>
        <w:t xml:space="preserve"> AA, Gardner TA, Prado PI, Metzger JP (2010) Beyond the Fragmentation Threshold Hypothesis: Regime Shifts in Biodiversity Across Fragmented Landscapes. </w:t>
      </w:r>
      <w:r w:rsidRPr="00CE6149">
        <w:rPr>
          <w:rFonts w:ascii="Times New Roman" w:hAnsi="Times New Roman" w:cs="Times New Roman"/>
          <w:sz w:val="24"/>
          <w:szCs w:val="24"/>
          <w:lang w:val="pt-BR"/>
        </w:rPr>
        <w:t xml:space="preserve">PloSONE 10 e13666 </w:t>
      </w:r>
    </w:p>
    <w:p w:rsidR="00FE4D5B" w:rsidRPr="00CE6149" w:rsidRDefault="00FE4D5B" w:rsidP="000F62FF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Prado A</w:t>
      </w:r>
      <w:r w:rsidRPr="00CE6149">
        <w:rPr>
          <w:rFonts w:ascii="Times New Roman" w:eastAsia="Times New Roman" w:hAnsi="Times New Roman" w:cs="Times New Roman"/>
          <w:sz w:val="24"/>
          <w:szCs w:val="24"/>
          <w:lang w:val="pt-BR"/>
        </w:rPr>
        <w:t>F (2015) Abundância de roedores reservatórios de hantavírus no bioma da Mata Atlântica: efeitos da estrutura da paisagem e da escala de análise. In: Instituto de Biociências. Departamento de Ecologia. Universidade de São Paulo, São Paulo, p. 46.</w:t>
      </w:r>
    </w:p>
    <w:p w:rsidR="00FE4D5B" w:rsidRPr="00ED5E17" w:rsidRDefault="00FE4D5B" w:rsidP="000F62FF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/>
          <w:bCs/>
          <w:sz w:val="24"/>
          <w:szCs w:val="24"/>
        </w:rPr>
      </w:pPr>
      <w:proofErr w:type="spellStart"/>
      <w:r w:rsidRPr="00ED5E17">
        <w:rPr>
          <w:rFonts w:ascii="Times New Roman" w:hAnsi="Times New Roman"/>
          <w:bCs/>
          <w:sz w:val="24"/>
          <w:szCs w:val="24"/>
        </w:rPr>
        <w:lastRenderedPageBreak/>
        <w:t>Puttker</w:t>
      </w:r>
      <w:proofErr w:type="spellEnd"/>
      <w:r w:rsidRPr="00ED5E17">
        <w:rPr>
          <w:rFonts w:ascii="Times New Roman" w:hAnsi="Times New Roman"/>
          <w:bCs/>
          <w:sz w:val="24"/>
          <w:szCs w:val="24"/>
        </w:rPr>
        <w:t xml:space="preserve"> T, </w:t>
      </w:r>
      <w:proofErr w:type="spellStart"/>
      <w:r w:rsidRPr="00ED5E17">
        <w:rPr>
          <w:rFonts w:ascii="Times New Roman" w:hAnsi="Times New Roman"/>
          <w:bCs/>
          <w:sz w:val="24"/>
          <w:szCs w:val="24"/>
        </w:rPr>
        <w:t>Pardini</w:t>
      </w:r>
      <w:proofErr w:type="spellEnd"/>
      <w:r w:rsidRPr="00ED5E17">
        <w:rPr>
          <w:rFonts w:ascii="Times New Roman" w:hAnsi="Times New Roman"/>
          <w:bCs/>
          <w:sz w:val="24"/>
          <w:szCs w:val="24"/>
        </w:rPr>
        <w:t xml:space="preserve"> R, Meyer-</w:t>
      </w:r>
      <w:proofErr w:type="spellStart"/>
      <w:r w:rsidRPr="00ED5E17">
        <w:rPr>
          <w:rFonts w:ascii="Times New Roman" w:hAnsi="Times New Roman"/>
          <w:bCs/>
          <w:sz w:val="24"/>
          <w:szCs w:val="24"/>
        </w:rPr>
        <w:t>Lucht</w:t>
      </w:r>
      <w:proofErr w:type="spellEnd"/>
      <w:r w:rsidRPr="00ED5E17">
        <w:rPr>
          <w:rFonts w:ascii="Times New Roman" w:hAnsi="Times New Roman"/>
          <w:bCs/>
          <w:sz w:val="24"/>
          <w:szCs w:val="24"/>
        </w:rPr>
        <w:t xml:space="preserve"> Y, </w:t>
      </w:r>
      <w:proofErr w:type="spellStart"/>
      <w:r w:rsidRPr="00ED5E17">
        <w:rPr>
          <w:rFonts w:ascii="Times New Roman" w:hAnsi="Times New Roman"/>
          <w:bCs/>
          <w:sz w:val="24"/>
          <w:szCs w:val="24"/>
        </w:rPr>
        <w:t>Sommer</w:t>
      </w:r>
      <w:proofErr w:type="spellEnd"/>
      <w:r w:rsidRPr="00ED5E17">
        <w:rPr>
          <w:rFonts w:ascii="Times New Roman" w:hAnsi="Times New Roman"/>
          <w:bCs/>
          <w:sz w:val="24"/>
          <w:szCs w:val="24"/>
        </w:rPr>
        <w:t xml:space="preserve"> S. Responses of five small mammal species to micro-scale variations in vegetation structure in secondary Atlantic Forest remnants, Brazil. 2008b; </w:t>
      </w:r>
      <w:r w:rsidRPr="00ED5E17">
        <w:rPr>
          <w:rFonts w:ascii="Times New Roman" w:hAnsi="Times New Roman"/>
          <w:iCs/>
          <w:sz w:val="24"/>
          <w:szCs w:val="24"/>
        </w:rPr>
        <w:t xml:space="preserve">BMC Ecology </w:t>
      </w:r>
      <w:r w:rsidRPr="00ED5E17">
        <w:rPr>
          <w:rFonts w:ascii="Times New Roman" w:hAnsi="Times New Roman"/>
          <w:sz w:val="24"/>
          <w:szCs w:val="24"/>
        </w:rPr>
        <w:t xml:space="preserve"> </w:t>
      </w:r>
      <w:r w:rsidRPr="00ED5E17">
        <w:rPr>
          <w:rFonts w:ascii="Times New Roman" w:hAnsi="Times New Roman"/>
          <w:bCs/>
          <w:sz w:val="24"/>
          <w:szCs w:val="24"/>
        </w:rPr>
        <w:t>8</w:t>
      </w:r>
      <w:r w:rsidRPr="00ED5E17">
        <w:rPr>
          <w:rFonts w:ascii="Times New Roman" w:hAnsi="Times New Roman"/>
          <w:sz w:val="24"/>
          <w:szCs w:val="24"/>
        </w:rPr>
        <w:t>:9. http://www.biomedcentral.com/1472-6785/8/9</w:t>
      </w:r>
    </w:p>
    <w:p w:rsidR="00FE4D5B" w:rsidRPr="002441B1" w:rsidRDefault="00FE4D5B" w:rsidP="000F62FF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441B1">
        <w:rPr>
          <w:rFonts w:ascii="Times New Roman" w:hAnsi="Times New Roman" w:cs="Times New Roman"/>
          <w:sz w:val="24"/>
          <w:szCs w:val="24"/>
        </w:rPr>
        <w:t>Umetsu</w:t>
      </w:r>
      <w:proofErr w:type="spellEnd"/>
      <w:r w:rsidRPr="002441B1">
        <w:rPr>
          <w:rFonts w:ascii="Times New Roman" w:hAnsi="Times New Roman" w:cs="Times New Roman"/>
          <w:sz w:val="24"/>
          <w:szCs w:val="24"/>
        </w:rPr>
        <w:t xml:space="preserve"> U, Metzger JP, </w:t>
      </w:r>
      <w:proofErr w:type="spellStart"/>
      <w:r w:rsidRPr="002441B1">
        <w:rPr>
          <w:rFonts w:ascii="Times New Roman" w:hAnsi="Times New Roman" w:cs="Times New Roman"/>
          <w:sz w:val="24"/>
          <w:szCs w:val="24"/>
        </w:rPr>
        <w:t>Pardini</w:t>
      </w:r>
      <w:proofErr w:type="spellEnd"/>
      <w:r w:rsidRPr="002441B1">
        <w:rPr>
          <w:rFonts w:ascii="Times New Roman" w:hAnsi="Times New Roman" w:cs="Times New Roman"/>
          <w:sz w:val="24"/>
          <w:szCs w:val="24"/>
        </w:rPr>
        <w:t xml:space="preserve"> R (2008) Importance of estimating matrix quality for modeling species distribution in complex tropical landscapes: a test with Atlantic forest small mammals. </w:t>
      </w:r>
      <w:proofErr w:type="spellStart"/>
      <w:r w:rsidRPr="002441B1">
        <w:rPr>
          <w:rFonts w:ascii="Times New Roman" w:hAnsi="Times New Roman" w:cs="Times New Roman"/>
          <w:sz w:val="24"/>
          <w:szCs w:val="24"/>
        </w:rPr>
        <w:t>Ecography</w:t>
      </w:r>
      <w:proofErr w:type="spellEnd"/>
      <w:r w:rsidRPr="002441B1">
        <w:rPr>
          <w:rFonts w:ascii="Times New Roman" w:hAnsi="Times New Roman" w:cs="Times New Roman"/>
          <w:sz w:val="24"/>
          <w:szCs w:val="24"/>
        </w:rPr>
        <w:t xml:space="preserve"> 31: 359-370</w:t>
      </w:r>
    </w:p>
    <w:p w:rsidR="00912836" w:rsidRPr="00BE5131" w:rsidRDefault="00912836" w:rsidP="009128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2836" w:rsidRPr="00BE5131" w:rsidSect="0097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2A73"/>
    <w:rsid w:val="000007FB"/>
    <w:rsid w:val="00002403"/>
    <w:rsid w:val="00004816"/>
    <w:rsid w:val="00006F88"/>
    <w:rsid w:val="00010948"/>
    <w:rsid w:val="0001307B"/>
    <w:rsid w:val="00017415"/>
    <w:rsid w:val="000209F0"/>
    <w:rsid w:val="000234DA"/>
    <w:rsid w:val="0002792C"/>
    <w:rsid w:val="00075CBF"/>
    <w:rsid w:val="00086F79"/>
    <w:rsid w:val="000B04D6"/>
    <w:rsid w:val="000C1893"/>
    <w:rsid w:val="000C5A95"/>
    <w:rsid w:val="000C7FED"/>
    <w:rsid w:val="000D293D"/>
    <w:rsid w:val="000F0241"/>
    <w:rsid w:val="000F4658"/>
    <w:rsid w:val="000F62FF"/>
    <w:rsid w:val="000F703F"/>
    <w:rsid w:val="00101755"/>
    <w:rsid w:val="001077D3"/>
    <w:rsid w:val="00117ABB"/>
    <w:rsid w:val="00123817"/>
    <w:rsid w:val="0014124C"/>
    <w:rsid w:val="00142EC0"/>
    <w:rsid w:val="00154214"/>
    <w:rsid w:val="00154872"/>
    <w:rsid w:val="001611C2"/>
    <w:rsid w:val="001653CB"/>
    <w:rsid w:val="001727F3"/>
    <w:rsid w:val="00180E94"/>
    <w:rsid w:val="00187A1B"/>
    <w:rsid w:val="0019367B"/>
    <w:rsid w:val="001A1A5E"/>
    <w:rsid w:val="001A576A"/>
    <w:rsid w:val="001A6139"/>
    <w:rsid w:val="001A6AF9"/>
    <w:rsid w:val="001B5AA1"/>
    <w:rsid w:val="001C197E"/>
    <w:rsid w:val="001C4060"/>
    <w:rsid w:val="001C4CF6"/>
    <w:rsid w:val="001D03D0"/>
    <w:rsid w:val="001D1D1D"/>
    <w:rsid w:val="001D2CB0"/>
    <w:rsid w:val="001D5198"/>
    <w:rsid w:val="001D78B5"/>
    <w:rsid w:val="001E0F08"/>
    <w:rsid w:val="001E1BD7"/>
    <w:rsid w:val="001E372B"/>
    <w:rsid w:val="001F3077"/>
    <w:rsid w:val="00207E5F"/>
    <w:rsid w:val="00224137"/>
    <w:rsid w:val="00225804"/>
    <w:rsid w:val="0023345C"/>
    <w:rsid w:val="00246615"/>
    <w:rsid w:val="00252356"/>
    <w:rsid w:val="00252366"/>
    <w:rsid w:val="00260FDB"/>
    <w:rsid w:val="00263099"/>
    <w:rsid w:val="002635CE"/>
    <w:rsid w:val="002674E0"/>
    <w:rsid w:val="0027161C"/>
    <w:rsid w:val="00273AD8"/>
    <w:rsid w:val="00286DB4"/>
    <w:rsid w:val="002A31AB"/>
    <w:rsid w:val="002A4B4A"/>
    <w:rsid w:val="002A5039"/>
    <w:rsid w:val="002B7898"/>
    <w:rsid w:val="002C7CEE"/>
    <w:rsid w:val="002D2297"/>
    <w:rsid w:val="002D5F71"/>
    <w:rsid w:val="002E059C"/>
    <w:rsid w:val="002E7D1C"/>
    <w:rsid w:val="002F1F35"/>
    <w:rsid w:val="002F4BFD"/>
    <w:rsid w:val="002F6C7F"/>
    <w:rsid w:val="00303A7D"/>
    <w:rsid w:val="00304644"/>
    <w:rsid w:val="0031427B"/>
    <w:rsid w:val="0032165C"/>
    <w:rsid w:val="00321AF6"/>
    <w:rsid w:val="00321C98"/>
    <w:rsid w:val="0033161F"/>
    <w:rsid w:val="00335F2A"/>
    <w:rsid w:val="003407AB"/>
    <w:rsid w:val="003411BB"/>
    <w:rsid w:val="0036058C"/>
    <w:rsid w:val="003650BC"/>
    <w:rsid w:val="00377586"/>
    <w:rsid w:val="00382AAB"/>
    <w:rsid w:val="003908FF"/>
    <w:rsid w:val="00396717"/>
    <w:rsid w:val="003A2E21"/>
    <w:rsid w:val="003B12E4"/>
    <w:rsid w:val="003C0D31"/>
    <w:rsid w:val="003C30C9"/>
    <w:rsid w:val="003D236E"/>
    <w:rsid w:val="003D2772"/>
    <w:rsid w:val="003D28EF"/>
    <w:rsid w:val="003E1274"/>
    <w:rsid w:val="003E2454"/>
    <w:rsid w:val="003E2F93"/>
    <w:rsid w:val="003F0951"/>
    <w:rsid w:val="0041208E"/>
    <w:rsid w:val="004135E4"/>
    <w:rsid w:val="00416349"/>
    <w:rsid w:val="00427BAC"/>
    <w:rsid w:val="00445CCA"/>
    <w:rsid w:val="00446E4A"/>
    <w:rsid w:val="004515D5"/>
    <w:rsid w:val="00455227"/>
    <w:rsid w:val="0045533C"/>
    <w:rsid w:val="00457AED"/>
    <w:rsid w:val="00462FD5"/>
    <w:rsid w:val="00464158"/>
    <w:rsid w:val="004737CB"/>
    <w:rsid w:val="00474ECE"/>
    <w:rsid w:val="00475659"/>
    <w:rsid w:val="00480301"/>
    <w:rsid w:val="00480EB4"/>
    <w:rsid w:val="0049052C"/>
    <w:rsid w:val="00491CAC"/>
    <w:rsid w:val="004A0705"/>
    <w:rsid w:val="004A33C9"/>
    <w:rsid w:val="004B1B58"/>
    <w:rsid w:val="004C00CC"/>
    <w:rsid w:val="004C0F2C"/>
    <w:rsid w:val="004C10AB"/>
    <w:rsid w:val="004C2B7A"/>
    <w:rsid w:val="004C3F95"/>
    <w:rsid w:val="004C4067"/>
    <w:rsid w:val="004C4A46"/>
    <w:rsid w:val="004D5031"/>
    <w:rsid w:val="004D7785"/>
    <w:rsid w:val="004E72C8"/>
    <w:rsid w:val="004F080E"/>
    <w:rsid w:val="004F1FA2"/>
    <w:rsid w:val="004F779F"/>
    <w:rsid w:val="005163F8"/>
    <w:rsid w:val="005175D7"/>
    <w:rsid w:val="00531839"/>
    <w:rsid w:val="00531B09"/>
    <w:rsid w:val="005332AD"/>
    <w:rsid w:val="00537CFA"/>
    <w:rsid w:val="00545717"/>
    <w:rsid w:val="00547587"/>
    <w:rsid w:val="00566C12"/>
    <w:rsid w:val="00580C50"/>
    <w:rsid w:val="0058490C"/>
    <w:rsid w:val="00585F25"/>
    <w:rsid w:val="00593A6B"/>
    <w:rsid w:val="005A1FA8"/>
    <w:rsid w:val="005B01D1"/>
    <w:rsid w:val="005B798C"/>
    <w:rsid w:val="005C5260"/>
    <w:rsid w:val="005D6E9A"/>
    <w:rsid w:val="005E593F"/>
    <w:rsid w:val="006123C3"/>
    <w:rsid w:val="00630639"/>
    <w:rsid w:val="0063290F"/>
    <w:rsid w:val="00655AE1"/>
    <w:rsid w:val="00655B47"/>
    <w:rsid w:val="006940EA"/>
    <w:rsid w:val="00695E46"/>
    <w:rsid w:val="006972EA"/>
    <w:rsid w:val="006A1A08"/>
    <w:rsid w:val="006A3194"/>
    <w:rsid w:val="006B2BEC"/>
    <w:rsid w:val="006B50A8"/>
    <w:rsid w:val="006B6609"/>
    <w:rsid w:val="006B6F00"/>
    <w:rsid w:val="006C254C"/>
    <w:rsid w:val="006D32D9"/>
    <w:rsid w:val="006D5CCB"/>
    <w:rsid w:val="006E3631"/>
    <w:rsid w:val="0070601C"/>
    <w:rsid w:val="00716136"/>
    <w:rsid w:val="007214F8"/>
    <w:rsid w:val="00730CC7"/>
    <w:rsid w:val="007316E3"/>
    <w:rsid w:val="007479FC"/>
    <w:rsid w:val="00747CB5"/>
    <w:rsid w:val="00747EF1"/>
    <w:rsid w:val="007511A2"/>
    <w:rsid w:val="0075164B"/>
    <w:rsid w:val="00752DF0"/>
    <w:rsid w:val="007538F5"/>
    <w:rsid w:val="00757D54"/>
    <w:rsid w:val="00760D72"/>
    <w:rsid w:val="0076524A"/>
    <w:rsid w:val="007666F8"/>
    <w:rsid w:val="00767AEC"/>
    <w:rsid w:val="00772126"/>
    <w:rsid w:val="0077743C"/>
    <w:rsid w:val="00796991"/>
    <w:rsid w:val="00797D9F"/>
    <w:rsid w:val="007A2E14"/>
    <w:rsid w:val="007A51CB"/>
    <w:rsid w:val="007A5851"/>
    <w:rsid w:val="007A780F"/>
    <w:rsid w:val="007B49E7"/>
    <w:rsid w:val="007B71F5"/>
    <w:rsid w:val="007C1A42"/>
    <w:rsid w:val="007C3315"/>
    <w:rsid w:val="007C7BD7"/>
    <w:rsid w:val="007D2D7D"/>
    <w:rsid w:val="007D3567"/>
    <w:rsid w:val="007E370A"/>
    <w:rsid w:val="007F2711"/>
    <w:rsid w:val="007F3AB7"/>
    <w:rsid w:val="0083767E"/>
    <w:rsid w:val="008379C4"/>
    <w:rsid w:val="00843839"/>
    <w:rsid w:val="00843B18"/>
    <w:rsid w:val="00860D4C"/>
    <w:rsid w:val="00862266"/>
    <w:rsid w:val="00863CC7"/>
    <w:rsid w:val="008877B8"/>
    <w:rsid w:val="008A1625"/>
    <w:rsid w:val="008A35E7"/>
    <w:rsid w:val="008A5AEC"/>
    <w:rsid w:val="008B2AD7"/>
    <w:rsid w:val="008C096D"/>
    <w:rsid w:val="008C163C"/>
    <w:rsid w:val="008D54C7"/>
    <w:rsid w:val="008D7810"/>
    <w:rsid w:val="008E75D7"/>
    <w:rsid w:val="008F7CC6"/>
    <w:rsid w:val="00912836"/>
    <w:rsid w:val="00921152"/>
    <w:rsid w:val="00937673"/>
    <w:rsid w:val="0093790D"/>
    <w:rsid w:val="0094479D"/>
    <w:rsid w:val="00950ABF"/>
    <w:rsid w:val="00972996"/>
    <w:rsid w:val="009747E9"/>
    <w:rsid w:val="00977BFE"/>
    <w:rsid w:val="00981F05"/>
    <w:rsid w:val="00983486"/>
    <w:rsid w:val="00984DFB"/>
    <w:rsid w:val="00985AAC"/>
    <w:rsid w:val="00985D66"/>
    <w:rsid w:val="00991DE3"/>
    <w:rsid w:val="00992FA2"/>
    <w:rsid w:val="009A283B"/>
    <w:rsid w:val="009B08BF"/>
    <w:rsid w:val="009C0B30"/>
    <w:rsid w:val="009C0DD5"/>
    <w:rsid w:val="009D09A3"/>
    <w:rsid w:val="00A035D1"/>
    <w:rsid w:val="00A11115"/>
    <w:rsid w:val="00A17ECC"/>
    <w:rsid w:val="00A20201"/>
    <w:rsid w:val="00A35BB1"/>
    <w:rsid w:val="00A36113"/>
    <w:rsid w:val="00A36763"/>
    <w:rsid w:val="00A413DA"/>
    <w:rsid w:val="00A47641"/>
    <w:rsid w:val="00A65BD1"/>
    <w:rsid w:val="00A74391"/>
    <w:rsid w:val="00A745B1"/>
    <w:rsid w:val="00A83744"/>
    <w:rsid w:val="00A957F6"/>
    <w:rsid w:val="00AA0E4D"/>
    <w:rsid w:val="00AA2CB2"/>
    <w:rsid w:val="00AD140C"/>
    <w:rsid w:val="00AD4F7C"/>
    <w:rsid w:val="00AD62CA"/>
    <w:rsid w:val="00AE1AFF"/>
    <w:rsid w:val="00AE263D"/>
    <w:rsid w:val="00AE5F65"/>
    <w:rsid w:val="00AF289D"/>
    <w:rsid w:val="00AF31BE"/>
    <w:rsid w:val="00B02298"/>
    <w:rsid w:val="00B12B7C"/>
    <w:rsid w:val="00B225C9"/>
    <w:rsid w:val="00B41FB9"/>
    <w:rsid w:val="00B44FBE"/>
    <w:rsid w:val="00B52E95"/>
    <w:rsid w:val="00B54484"/>
    <w:rsid w:val="00B6756A"/>
    <w:rsid w:val="00B70949"/>
    <w:rsid w:val="00B752F1"/>
    <w:rsid w:val="00B87858"/>
    <w:rsid w:val="00B92B51"/>
    <w:rsid w:val="00B96508"/>
    <w:rsid w:val="00B97265"/>
    <w:rsid w:val="00BA2B02"/>
    <w:rsid w:val="00BA2FD4"/>
    <w:rsid w:val="00BC3E72"/>
    <w:rsid w:val="00BC5B35"/>
    <w:rsid w:val="00BC7531"/>
    <w:rsid w:val="00BD2C1F"/>
    <w:rsid w:val="00BD69C8"/>
    <w:rsid w:val="00BE40C6"/>
    <w:rsid w:val="00BE486C"/>
    <w:rsid w:val="00BE4A15"/>
    <w:rsid w:val="00BE5131"/>
    <w:rsid w:val="00BF3DB4"/>
    <w:rsid w:val="00BF74F6"/>
    <w:rsid w:val="00C21C67"/>
    <w:rsid w:val="00C31372"/>
    <w:rsid w:val="00C350E0"/>
    <w:rsid w:val="00C36457"/>
    <w:rsid w:val="00C44C09"/>
    <w:rsid w:val="00C52F15"/>
    <w:rsid w:val="00C605C0"/>
    <w:rsid w:val="00C60DC3"/>
    <w:rsid w:val="00C62D45"/>
    <w:rsid w:val="00C62FBC"/>
    <w:rsid w:val="00C7321F"/>
    <w:rsid w:val="00C73231"/>
    <w:rsid w:val="00C767BC"/>
    <w:rsid w:val="00C80A51"/>
    <w:rsid w:val="00C82165"/>
    <w:rsid w:val="00C8464B"/>
    <w:rsid w:val="00C8726E"/>
    <w:rsid w:val="00C914AE"/>
    <w:rsid w:val="00C91E3D"/>
    <w:rsid w:val="00CA181D"/>
    <w:rsid w:val="00CA1BB0"/>
    <w:rsid w:val="00CA3D9F"/>
    <w:rsid w:val="00CB71F4"/>
    <w:rsid w:val="00CD2A8D"/>
    <w:rsid w:val="00CE40DB"/>
    <w:rsid w:val="00CF0D80"/>
    <w:rsid w:val="00D0275C"/>
    <w:rsid w:val="00D03144"/>
    <w:rsid w:val="00D32BB9"/>
    <w:rsid w:val="00D37E8F"/>
    <w:rsid w:val="00D67B6B"/>
    <w:rsid w:val="00D730D5"/>
    <w:rsid w:val="00D7634F"/>
    <w:rsid w:val="00D865A9"/>
    <w:rsid w:val="00D96987"/>
    <w:rsid w:val="00DA20B2"/>
    <w:rsid w:val="00DB1500"/>
    <w:rsid w:val="00DB6428"/>
    <w:rsid w:val="00DC5D0E"/>
    <w:rsid w:val="00DC644E"/>
    <w:rsid w:val="00DC6DCF"/>
    <w:rsid w:val="00DD0802"/>
    <w:rsid w:val="00DD1FF2"/>
    <w:rsid w:val="00DD57C4"/>
    <w:rsid w:val="00DE1CCA"/>
    <w:rsid w:val="00DF067B"/>
    <w:rsid w:val="00DF268E"/>
    <w:rsid w:val="00DF6F40"/>
    <w:rsid w:val="00E05449"/>
    <w:rsid w:val="00E12145"/>
    <w:rsid w:val="00E1547E"/>
    <w:rsid w:val="00E32A73"/>
    <w:rsid w:val="00E40957"/>
    <w:rsid w:val="00E4170B"/>
    <w:rsid w:val="00E417B5"/>
    <w:rsid w:val="00E60FC1"/>
    <w:rsid w:val="00E70095"/>
    <w:rsid w:val="00E71F80"/>
    <w:rsid w:val="00E7593A"/>
    <w:rsid w:val="00E75D4A"/>
    <w:rsid w:val="00E77051"/>
    <w:rsid w:val="00E85A5A"/>
    <w:rsid w:val="00E87F33"/>
    <w:rsid w:val="00EB75F0"/>
    <w:rsid w:val="00EC286E"/>
    <w:rsid w:val="00ED2368"/>
    <w:rsid w:val="00ED3EBB"/>
    <w:rsid w:val="00EE2941"/>
    <w:rsid w:val="00EE6014"/>
    <w:rsid w:val="00EF62B1"/>
    <w:rsid w:val="00EF6E71"/>
    <w:rsid w:val="00F04B0D"/>
    <w:rsid w:val="00F06802"/>
    <w:rsid w:val="00F1015D"/>
    <w:rsid w:val="00F1199D"/>
    <w:rsid w:val="00F21674"/>
    <w:rsid w:val="00F30935"/>
    <w:rsid w:val="00F3246C"/>
    <w:rsid w:val="00F378E8"/>
    <w:rsid w:val="00F460D0"/>
    <w:rsid w:val="00F60738"/>
    <w:rsid w:val="00F626B4"/>
    <w:rsid w:val="00F70549"/>
    <w:rsid w:val="00F716ED"/>
    <w:rsid w:val="00F76EA2"/>
    <w:rsid w:val="00F77172"/>
    <w:rsid w:val="00F80205"/>
    <w:rsid w:val="00F80936"/>
    <w:rsid w:val="00F8431D"/>
    <w:rsid w:val="00FA0E3F"/>
    <w:rsid w:val="00FB2001"/>
    <w:rsid w:val="00FB6017"/>
    <w:rsid w:val="00FC41D5"/>
    <w:rsid w:val="00FD5957"/>
    <w:rsid w:val="00FD7A7D"/>
    <w:rsid w:val="00FE05B0"/>
    <w:rsid w:val="00FE4182"/>
    <w:rsid w:val="00FE4D5B"/>
    <w:rsid w:val="00FF2595"/>
    <w:rsid w:val="00FF31F7"/>
    <w:rsid w:val="00FF5902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BE5131"/>
    <w:pPr>
      <w:spacing w:line="240" w:lineRule="auto"/>
    </w:pPr>
    <w:rPr>
      <w:rFonts w:ascii="Calibri" w:eastAsia="Calibri" w:hAnsi="Calibri" w:cs="Times New Roman"/>
      <w:sz w:val="20"/>
      <w:szCs w:val="20"/>
      <w:lang w:val="en-AU" w:eastAsia="pt-BR"/>
    </w:rPr>
  </w:style>
  <w:style w:type="character" w:customStyle="1" w:styleId="CommentTextChar">
    <w:name w:val="Comment Text Char"/>
    <w:basedOn w:val="DefaultParagraphFont"/>
    <w:link w:val="CommentText"/>
    <w:semiHidden/>
    <w:rsid w:val="00BE5131"/>
    <w:rPr>
      <w:rFonts w:ascii="Calibri" w:eastAsia="Calibri" w:hAnsi="Calibri" w:cs="Times New Roman"/>
      <w:sz w:val="20"/>
      <w:szCs w:val="20"/>
      <w:lang w:val="en-AU" w:eastAsia="pt-BR"/>
    </w:rPr>
  </w:style>
  <w:style w:type="table" w:styleId="TableGrid">
    <w:name w:val="Table Grid"/>
    <w:basedOn w:val="TableNormal"/>
    <w:rsid w:val="00BE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BE513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32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6ED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6ED"/>
    <w:rPr>
      <w:rFonts w:ascii="Calibri" w:eastAsia="Calibri" w:hAnsi="Calibri" w:cs="Times New Roman"/>
      <w:b/>
      <w:bCs/>
      <w:sz w:val="20"/>
      <w:szCs w:val="20"/>
      <w:lang w:val="en-AU" w:eastAsia="pt-BR"/>
    </w:rPr>
  </w:style>
  <w:style w:type="character" w:customStyle="1" w:styleId="hps">
    <w:name w:val="hps"/>
    <w:basedOn w:val="DefaultParagraphFont"/>
    <w:rsid w:val="00F771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E5131"/>
    <w:pPr>
      <w:spacing w:line="240" w:lineRule="auto"/>
    </w:pPr>
    <w:rPr>
      <w:rFonts w:ascii="Calibri" w:eastAsia="Calibri" w:hAnsi="Calibri" w:cs="Times New Roman"/>
      <w:sz w:val="20"/>
      <w:szCs w:val="20"/>
      <w:lang w:val="en-AU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131"/>
    <w:rPr>
      <w:rFonts w:ascii="Calibri" w:eastAsia="Calibri" w:hAnsi="Calibri" w:cs="Times New Roman"/>
      <w:sz w:val="20"/>
      <w:szCs w:val="20"/>
      <w:lang w:val="en-AU" w:eastAsia="pt-BR"/>
    </w:rPr>
  </w:style>
  <w:style w:type="table" w:styleId="TableGrid">
    <w:name w:val="Table Grid"/>
    <w:basedOn w:val="TableNormal"/>
    <w:rsid w:val="00BE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BE513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32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6ED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6ED"/>
    <w:rPr>
      <w:rFonts w:ascii="Calibri" w:eastAsia="Calibri" w:hAnsi="Calibri" w:cs="Times New Roman"/>
      <w:b/>
      <w:bCs/>
      <w:sz w:val="20"/>
      <w:szCs w:val="20"/>
      <w:lang w:val="en-AU" w:eastAsia="pt-BR"/>
    </w:rPr>
  </w:style>
  <w:style w:type="character" w:customStyle="1" w:styleId="hps">
    <w:name w:val="hps"/>
    <w:basedOn w:val="DefaultParagraphFont"/>
    <w:rsid w:val="00F77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Prist</dc:creator>
  <cp:lastModifiedBy>Paula Prist</cp:lastModifiedBy>
  <cp:revision>4</cp:revision>
  <dcterms:created xsi:type="dcterms:W3CDTF">2016-09-12T14:28:00Z</dcterms:created>
  <dcterms:modified xsi:type="dcterms:W3CDTF">2016-09-12T14:30:00Z</dcterms:modified>
</cp:coreProperties>
</file>