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41" w:rsidRPr="00E538C1" w:rsidRDefault="00423241" w:rsidP="00423241">
      <w:pPr>
        <w:spacing w:line="480" w:lineRule="auto"/>
        <w:ind w:firstLine="709"/>
        <w:jc w:val="center"/>
        <w:rPr>
          <w:lang w:val="en-US"/>
        </w:rPr>
      </w:pPr>
    </w:p>
    <w:p w:rsidR="00423241" w:rsidRPr="00E538C1" w:rsidRDefault="00423241" w:rsidP="00423241">
      <w:pPr>
        <w:pStyle w:val="NormalWeb"/>
        <w:spacing w:line="480" w:lineRule="auto"/>
        <w:jc w:val="center"/>
        <w:rPr>
          <w:lang w:val="en-US"/>
        </w:rPr>
      </w:pPr>
      <w:bookmarkStart w:id="0" w:name="_GoBack"/>
      <w:r w:rsidRPr="00E538C1">
        <w:rPr>
          <w:rStyle w:val="goog-gtc-translatable"/>
          <w:lang w:val="en-US"/>
        </w:rPr>
        <w:t>Translation, Adaptation and Validation of the brief Sexuality Scale in Colombian and Spanish Populations.</w:t>
      </w:r>
    </w:p>
    <w:bookmarkEnd w:id="0"/>
    <w:p w:rsidR="00423241" w:rsidRPr="00491DA7" w:rsidRDefault="00423241" w:rsidP="00423241">
      <w:pPr>
        <w:spacing w:line="480" w:lineRule="auto"/>
        <w:ind w:firstLine="709"/>
        <w:jc w:val="center"/>
        <w:rPr>
          <w:lang w:val="es-CO"/>
        </w:rPr>
      </w:pPr>
      <w:r w:rsidRPr="00491DA7">
        <w:rPr>
          <w:lang w:val="es-CO"/>
        </w:rPr>
        <w:t>Franklin Soler</w:t>
      </w:r>
      <w:r w:rsidRPr="00491DA7">
        <w:rPr>
          <w:vertAlign w:val="superscript"/>
          <w:lang w:val="es-CO"/>
        </w:rPr>
        <w:t>1</w:t>
      </w:r>
      <w:r w:rsidRPr="00491DA7">
        <w:rPr>
          <w:lang w:val="es-CO"/>
        </w:rPr>
        <w:t xml:space="preserve"> </w:t>
      </w:r>
    </w:p>
    <w:p w:rsidR="00423241" w:rsidRPr="00491DA7" w:rsidRDefault="00423241" w:rsidP="00423241">
      <w:pPr>
        <w:spacing w:line="480" w:lineRule="auto"/>
        <w:ind w:firstLine="709"/>
        <w:jc w:val="center"/>
        <w:rPr>
          <w:lang w:val="es-CO"/>
        </w:rPr>
      </w:pPr>
      <w:r w:rsidRPr="00491DA7">
        <w:rPr>
          <w:lang w:val="es-CO"/>
        </w:rPr>
        <w:t>Mayra Gómez-Lugo</w:t>
      </w:r>
      <w:r w:rsidRPr="00491DA7">
        <w:rPr>
          <w:vertAlign w:val="superscript"/>
          <w:lang w:val="es-CO"/>
        </w:rPr>
        <w:t>2</w:t>
      </w:r>
      <w:r w:rsidRPr="00491DA7">
        <w:rPr>
          <w:lang w:val="es-CO"/>
        </w:rPr>
        <w:t>, José P. Espada</w:t>
      </w:r>
      <w:r w:rsidRPr="00491DA7">
        <w:rPr>
          <w:vertAlign w:val="superscript"/>
          <w:lang w:val="es-CO"/>
        </w:rPr>
        <w:t>3</w:t>
      </w:r>
      <w:r w:rsidRPr="00491DA7">
        <w:rPr>
          <w:lang w:val="es-CO"/>
        </w:rPr>
        <w:t>, Alexandra Morales</w:t>
      </w:r>
      <w:r w:rsidRPr="00491DA7">
        <w:rPr>
          <w:vertAlign w:val="superscript"/>
          <w:lang w:val="es-CO"/>
        </w:rPr>
        <w:t>3</w:t>
      </w:r>
      <w:r w:rsidRPr="00491DA7">
        <w:rPr>
          <w:lang w:val="es-CO"/>
        </w:rPr>
        <w:t>, Juan Carlos Sierra</w:t>
      </w:r>
      <w:r w:rsidRPr="00491DA7">
        <w:rPr>
          <w:vertAlign w:val="superscript"/>
          <w:lang w:val="es-CO"/>
        </w:rPr>
        <w:t>4</w:t>
      </w:r>
      <w:r w:rsidRPr="00491DA7">
        <w:rPr>
          <w:lang w:val="es-CO"/>
        </w:rPr>
        <w:t>, Laurent Marchal-Bertrand</w:t>
      </w:r>
      <w:r w:rsidRPr="00491DA7">
        <w:rPr>
          <w:vertAlign w:val="superscript"/>
          <w:lang w:val="es-CO"/>
        </w:rPr>
        <w:t>2</w:t>
      </w:r>
      <w:r w:rsidRPr="00491DA7">
        <w:rPr>
          <w:lang w:val="es-CO"/>
        </w:rPr>
        <w:t>, Pablo Vallejo-Medina</w:t>
      </w:r>
      <w:r w:rsidRPr="00491DA7">
        <w:rPr>
          <w:vertAlign w:val="superscript"/>
          <w:lang w:val="es-CO"/>
        </w:rPr>
        <w:t>2</w:t>
      </w:r>
      <w:r w:rsidRPr="00491DA7">
        <w:rPr>
          <w:lang w:val="es-CO"/>
        </w:rPr>
        <w:t>.</w:t>
      </w:r>
    </w:p>
    <w:p w:rsidR="00423241" w:rsidRPr="00491DA7" w:rsidRDefault="00423241" w:rsidP="00423241">
      <w:pPr>
        <w:spacing w:line="480" w:lineRule="auto"/>
        <w:ind w:firstLine="709"/>
        <w:jc w:val="center"/>
        <w:rPr>
          <w:lang w:val="es-CO"/>
        </w:rPr>
      </w:pPr>
    </w:p>
    <w:p w:rsidR="00423241" w:rsidRPr="00E538C1" w:rsidRDefault="00423241" w:rsidP="00423241">
      <w:pPr>
        <w:spacing w:line="480" w:lineRule="auto"/>
        <w:ind w:firstLine="709"/>
        <w:jc w:val="center"/>
        <w:rPr>
          <w:lang w:val="en-US"/>
        </w:rPr>
      </w:pPr>
      <w:r w:rsidRPr="00E538C1">
        <w:rPr>
          <w:vertAlign w:val="superscript"/>
          <w:lang w:val="en-US"/>
        </w:rPr>
        <w:t>1</w:t>
      </w:r>
      <w:r w:rsidRPr="00E538C1">
        <w:rPr>
          <w:lang w:val="en-US"/>
        </w:rPr>
        <w:t>School of Medicine and Health Sciences, School of Psychology, Universidad del Rosario, Bogotá, Colombia.</w:t>
      </w:r>
    </w:p>
    <w:p w:rsidR="00423241" w:rsidRPr="00E538C1" w:rsidRDefault="00423241" w:rsidP="00423241">
      <w:pPr>
        <w:spacing w:line="480" w:lineRule="auto"/>
        <w:ind w:firstLine="709"/>
        <w:jc w:val="center"/>
        <w:rPr>
          <w:lang w:val="en-US"/>
        </w:rPr>
      </w:pPr>
      <w:r w:rsidRPr="00E538C1">
        <w:rPr>
          <w:vertAlign w:val="superscript"/>
          <w:lang w:val="en-US"/>
        </w:rPr>
        <w:t>2</w:t>
      </w:r>
      <w:r w:rsidRPr="00E538C1">
        <w:rPr>
          <w:lang w:val="en-US"/>
        </w:rPr>
        <w:t>SexLabKL, School of Psychology, Fundación Universitaria Konrad Lorenz; Bogotá, Colombia.</w:t>
      </w:r>
    </w:p>
    <w:p w:rsidR="00423241" w:rsidRPr="00E538C1" w:rsidRDefault="00423241" w:rsidP="00423241">
      <w:pPr>
        <w:spacing w:line="480" w:lineRule="auto"/>
        <w:ind w:firstLine="709"/>
        <w:jc w:val="center"/>
        <w:rPr>
          <w:lang w:val="en-US"/>
        </w:rPr>
      </w:pPr>
      <w:r w:rsidRPr="00E538C1">
        <w:rPr>
          <w:vertAlign w:val="superscript"/>
          <w:lang w:val="en-US"/>
        </w:rPr>
        <w:t>3</w:t>
      </w:r>
      <w:r w:rsidRPr="00E538C1">
        <w:rPr>
          <w:lang w:val="en-US"/>
        </w:rPr>
        <w:t>Department of Health Psychology, Miguel Hernández University; Elche, España</w:t>
      </w:r>
    </w:p>
    <w:p w:rsidR="00423241" w:rsidRPr="00E538C1" w:rsidRDefault="00423241" w:rsidP="00423241">
      <w:pPr>
        <w:spacing w:line="480" w:lineRule="auto"/>
        <w:ind w:firstLine="709"/>
        <w:jc w:val="center"/>
        <w:rPr>
          <w:lang w:val="en-US"/>
        </w:rPr>
      </w:pPr>
      <w:r w:rsidRPr="00E538C1">
        <w:rPr>
          <w:vertAlign w:val="superscript"/>
          <w:lang w:val="en-US"/>
        </w:rPr>
        <w:t xml:space="preserve">4 </w:t>
      </w:r>
      <w:r w:rsidRPr="00E538C1">
        <w:rPr>
          <w:lang w:val="en-US"/>
        </w:rPr>
        <w:t>Mind, Brain and Behavior Research Center (CIMCYC), Universidad de Granada, Granada, España</w:t>
      </w:r>
    </w:p>
    <w:p w:rsidR="00423241" w:rsidRPr="00E538C1" w:rsidRDefault="00423241" w:rsidP="00423241">
      <w:pPr>
        <w:spacing w:line="480" w:lineRule="auto"/>
        <w:ind w:firstLine="709"/>
        <w:jc w:val="center"/>
        <w:rPr>
          <w:lang w:val="en-US"/>
        </w:rPr>
      </w:pPr>
      <w:r w:rsidRPr="00E538C1">
        <w:rPr>
          <w:lang w:val="en-US"/>
        </w:rPr>
        <w:t xml:space="preserve"> </w:t>
      </w:r>
    </w:p>
    <w:p w:rsidR="00423241" w:rsidRPr="00E538C1" w:rsidRDefault="00CB2935" w:rsidP="00423241">
      <w:pPr>
        <w:spacing w:line="480" w:lineRule="auto"/>
        <w:ind w:firstLine="709"/>
        <w:jc w:val="center"/>
        <w:rPr>
          <w:shd w:val="clear" w:color="auto" w:fill="FFFFFF"/>
          <w:lang w:val="en-US"/>
        </w:rPr>
      </w:pPr>
      <w:hyperlink r:id="rId6" w:history="1">
        <w:r w:rsidR="00423241" w:rsidRPr="00E538C1">
          <w:rPr>
            <w:rStyle w:val="Hipervnculo"/>
            <w:color w:val="auto"/>
            <w:shd w:val="clear" w:color="auto" w:fill="FFFFFF"/>
            <w:lang w:val="en-US"/>
          </w:rPr>
          <w:t>franklin.soler@urosario.edu.co</w:t>
        </w:r>
      </w:hyperlink>
    </w:p>
    <w:p w:rsidR="00423241" w:rsidRPr="00E538C1" w:rsidRDefault="00CB2935" w:rsidP="00423241">
      <w:pPr>
        <w:spacing w:line="480" w:lineRule="auto"/>
        <w:ind w:firstLine="709"/>
        <w:jc w:val="center"/>
        <w:rPr>
          <w:shd w:val="clear" w:color="auto" w:fill="FFFFFF"/>
          <w:lang w:val="en-US"/>
        </w:rPr>
      </w:pPr>
      <w:hyperlink r:id="rId7" w:history="1">
        <w:r w:rsidR="00423241" w:rsidRPr="00E538C1">
          <w:rPr>
            <w:rStyle w:val="Hipervnculo"/>
            <w:color w:val="auto"/>
            <w:shd w:val="clear" w:color="auto" w:fill="FFFFFF"/>
            <w:lang w:val="en-US"/>
          </w:rPr>
          <w:t>mayraa.gomezl@konradlorenz.edu.co</w:t>
        </w:r>
      </w:hyperlink>
    </w:p>
    <w:p w:rsidR="00423241" w:rsidRPr="00E538C1" w:rsidRDefault="00CB2935" w:rsidP="00423241">
      <w:pPr>
        <w:spacing w:line="480" w:lineRule="auto"/>
        <w:ind w:firstLine="709"/>
        <w:jc w:val="center"/>
        <w:rPr>
          <w:shd w:val="clear" w:color="auto" w:fill="FFFFFF"/>
          <w:lang w:val="en-US"/>
        </w:rPr>
      </w:pPr>
      <w:hyperlink r:id="rId8" w:history="1">
        <w:r w:rsidR="00423241" w:rsidRPr="00E538C1">
          <w:rPr>
            <w:rStyle w:val="Hipervnculo"/>
            <w:color w:val="auto"/>
            <w:shd w:val="clear" w:color="auto" w:fill="FFFFFF"/>
            <w:lang w:val="en-US"/>
          </w:rPr>
          <w:t>jpespada@umh.es</w:t>
        </w:r>
      </w:hyperlink>
      <w:r w:rsidR="00423241" w:rsidRPr="00E538C1">
        <w:rPr>
          <w:shd w:val="clear" w:color="auto" w:fill="FFFFFF"/>
          <w:lang w:val="en-US"/>
        </w:rPr>
        <w:t xml:space="preserve"> </w:t>
      </w:r>
    </w:p>
    <w:p w:rsidR="00423241" w:rsidRPr="00E538C1" w:rsidRDefault="00CB2935" w:rsidP="00423241">
      <w:pPr>
        <w:spacing w:line="480" w:lineRule="auto"/>
        <w:ind w:firstLine="709"/>
        <w:jc w:val="center"/>
        <w:rPr>
          <w:rStyle w:val="Hipervnculo"/>
          <w:color w:val="auto"/>
          <w:shd w:val="clear" w:color="auto" w:fill="FFFFFF"/>
          <w:lang w:val="en-US"/>
        </w:rPr>
      </w:pPr>
      <w:hyperlink r:id="rId9" w:history="1">
        <w:r w:rsidR="00423241" w:rsidRPr="00E538C1">
          <w:rPr>
            <w:rStyle w:val="Hipervnculo"/>
            <w:color w:val="auto"/>
            <w:shd w:val="clear" w:color="auto" w:fill="FFFFFF"/>
            <w:lang w:val="en-US"/>
          </w:rPr>
          <w:t>alexandra.moraless@umh.es</w:t>
        </w:r>
      </w:hyperlink>
    </w:p>
    <w:p w:rsidR="00423241" w:rsidRPr="00E538C1" w:rsidRDefault="00423241" w:rsidP="00423241">
      <w:pPr>
        <w:spacing w:line="480" w:lineRule="auto"/>
        <w:ind w:firstLine="709"/>
        <w:jc w:val="center"/>
        <w:rPr>
          <w:shd w:val="clear" w:color="auto" w:fill="FFFFFF"/>
          <w:lang w:val="en-US"/>
        </w:rPr>
      </w:pPr>
      <w:r w:rsidRPr="00E538C1">
        <w:rPr>
          <w:rStyle w:val="Hipervnculo"/>
          <w:color w:val="auto"/>
          <w:shd w:val="clear" w:color="auto" w:fill="FFFFFF"/>
          <w:lang w:val="en-US"/>
        </w:rPr>
        <w:t>jcsierra@ugr.es</w:t>
      </w:r>
    </w:p>
    <w:p w:rsidR="00423241" w:rsidRPr="00E538C1" w:rsidRDefault="00CB2935" w:rsidP="00423241">
      <w:pPr>
        <w:spacing w:line="480" w:lineRule="auto"/>
        <w:ind w:firstLine="709"/>
        <w:jc w:val="center"/>
        <w:rPr>
          <w:shd w:val="clear" w:color="auto" w:fill="FFFFFF"/>
          <w:lang w:val="en-US"/>
        </w:rPr>
      </w:pPr>
      <w:hyperlink r:id="rId10" w:history="1">
        <w:r w:rsidR="00423241" w:rsidRPr="00E538C1">
          <w:rPr>
            <w:rStyle w:val="Hipervnculo"/>
            <w:color w:val="auto"/>
            <w:shd w:val="clear" w:color="auto" w:fill="FFFFFF"/>
            <w:lang w:val="en-US"/>
          </w:rPr>
          <w:t>laurent.marchalb@konradlorenz.edu.co</w:t>
        </w:r>
      </w:hyperlink>
    </w:p>
    <w:p w:rsidR="00423241" w:rsidRPr="00E538C1" w:rsidRDefault="00CB2935" w:rsidP="00423241">
      <w:pPr>
        <w:spacing w:line="480" w:lineRule="auto"/>
        <w:ind w:firstLine="709"/>
        <w:jc w:val="center"/>
        <w:rPr>
          <w:shd w:val="clear" w:color="auto" w:fill="FFFFFF"/>
          <w:lang w:val="en-US"/>
        </w:rPr>
      </w:pPr>
      <w:hyperlink r:id="rId11" w:history="1">
        <w:r w:rsidR="00423241" w:rsidRPr="00E538C1">
          <w:rPr>
            <w:rStyle w:val="Hipervnculo"/>
            <w:color w:val="auto"/>
            <w:shd w:val="clear" w:color="auto" w:fill="FFFFFF"/>
            <w:lang w:val="en-US"/>
          </w:rPr>
          <w:t>pablo.vallejom@konradlorenz.edu.co</w:t>
        </w:r>
      </w:hyperlink>
    </w:p>
    <w:p w:rsidR="00423241" w:rsidRPr="00E538C1" w:rsidRDefault="00423241" w:rsidP="00423241">
      <w:pPr>
        <w:spacing w:line="480" w:lineRule="auto"/>
        <w:jc w:val="center"/>
        <w:rPr>
          <w:b/>
          <w:lang w:val="en-US"/>
        </w:rPr>
      </w:pPr>
    </w:p>
    <w:p w:rsidR="00714212" w:rsidRPr="00E538C1" w:rsidRDefault="00714212" w:rsidP="00423241">
      <w:pPr>
        <w:pStyle w:val="NormalWeb"/>
        <w:spacing w:line="480" w:lineRule="auto"/>
        <w:jc w:val="center"/>
        <w:rPr>
          <w:b/>
          <w:lang w:val="en-US"/>
        </w:rPr>
      </w:pPr>
      <w:r w:rsidRPr="00E538C1">
        <w:rPr>
          <w:rStyle w:val="goog-gtc-translatable"/>
          <w:b/>
          <w:lang w:val="en-US"/>
        </w:rPr>
        <w:lastRenderedPageBreak/>
        <w:t>Abstract</w:t>
      </w:r>
    </w:p>
    <w:p w:rsidR="00714212" w:rsidRPr="00E538C1" w:rsidRDefault="00714212" w:rsidP="00423241">
      <w:pPr>
        <w:pStyle w:val="NormalWeb"/>
        <w:spacing w:line="480" w:lineRule="auto"/>
        <w:rPr>
          <w:lang w:val="en-US"/>
        </w:rPr>
      </w:pPr>
      <w:r w:rsidRPr="00E538C1">
        <w:rPr>
          <w:rStyle w:val="goog-gtc-translatable"/>
          <w:lang w:val="en-US"/>
        </w:rPr>
        <w:t xml:space="preserve">The Sexuality Scale is an instrument </w:t>
      </w:r>
      <w:r w:rsidR="00423241" w:rsidRPr="00E538C1">
        <w:rPr>
          <w:rStyle w:val="goog-gtc-translatable"/>
          <w:lang w:val="en-US"/>
        </w:rPr>
        <w:t xml:space="preserve">which evaluates </w:t>
      </w:r>
      <w:r w:rsidRPr="00E538C1">
        <w:rPr>
          <w:rStyle w:val="goog-gtc-translatable"/>
          <w:lang w:val="en-US"/>
        </w:rPr>
        <w:t xml:space="preserve">what people think and how they feel about their own sexuality through three components: Sexual Self-Esteem, </w:t>
      </w:r>
      <w:r w:rsidR="00423241" w:rsidRPr="00E538C1">
        <w:rPr>
          <w:rStyle w:val="goog-gtc-translatable"/>
          <w:lang w:val="en-US"/>
        </w:rPr>
        <w:t xml:space="preserve">Sexual </w:t>
      </w:r>
      <w:r w:rsidRPr="00E538C1">
        <w:rPr>
          <w:rStyle w:val="goog-gtc-translatable"/>
          <w:lang w:val="en-US"/>
        </w:rPr>
        <w:t>Depression and Sexual Preoccupation.</w:t>
      </w:r>
      <w:r w:rsidR="00242FD7" w:rsidRPr="00E538C1">
        <w:rPr>
          <w:rStyle w:val="goog-gtc-translatable"/>
          <w:lang w:val="en-US"/>
        </w:rPr>
        <w:t xml:space="preserve"> </w:t>
      </w:r>
      <w:r w:rsidRPr="00E538C1">
        <w:rPr>
          <w:rStyle w:val="goog-gtc-translatable"/>
          <w:lang w:val="en-US"/>
        </w:rPr>
        <w:t xml:space="preserve">Given the clinical implications and impact on sexual health </w:t>
      </w:r>
      <w:r w:rsidR="00242FD7" w:rsidRPr="00E538C1">
        <w:rPr>
          <w:rStyle w:val="goog-gtc-translatable"/>
          <w:lang w:val="en-US"/>
        </w:rPr>
        <w:t xml:space="preserve">after having demonstrated its </w:t>
      </w:r>
      <w:r w:rsidRPr="00E538C1">
        <w:rPr>
          <w:rStyle w:val="goog-gtc-translatable"/>
          <w:lang w:val="en-US"/>
        </w:rPr>
        <w:t>relationship with various components of sexuality</w:t>
      </w:r>
      <w:r w:rsidR="00242FD7" w:rsidRPr="00E538C1">
        <w:rPr>
          <w:rStyle w:val="goog-gtc-translatable"/>
          <w:lang w:val="en-US"/>
        </w:rPr>
        <w:t>,</w:t>
      </w:r>
      <w:r w:rsidRPr="00E538C1">
        <w:rPr>
          <w:rStyle w:val="goog-gtc-translatable"/>
          <w:lang w:val="en-US"/>
        </w:rPr>
        <w:t xml:space="preserve"> and </w:t>
      </w:r>
      <w:r w:rsidR="00242FD7" w:rsidRPr="00E538C1">
        <w:rPr>
          <w:rStyle w:val="goog-gtc-translatable"/>
          <w:lang w:val="en-US"/>
        </w:rPr>
        <w:t xml:space="preserve">the </w:t>
      </w:r>
      <w:r w:rsidRPr="00E538C1">
        <w:rPr>
          <w:rStyle w:val="goog-gtc-translatable"/>
          <w:lang w:val="en-US"/>
        </w:rPr>
        <w:t xml:space="preserve">little research on the last two components of the scale, </w:t>
      </w:r>
      <w:r w:rsidR="00242FD7" w:rsidRPr="00E538C1">
        <w:rPr>
          <w:rStyle w:val="goog-gtc-translatable"/>
          <w:lang w:val="en-US"/>
        </w:rPr>
        <w:t xml:space="preserve">this </w:t>
      </w:r>
      <w:r w:rsidRPr="00E538C1">
        <w:rPr>
          <w:rStyle w:val="goog-gtc-translatable"/>
          <w:lang w:val="en-US"/>
        </w:rPr>
        <w:t xml:space="preserve">study </w:t>
      </w:r>
      <w:r w:rsidR="00242FD7" w:rsidRPr="00E538C1">
        <w:rPr>
          <w:rStyle w:val="goog-gtc-translatable"/>
          <w:lang w:val="en-US"/>
        </w:rPr>
        <w:t xml:space="preserve">undertook to </w:t>
      </w:r>
      <w:r w:rsidRPr="00E538C1">
        <w:rPr>
          <w:rStyle w:val="goog-gtc-translatable"/>
          <w:lang w:val="en-US"/>
        </w:rPr>
        <w:t xml:space="preserve">translate, adapt and validate the </w:t>
      </w:r>
      <w:r w:rsidR="00242FD7" w:rsidRPr="00E538C1">
        <w:rPr>
          <w:rStyle w:val="goog-gtc-translatable"/>
          <w:lang w:val="en-US"/>
        </w:rPr>
        <w:t xml:space="preserve">brief </w:t>
      </w:r>
      <w:r w:rsidRPr="00E538C1">
        <w:rPr>
          <w:rStyle w:val="goog-gtc-translatable"/>
          <w:lang w:val="en-US"/>
        </w:rPr>
        <w:t xml:space="preserve">version </w:t>
      </w:r>
      <w:r w:rsidR="00242FD7" w:rsidRPr="00E538C1">
        <w:rPr>
          <w:rStyle w:val="goog-gtc-translatable"/>
          <w:lang w:val="en-US"/>
        </w:rPr>
        <w:t xml:space="preserve">of the </w:t>
      </w:r>
      <w:r w:rsidRPr="00E538C1">
        <w:rPr>
          <w:rStyle w:val="goog-gtc-translatable"/>
          <w:lang w:val="en-US"/>
        </w:rPr>
        <w:t>Sexuality Scale in a sample of 1</w:t>
      </w:r>
      <w:r w:rsidR="00242FD7" w:rsidRPr="00E538C1">
        <w:rPr>
          <w:rStyle w:val="goog-gtc-translatable"/>
          <w:lang w:val="en-US"/>
        </w:rPr>
        <w:t>,</w:t>
      </w:r>
      <w:r w:rsidRPr="00E538C1">
        <w:rPr>
          <w:rStyle w:val="goog-gtc-translatable"/>
          <w:lang w:val="en-US"/>
        </w:rPr>
        <w:t xml:space="preserve">167 </w:t>
      </w:r>
      <w:r w:rsidR="00242FD7" w:rsidRPr="00E538C1">
        <w:rPr>
          <w:rStyle w:val="goog-gtc-translatable"/>
          <w:lang w:val="en-US"/>
        </w:rPr>
        <w:t xml:space="preserve">Spanish and Colombian </w:t>
      </w:r>
      <w:r w:rsidRPr="00E538C1">
        <w:rPr>
          <w:rStyle w:val="goog-gtc-translatable"/>
          <w:lang w:val="en-US"/>
        </w:rPr>
        <w:t>men and women. Two versions of the instrument</w:t>
      </w:r>
      <w:r w:rsidR="00242FD7" w:rsidRPr="00E538C1">
        <w:rPr>
          <w:rStyle w:val="goog-gtc-translatable"/>
          <w:lang w:val="en-US"/>
        </w:rPr>
        <w:t xml:space="preserve"> were obtained – </w:t>
      </w:r>
      <w:r w:rsidRPr="00E538C1">
        <w:rPr>
          <w:rStyle w:val="goog-gtc-translatable"/>
          <w:lang w:val="en-US"/>
        </w:rPr>
        <w:t>one</w:t>
      </w:r>
      <w:r w:rsidR="00242FD7" w:rsidRPr="00E538C1">
        <w:rPr>
          <w:rStyle w:val="goog-gtc-translatable"/>
          <w:lang w:val="en-US"/>
        </w:rPr>
        <w:t xml:space="preserve"> </w:t>
      </w:r>
      <w:r w:rsidRPr="00E538C1">
        <w:rPr>
          <w:rStyle w:val="goog-gtc-translatable"/>
          <w:lang w:val="en-US"/>
        </w:rPr>
        <w:t>for each country.</w:t>
      </w:r>
      <w:r w:rsidRPr="00E538C1">
        <w:rPr>
          <w:rStyle w:val="apple-converted-space"/>
          <w:lang w:val="en-US"/>
        </w:rPr>
        <w:t> </w:t>
      </w:r>
      <w:r w:rsidR="00242FD7" w:rsidRPr="00E538C1">
        <w:rPr>
          <w:rStyle w:val="goog-gtc-translatable"/>
          <w:lang w:val="en-US"/>
        </w:rPr>
        <w:t>In both versions, t</w:t>
      </w:r>
      <w:r w:rsidRPr="00E538C1">
        <w:rPr>
          <w:rStyle w:val="goog-gtc-translatable"/>
          <w:lang w:val="en-US"/>
        </w:rPr>
        <w:t>he results indicate</w:t>
      </w:r>
      <w:r w:rsidR="00242FD7" w:rsidRPr="00E538C1">
        <w:rPr>
          <w:rStyle w:val="goog-gtc-translatable"/>
          <w:lang w:val="en-US"/>
        </w:rPr>
        <w:t xml:space="preserve"> </w:t>
      </w:r>
      <w:r w:rsidRPr="00E538C1">
        <w:rPr>
          <w:rStyle w:val="goog-gtc-translatable"/>
          <w:lang w:val="en-US"/>
        </w:rPr>
        <w:t xml:space="preserve">high levels of reliability and </w:t>
      </w:r>
      <w:r w:rsidR="00CB2935">
        <w:rPr>
          <w:rStyle w:val="goog-gtc-translatable"/>
          <w:lang w:val="en-US"/>
        </w:rPr>
        <w:t xml:space="preserve">adequate </w:t>
      </w:r>
      <w:r w:rsidRPr="00E538C1">
        <w:rPr>
          <w:rStyle w:val="goog-gtc-translatable"/>
          <w:lang w:val="en-US"/>
        </w:rPr>
        <w:t>psychometric properties of the items.</w:t>
      </w:r>
      <w:r w:rsidRPr="00E538C1">
        <w:rPr>
          <w:rStyle w:val="apple-converted-space"/>
          <w:lang w:val="en-US"/>
        </w:rPr>
        <w:t> </w:t>
      </w:r>
      <w:r w:rsidR="00242FD7" w:rsidRPr="00E538C1">
        <w:rPr>
          <w:rStyle w:val="goog-gtc-translatable"/>
          <w:lang w:val="en-US"/>
        </w:rPr>
        <w:t>C</w:t>
      </w:r>
      <w:r w:rsidRPr="00E538C1">
        <w:rPr>
          <w:rStyle w:val="goog-gtc-translatable"/>
          <w:lang w:val="en-US"/>
        </w:rPr>
        <w:t>onfigural</w:t>
      </w:r>
      <w:r w:rsidR="00242FD7" w:rsidRPr="00E538C1">
        <w:rPr>
          <w:rStyle w:val="goog-gtc-translatable"/>
          <w:lang w:val="en-US"/>
        </w:rPr>
        <w:t xml:space="preserve"> invariance confirmed the three-</w:t>
      </w:r>
      <w:r w:rsidRPr="00E538C1">
        <w:rPr>
          <w:rStyle w:val="goog-gtc-translatable"/>
          <w:lang w:val="en-US"/>
        </w:rPr>
        <w:t>dimensional structure of the scale for the two versions.</w:t>
      </w:r>
      <w:r w:rsidRPr="00E538C1">
        <w:rPr>
          <w:rStyle w:val="apple-converted-space"/>
          <w:lang w:val="en-US"/>
        </w:rPr>
        <w:t> </w:t>
      </w:r>
      <w:r w:rsidRPr="00E538C1">
        <w:rPr>
          <w:rStyle w:val="goog-gtc-translatable"/>
          <w:lang w:val="en-US"/>
        </w:rPr>
        <w:t xml:space="preserve">The correlations with scales </w:t>
      </w:r>
      <w:r w:rsidR="00242FD7" w:rsidRPr="00E538C1">
        <w:rPr>
          <w:rStyle w:val="goog-gtc-translatable"/>
          <w:lang w:val="en-US"/>
        </w:rPr>
        <w:t xml:space="preserve">which evaluate </w:t>
      </w:r>
      <w:r w:rsidRPr="00E538C1">
        <w:rPr>
          <w:rStyle w:val="goog-gtc-translatable"/>
          <w:lang w:val="en-US"/>
        </w:rPr>
        <w:t>various aspects of sexuality confirm adequate levels of concurrent validity.</w:t>
      </w:r>
      <w:r w:rsidRPr="00E538C1">
        <w:rPr>
          <w:rStyle w:val="apple-converted-space"/>
          <w:lang w:val="en-US"/>
        </w:rPr>
        <w:t> </w:t>
      </w:r>
      <w:r w:rsidRPr="00E538C1">
        <w:rPr>
          <w:rStyle w:val="goog-gtc-translatable"/>
          <w:lang w:val="en-US"/>
        </w:rPr>
        <w:t xml:space="preserve">The scales may have important implications for </w:t>
      </w:r>
      <w:r w:rsidR="00242FD7" w:rsidRPr="00E538C1">
        <w:rPr>
          <w:rStyle w:val="goog-gtc-translatable"/>
          <w:lang w:val="en-US"/>
        </w:rPr>
        <w:t xml:space="preserve">evaluation </w:t>
      </w:r>
      <w:r w:rsidRPr="00E538C1">
        <w:rPr>
          <w:rStyle w:val="goog-gtc-translatable"/>
          <w:lang w:val="en-US"/>
        </w:rPr>
        <w:t>and intervention of various dimensions of sexual behavior.</w:t>
      </w:r>
    </w:p>
    <w:p w:rsidR="00714212" w:rsidRPr="00E538C1" w:rsidRDefault="00714212" w:rsidP="002511B8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i/>
          <w:lang w:val="en-US"/>
        </w:rPr>
        <w:t>Keywords</w:t>
      </w:r>
      <w:r w:rsidRPr="00E538C1">
        <w:rPr>
          <w:rStyle w:val="goog-gtc-translatable"/>
          <w:lang w:val="en-US"/>
        </w:rPr>
        <w:t>: Sexuality Scale, Sexual Self-Esteem, Sexual Depression, Sexual Preoccupation, Colombia, Spanish, Human Sexuality.</w:t>
      </w:r>
    </w:p>
    <w:p w:rsidR="00DD3429" w:rsidRPr="00E538C1" w:rsidRDefault="00DD3429" w:rsidP="00423241">
      <w:pPr>
        <w:pStyle w:val="NormalWeb"/>
        <w:spacing w:line="480" w:lineRule="auto"/>
        <w:rPr>
          <w:rStyle w:val="goog-gtc-translatable"/>
          <w:lang w:val="en-US"/>
        </w:rPr>
      </w:pPr>
    </w:p>
    <w:p w:rsidR="00491DA7" w:rsidRPr="00E538C1" w:rsidRDefault="00DD3429" w:rsidP="00491DA7">
      <w:pPr>
        <w:pStyle w:val="NormalWeb"/>
        <w:spacing w:line="480" w:lineRule="auto"/>
        <w:jc w:val="center"/>
        <w:rPr>
          <w:lang w:val="en-US"/>
        </w:rPr>
      </w:pPr>
      <w:r w:rsidRPr="00E538C1">
        <w:rPr>
          <w:rStyle w:val="goog-gtc-translatable"/>
          <w:lang w:val="en-US"/>
        </w:rPr>
        <w:br w:type="page"/>
      </w:r>
      <w:r w:rsidR="00491DA7" w:rsidRPr="00E538C1">
        <w:rPr>
          <w:rStyle w:val="goog-gtc-translatable"/>
          <w:lang w:val="en-US"/>
        </w:rPr>
        <w:lastRenderedPageBreak/>
        <w:t>Translation, Adaptation and Validation of the brief Sexuality Scale in Colombian and Spanish Populations.</w:t>
      </w:r>
    </w:p>
    <w:p w:rsidR="00714212" w:rsidRPr="00E538C1" w:rsidRDefault="00714212" w:rsidP="00491DA7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lang w:val="en-US"/>
        </w:rPr>
        <w:t>Snell and Papini (1989) developed the Sexuality Scale (SS) to measure what people think and how they feel about their own sexuality through three components: Sexual Self-Esteem (SSE) (</w:t>
      </w:r>
      <w:r w:rsidR="00DD3429" w:rsidRPr="00E538C1">
        <w:rPr>
          <w:rStyle w:val="goog-gtc-translatable"/>
          <w:lang w:val="en-US"/>
        </w:rPr>
        <w:t>d</w:t>
      </w:r>
      <w:r w:rsidRPr="00E538C1">
        <w:rPr>
          <w:rStyle w:val="goog-gtc-translatable"/>
          <w:lang w:val="en-US"/>
        </w:rPr>
        <w:t>ispositional tendency to positively evaluate one</w:t>
      </w:r>
      <w:r w:rsidR="00DD3429" w:rsidRPr="00E538C1">
        <w:rPr>
          <w:rStyle w:val="goog-gtc-translatable"/>
          <w:lang w:val="en-US"/>
        </w:rPr>
        <w:t>’</w:t>
      </w:r>
      <w:r w:rsidRPr="00E538C1">
        <w:rPr>
          <w:rStyle w:val="goog-gtc-translatable"/>
          <w:lang w:val="en-US"/>
        </w:rPr>
        <w:t>s ability to relate sexually with others), Sexual Depression (SD) (chronic tendency to feel sad and discouraged about the sexual aspects of one</w:t>
      </w:r>
      <w:r w:rsidR="00DD3429" w:rsidRPr="00E538C1">
        <w:rPr>
          <w:rStyle w:val="goog-gtc-translatable"/>
          <w:lang w:val="en-US"/>
        </w:rPr>
        <w:t>’</w:t>
      </w:r>
      <w:r w:rsidRPr="00E538C1">
        <w:rPr>
          <w:rStyle w:val="goog-gtc-translatable"/>
          <w:lang w:val="en-US"/>
        </w:rPr>
        <w:t>s life) and Sexual Preoccupation (SP)</w:t>
      </w:r>
      <w:r w:rsidR="00DD3429" w:rsidRPr="00E538C1">
        <w:rPr>
          <w:rStyle w:val="goog-gtc-translatable"/>
          <w:lang w:val="en-US"/>
        </w:rPr>
        <w:t xml:space="preserve">; </w:t>
      </w:r>
      <w:r w:rsidRPr="00E538C1">
        <w:rPr>
          <w:rStyle w:val="goog-gtc-translatable"/>
          <w:lang w:val="en-US"/>
        </w:rPr>
        <w:t xml:space="preserve">the continuing </w:t>
      </w:r>
      <w:r w:rsidR="00DD3429" w:rsidRPr="00E538C1">
        <w:rPr>
          <w:rStyle w:val="goog-gtc-translatable"/>
          <w:lang w:val="en-US"/>
        </w:rPr>
        <w:t xml:space="preserve">tendency </w:t>
      </w:r>
      <w:r w:rsidRPr="00E538C1">
        <w:rPr>
          <w:rStyle w:val="goog-gtc-translatable"/>
          <w:lang w:val="en-US"/>
        </w:rPr>
        <w:t xml:space="preserve">to be absorbed and obsessed with sexual thoughts and behaviors that practically </w:t>
      </w:r>
      <w:r w:rsidR="00DD3429" w:rsidRPr="00E538C1">
        <w:rPr>
          <w:rStyle w:val="goog-gtc-translatable"/>
          <w:lang w:val="en-US"/>
        </w:rPr>
        <w:t xml:space="preserve">prevent one from </w:t>
      </w:r>
      <w:r w:rsidRPr="00E538C1">
        <w:rPr>
          <w:rStyle w:val="goog-gtc-translatable"/>
          <w:lang w:val="en-US"/>
        </w:rPr>
        <w:t>thinking about other matters</w:t>
      </w:r>
      <w:r w:rsidR="00DD3429" w:rsidRPr="00E538C1">
        <w:rPr>
          <w:rStyle w:val="goog-gtc-translatable"/>
          <w:lang w:val="en-US"/>
        </w:rPr>
        <w:t xml:space="preserve"> (Snell, Fisher, &amp; Schuh, 2001; Snell &amp; Papini, 1989)</w:t>
      </w:r>
      <w:r w:rsidRPr="00E538C1">
        <w:rPr>
          <w:rStyle w:val="goog-gtc-translatable"/>
          <w:lang w:val="en-US"/>
        </w:rPr>
        <w:t>.</w:t>
      </w:r>
      <w:r w:rsidR="00DD3429" w:rsidRPr="00E538C1">
        <w:rPr>
          <w:rStyle w:val="goog-gtc-translatable"/>
          <w:lang w:val="en-US"/>
        </w:rPr>
        <w:t xml:space="preserve"> </w:t>
      </w:r>
      <w:r w:rsidR="00115ECD" w:rsidRPr="00E538C1">
        <w:rPr>
          <w:rStyle w:val="goog-gtc-translatable"/>
          <w:lang w:val="en-US"/>
        </w:rPr>
        <w:t>SSE</w:t>
      </w:r>
      <w:r w:rsidRPr="00E538C1">
        <w:rPr>
          <w:rStyle w:val="goog-gtc-translatable"/>
          <w:lang w:val="en-US"/>
        </w:rPr>
        <w:t>, SD and SP would be interrelated.</w:t>
      </w:r>
      <w:r w:rsidRPr="00E538C1">
        <w:rPr>
          <w:rStyle w:val="apple-converted-space"/>
          <w:lang w:val="en-US"/>
        </w:rPr>
        <w:t> </w:t>
      </w:r>
      <w:r w:rsidRPr="00E538C1">
        <w:rPr>
          <w:rStyle w:val="goog-gtc-translatable"/>
          <w:lang w:val="en-US"/>
        </w:rPr>
        <w:t xml:space="preserve">For example, SSE and SD </w:t>
      </w:r>
      <w:r w:rsidR="00115ECD" w:rsidRPr="00E538C1">
        <w:rPr>
          <w:rStyle w:val="goog-gtc-translatable"/>
          <w:lang w:val="en-US"/>
        </w:rPr>
        <w:t xml:space="preserve">would be opposite </w:t>
      </w:r>
      <w:r w:rsidRPr="00E538C1">
        <w:rPr>
          <w:rStyle w:val="goog-gtc-translatable"/>
          <w:lang w:val="en-US"/>
        </w:rPr>
        <w:t>constructs that are part of the same psychological dimension (Snell &amp; Papini, 1989)</w:t>
      </w:r>
      <w:r w:rsidR="00115ECD" w:rsidRPr="00E538C1">
        <w:rPr>
          <w:rStyle w:val="goog-gtc-translatable"/>
          <w:lang w:val="en-US"/>
        </w:rPr>
        <w:t xml:space="preserve">; thus, </w:t>
      </w:r>
      <w:r w:rsidRPr="00E538C1">
        <w:rPr>
          <w:rStyle w:val="goog-gtc-translatable"/>
          <w:lang w:val="en-US"/>
        </w:rPr>
        <w:t>high levels of sexual self</w:t>
      </w:r>
      <w:r w:rsidR="00115ECD" w:rsidRPr="00E538C1">
        <w:rPr>
          <w:rStyle w:val="goog-gtc-translatable"/>
          <w:lang w:val="en-US"/>
        </w:rPr>
        <w:t xml:space="preserve">-esteem </w:t>
      </w:r>
      <w:r w:rsidRPr="00E538C1">
        <w:rPr>
          <w:rStyle w:val="goog-gtc-translatable"/>
          <w:lang w:val="en-US"/>
        </w:rPr>
        <w:t>indicate low levels of sexual depression (Snell et al., 2001; Snell &amp; Papini, 1989; Wiedemann &amp; Allgeier, 1993).</w:t>
      </w:r>
      <w:r w:rsidR="00115ECD" w:rsidRPr="00E538C1">
        <w:rPr>
          <w:rStyle w:val="goog-gtc-translatable"/>
          <w:lang w:val="en-US"/>
        </w:rPr>
        <w:t xml:space="preserve"> P</w:t>
      </w:r>
      <w:r w:rsidRPr="00E538C1">
        <w:rPr>
          <w:rStyle w:val="goog-gtc-translatable"/>
          <w:lang w:val="en-US"/>
        </w:rPr>
        <w:t xml:space="preserve">ositive relationships </w:t>
      </w:r>
      <w:r w:rsidR="00115ECD" w:rsidRPr="00E538C1">
        <w:rPr>
          <w:rStyle w:val="goog-gtc-translatable"/>
          <w:lang w:val="en-US"/>
        </w:rPr>
        <w:t xml:space="preserve">have been demonstrated in men </w:t>
      </w:r>
      <w:r w:rsidRPr="00E538C1">
        <w:rPr>
          <w:rStyle w:val="goog-gtc-translatable"/>
          <w:lang w:val="en-US"/>
        </w:rPr>
        <w:t>between SD and SP</w:t>
      </w:r>
      <w:r w:rsidR="00115ECD" w:rsidRPr="00E538C1">
        <w:rPr>
          <w:rStyle w:val="goog-gtc-translatable"/>
          <w:lang w:val="en-US"/>
        </w:rPr>
        <w:t>,</w:t>
      </w:r>
      <w:r w:rsidRPr="00E538C1">
        <w:rPr>
          <w:rStyle w:val="goog-gtc-translatable"/>
          <w:lang w:val="en-US"/>
        </w:rPr>
        <w:t xml:space="preserve"> and the two have been </w:t>
      </w:r>
      <w:r w:rsidR="00115ECD" w:rsidRPr="00E538C1">
        <w:rPr>
          <w:rStyle w:val="goog-gtc-translatable"/>
          <w:lang w:val="en-US"/>
        </w:rPr>
        <w:t xml:space="preserve">related </w:t>
      </w:r>
      <w:r w:rsidRPr="00E538C1">
        <w:rPr>
          <w:rStyle w:val="goog-gtc-translatable"/>
          <w:lang w:val="en-US"/>
        </w:rPr>
        <w:t xml:space="preserve">to </w:t>
      </w:r>
      <w:r w:rsidR="00115ECD" w:rsidRPr="00E538C1">
        <w:rPr>
          <w:rStyle w:val="goog-gtc-translatable"/>
          <w:lang w:val="en-US"/>
        </w:rPr>
        <w:t xml:space="preserve">overall </w:t>
      </w:r>
      <w:r w:rsidRPr="00E538C1">
        <w:rPr>
          <w:rStyle w:val="goog-gtc-translatable"/>
          <w:lang w:val="en-US"/>
        </w:rPr>
        <w:t>self-esteem and clinical depression</w:t>
      </w:r>
      <w:r w:rsidR="00115ECD" w:rsidRPr="00E538C1">
        <w:rPr>
          <w:rStyle w:val="goog-gtc-translatable"/>
          <w:lang w:val="en-US"/>
        </w:rPr>
        <w:t xml:space="preserve"> (Wiedemann &amp; Allgeier, 1993)</w:t>
      </w:r>
      <w:r w:rsidRPr="00E538C1">
        <w:rPr>
          <w:rStyle w:val="goog-gtc-translatable"/>
          <w:lang w:val="en-US"/>
        </w:rPr>
        <w:t>.</w:t>
      </w:r>
      <w:r w:rsidRPr="00E538C1">
        <w:rPr>
          <w:rStyle w:val="apple-converted-space"/>
          <w:lang w:val="en-US"/>
        </w:rPr>
        <w:t> </w:t>
      </w:r>
      <w:r w:rsidRPr="00E538C1">
        <w:rPr>
          <w:rStyle w:val="goog-gtc-translatable"/>
          <w:lang w:val="en-US"/>
        </w:rPr>
        <w:t xml:space="preserve">SSE has been </w:t>
      </w:r>
      <w:r w:rsidR="00115ECD" w:rsidRPr="00E538C1">
        <w:rPr>
          <w:rStyle w:val="goog-gtc-translatable"/>
          <w:lang w:val="en-US"/>
        </w:rPr>
        <w:t xml:space="preserve">the most widely </w:t>
      </w:r>
      <w:r w:rsidRPr="00E538C1">
        <w:rPr>
          <w:rStyle w:val="goog-gtc-translatable"/>
          <w:lang w:val="en-US"/>
        </w:rPr>
        <w:t xml:space="preserve">studied </w:t>
      </w:r>
      <w:r w:rsidR="00115ECD" w:rsidRPr="00E538C1">
        <w:rPr>
          <w:rStyle w:val="goog-gtc-translatable"/>
          <w:lang w:val="en-US"/>
        </w:rPr>
        <w:t xml:space="preserve">construct of the three, </w:t>
      </w:r>
      <w:r w:rsidRPr="00E538C1">
        <w:rPr>
          <w:rStyle w:val="goog-gtc-translatable"/>
          <w:lang w:val="en-US"/>
        </w:rPr>
        <w:t xml:space="preserve">and no evidence </w:t>
      </w:r>
      <w:r w:rsidR="00115ECD" w:rsidRPr="00E538C1">
        <w:rPr>
          <w:rStyle w:val="goog-gtc-translatable"/>
          <w:lang w:val="en-US"/>
        </w:rPr>
        <w:t xml:space="preserve">has been found on the study of </w:t>
      </w:r>
      <w:r w:rsidRPr="00E538C1">
        <w:rPr>
          <w:rStyle w:val="goog-gtc-translatable"/>
          <w:lang w:val="en-US"/>
        </w:rPr>
        <w:t>SD and SP as isolated components of sexuality.</w:t>
      </w:r>
    </w:p>
    <w:p w:rsidR="00714212" w:rsidRPr="00E538C1" w:rsidRDefault="00714212" w:rsidP="00491DA7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lang w:val="en-US"/>
        </w:rPr>
        <w:t xml:space="preserve">SSE is a key component of sexual health </w:t>
      </w:r>
      <w:r w:rsidR="00A0509A" w:rsidRPr="00E538C1">
        <w:rPr>
          <w:rStyle w:val="goog-gtc-translatable"/>
          <w:lang w:val="en-US"/>
        </w:rPr>
        <w:t xml:space="preserve">(Heinrichs, MacKnee, Auton-Cuff, &amp; Domene, 2009; Robinson, Bockting, Rosser, Miner, &amp; Coleman, 2002). This component is learned </w:t>
      </w:r>
      <w:r w:rsidRPr="00E538C1">
        <w:rPr>
          <w:rStyle w:val="goog-gtc-translatable"/>
          <w:lang w:val="en-US"/>
        </w:rPr>
        <w:t>from the interactions with the family context, peer relationships and sexual history (Gaynor &amp; Underwood, 1995).</w:t>
      </w:r>
      <w:r w:rsidR="00A0509A" w:rsidRPr="00E538C1">
        <w:rPr>
          <w:rStyle w:val="goog-gtc-translatable"/>
          <w:lang w:val="en-US"/>
        </w:rPr>
        <w:t xml:space="preserve"> </w:t>
      </w:r>
      <w:r w:rsidRPr="00E538C1">
        <w:rPr>
          <w:rStyle w:val="goog-gtc-translatable"/>
          <w:lang w:val="en-US"/>
        </w:rPr>
        <w:t>Thus, various studies have demonstrated its clinical implications</w:t>
      </w:r>
      <w:r w:rsidR="00A0509A" w:rsidRPr="00E538C1">
        <w:rPr>
          <w:rStyle w:val="goog-gtc-translatable"/>
          <w:lang w:val="en-US"/>
        </w:rPr>
        <w:t xml:space="preserve"> and its </w:t>
      </w:r>
      <w:r w:rsidRPr="00E538C1">
        <w:rPr>
          <w:rStyle w:val="goog-gtc-translatable"/>
          <w:lang w:val="en-US"/>
        </w:rPr>
        <w:t>impact on sexual health</w:t>
      </w:r>
      <w:r w:rsidR="00A0509A" w:rsidRPr="00E538C1">
        <w:rPr>
          <w:rStyle w:val="goog-gtc-translatable"/>
          <w:lang w:val="en-US"/>
        </w:rPr>
        <w:t xml:space="preserve">. Similarly, SSE it has been </w:t>
      </w:r>
      <w:r w:rsidRPr="00E538C1">
        <w:rPr>
          <w:rStyle w:val="goog-gtc-translatable"/>
          <w:lang w:val="en-US"/>
        </w:rPr>
        <w:t xml:space="preserve">negatively associated with sexual risk behaviors </w:t>
      </w:r>
      <w:r w:rsidR="00A0509A" w:rsidRPr="00E538C1">
        <w:rPr>
          <w:lang w:val="en-US"/>
        </w:rPr>
        <w:t xml:space="preserve">(Riggio, Galaz, Garcia, &amp; Matthies, 2014; Seal, </w:t>
      </w:r>
      <w:r w:rsidR="00A0509A" w:rsidRPr="00E538C1">
        <w:rPr>
          <w:lang w:val="en-US"/>
        </w:rPr>
        <w:lastRenderedPageBreak/>
        <w:t xml:space="preserve">Minichiello, &amp; Omodei, 1997), </w:t>
      </w:r>
      <w:r w:rsidRPr="00E538C1">
        <w:rPr>
          <w:rStyle w:val="goog-gtc-translatable"/>
          <w:lang w:val="en-US"/>
        </w:rPr>
        <w:t xml:space="preserve">positively </w:t>
      </w:r>
      <w:r w:rsidR="00A0509A" w:rsidRPr="00E538C1">
        <w:rPr>
          <w:rStyle w:val="goog-gtc-translatable"/>
          <w:lang w:val="en-US"/>
        </w:rPr>
        <w:t xml:space="preserve">associated with </w:t>
      </w:r>
      <w:r w:rsidRPr="00E538C1">
        <w:rPr>
          <w:rStyle w:val="goog-gtc-translatable"/>
          <w:lang w:val="en-US"/>
        </w:rPr>
        <w:t xml:space="preserve">sexual assertiveness (Ménard &amp; Offman, 2009; Santos Iglesias &amp; Sierra, 2010) and negatively with sexual abuse and sexual victimization (James, 2011; Lemieux &amp; Byers, 2008; </w:t>
      </w:r>
      <w:r w:rsidR="004C6B57" w:rsidRPr="00E538C1">
        <w:rPr>
          <w:lang w:val="en-US"/>
        </w:rPr>
        <w:t>Struckman-Johnson &amp; Struckman-Johnson, 1994)</w:t>
      </w:r>
      <w:r w:rsidRPr="00E538C1">
        <w:rPr>
          <w:rStyle w:val="goog-gtc-translatable"/>
          <w:lang w:val="en-US"/>
        </w:rPr>
        <w:t>.</w:t>
      </w:r>
      <w:r w:rsidR="004C6B57" w:rsidRPr="00E538C1">
        <w:rPr>
          <w:rStyle w:val="goog-gtc-translatable"/>
          <w:lang w:val="en-US"/>
        </w:rPr>
        <w:t xml:space="preserve"> P</w:t>
      </w:r>
      <w:r w:rsidRPr="00E538C1">
        <w:rPr>
          <w:rStyle w:val="goog-gtc-translatable"/>
          <w:lang w:val="en-US"/>
        </w:rPr>
        <w:t>ositive relationship</w:t>
      </w:r>
      <w:r w:rsidR="004C6B57" w:rsidRPr="00E538C1">
        <w:rPr>
          <w:rStyle w:val="goog-gtc-translatable"/>
          <w:lang w:val="en-US"/>
        </w:rPr>
        <w:t>s have also been demonstrated</w:t>
      </w:r>
      <w:r w:rsidRPr="00E538C1">
        <w:rPr>
          <w:rStyle w:val="goog-gtc-translatable"/>
          <w:lang w:val="en-US"/>
        </w:rPr>
        <w:t xml:space="preserve"> </w:t>
      </w:r>
      <w:r w:rsidR="004C6B57" w:rsidRPr="00E538C1">
        <w:rPr>
          <w:rStyle w:val="goog-gtc-translatable"/>
          <w:lang w:val="en-US"/>
        </w:rPr>
        <w:t xml:space="preserve">between SSE and </w:t>
      </w:r>
      <w:r w:rsidRPr="00E538C1">
        <w:rPr>
          <w:rStyle w:val="goog-gtc-translatable"/>
          <w:lang w:val="en-US"/>
        </w:rPr>
        <w:t xml:space="preserve">sexual functioning </w:t>
      </w:r>
      <w:r w:rsidR="004C6B57" w:rsidRPr="00E538C1">
        <w:rPr>
          <w:rStyle w:val="goog-gtc-translatable"/>
          <w:lang w:val="en-US"/>
        </w:rPr>
        <w:t>(Dove &amp; Wiederman, 2000; James, 2011; Wentland, Herold, Desmarais, &amp; Milhausen, 2009)</w:t>
      </w:r>
      <w:r w:rsidRPr="00E538C1">
        <w:rPr>
          <w:rStyle w:val="goog-gtc-translatable"/>
          <w:lang w:val="en-US"/>
        </w:rPr>
        <w:t>, sexual satisfaction (Carrobles, Gámez-Guadix, &amp; Almond, 2011; Sanchez-Fuentes, Santos-Iglesias, &amp; Sierra, 2014), with the perception of physical attractiveness (Wiederman &amp; Hurst, 2010)</w:t>
      </w:r>
      <w:r w:rsidR="004C6B57" w:rsidRPr="00E538C1">
        <w:rPr>
          <w:rStyle w:val="goog-gtc-translatable"/>
          <w:lang w:val="en-US"/>
        </w:rPr>
        <w:t>,</w:t>
      </w:r>
      <w:r w:rsidRPr="00E538C1">
        <w:rPr>
          <w:rStyle w:val="goog-gtc-translatable"/>
          <w:lang w:val="en-US"/>
        </w:rPr>
        <w:t xml:space="preserve"> body image </w:t>
      </w:r>
      <w:r w:rsidR="004C6B57" w:rsidRPr="00E538C1">
        <w:rPr>
          <w:lang w:val="en-US"/>
        </w:rPr>
        <w:t>(Blodgett &amp; Benson, 2013; La Rocque &amp; Cioe, 2011; Van Den Brink, Smeets, Hessen, Talens, &amp; Woertman, 2013)</w:t>
      </w:r>
      <w:r w:rsidRPr="00E538C1">
        <w:rPr>
          <w:rStyle w:val="goog-gtc-translatable"/>
          <w:lang w:val="en-US"/>
        </w:rPr>
        <w:t xml:space="preserve">, </w:t>
      </w:r>
      <w:r w:rsidR="004C6B57" w:rsidRPr="00E538C1">
        <w:rPr>
          <w:rStyle w:val="goog-gtc-translatable"/>
          <w:lang w:val="en-US"/>
        </w:rPr>
        <w:t xml:space="preserve">sexual </w:t>
      </w:r>
      <w:r w:rsidRPr="00E538C1">
        <w:rPr>
          <w:rStyle w:val="goog-gtc-translatable"/>
          <w:lang w:val="en-US"/>
        </w:rPr>
        <w:t>identity and wellbeing (Muise, Preyde, Maitland, &amp; Milhausen, 2010) and ideals of physical appearance (Calogero &amp; Thompson, 2009a).</w:t>
      </w:r>
      <w:r w:rsidR="004C6B57" w:rsidRPr="00E538C1">
        <w:rPr>
          <w:rStyle w:val="goog-gtc-translatable"/>
          <w:lang w:val="en-US"/>
        </w:rPr>
        <w:t xml:space="preserve"> </w:t>
      </w:r>
      <w:r w:rsidRPr="00E538C1">
        <w:rPr>
          <w:rStyle w:val="goog-gtc-translatable"/>
          <w:lang w:val="en-US"/>
        </w:rPr>
        <w:t xml:space="preserve">In addition, lack of sexual self-esteem </w:t>
      </w:r>
      <w:r w:rsidR="004C6B57" w:rsidRPr="00E538C1">
        <w:rPr>
          <w:rStyle w:val="goog-gtc-translatable"/>
          <w:lang w:val="en-US"/>
        </w:rPr>
        <w:t xml:space="preserve">has been observed </w:t>
      </w:r>
      <w:r w:rsidRPr="00E538C1">
        <w:rPr>
          <w:rStyle w:val="goog-gtc-translatable"/>
          <w:lang w:val="en-US"/>
        </w:rPr>
        <w:t xml:space="preserve">in women who use drugs (James, 2011), </w:t>
      </w:r>
      <w:r w:rsidR="004C6B57" w:rsidRPr="00E538C1">
        <w:rPr>
          <w:rStyle w:val="goog-gtc-translatable"/>
          <w:lang w:val="en-US"/>
        </w:rPr>
        <w:t xml:space="preserve">women </w:t>
      </w:r>
      <w:r w:rsidRPr="00E538C1">
        <w:rPr>
          <w:rStyle w:val="goog-gtc-translatable"/>
          <w:lang w:val="en-US"/>
        </w:rPr>
        <w:t xml:space="preserve">who have suffered sexual abuse in childhood (Lemieux &amp; Byers, 2008; Van Bruggen, Runtz, &amp; Kadlec, 2006), </w:t>
      </w:r>
      <w:r w:rsidR="004C6B57" w:rsidRPr="00E538C1">
        <w:rPr>
          <w:rStyle w:val="goog-gtc-translatable"/>
          <w:lang w:val="en-US"/>
        </w:rPr>
        <w:t xml:space="preserve">women suffering from </w:t>
      </w:r>
      <w:r w:rsidRPr="00E538C1">
        <w:rPr>
          <w:rStyle w:val="goog-gtc-translatable"/>
          <w:lang w:val="en-US"/>
        </w:rPr>
        <w:t xml:space="preserve">cancer (Andersen, 1999; Cleary, Hegarty, &amp; McCarthy, 2011), </w:t>
      </w:r>
      <w:r w:rsidR="004C6B57" w:rsidRPr="00E538C1">
        <w:rPr>
          <w:rStyle w:val="goog-gtc-translatable"/>
          <w:lang w:val="en-US"/>
        </w:rPr>
        <w:t xml:space="preserve">women </w:t>
      </w:r>
      <w:r w:rsidRPr="00E538C1">
        <w:rPr>
          <w:rStyle w:val="goog-gtc-translatable"/>
          <w:lang w:val="en-US"/>
        </w:rPr>
        <w:t xml:space="preserve">with eating disorders (Calogero &amp; Thompson, 2009b), </w:t>
      </w:r>
      <w:r w:rsidR="00285AC5" w:rsidRPr="00E538C1">
        <w:rPr>
          <w:rStyle w:val="goog-gtc-translatable"/>
          <w:lang w:val="en-US"/>
        </w:rPr>
        <w:t xml:space="preserve">as well as </w:t>
      </w:r>
      <w:r w:rsidRPr="00E538C1">
        <w:rPr>
          <w:rStyle w:val="goog-gtc-translatable"/>
          <w:lang w:val="en-US"/>
        </w:rPr>
        <w:t>who are dissatisfied with the</w:t>
      </w:r>
      <w:r w:rsidR="00285AC5" w:rsidRPr="00E538C1">
        <w:rPr>
          <w:rStyle w:val="goog-gtc-translatable"/>
          <w:lang w:val="en-US"/>
        </w:rPr>
        <w:t>ir</w:t>
      </w:r>
      <w:r w:rsidRPr="00E538C1">
        <w:rPr>
          <w:rStyle w:val="goog-gtc-translatable"/>
          <w:lang w:val="en-US"/>
        </w:rPr>
        <w:t xml:space="preserve"> genital appearance (Schick, Calabrese, Rima, &amp; Zucker, 2010) or </w:t>
      </w:r>
      <w:r w:rsidR="00285AC5" w:rsidRPr="00E538C1">
        <w:rPr>
          <w:rStyle w:val="goog-gtc-translatable"/>
          <w:lang w:val="en-US"/>
        </w:rPr>
        <w:t xml:space="preserve">who </w:t>
      </w:r>
      <w:r w:rsidRPr="00E538C1">
        <w:rPr>
          <w:rStyle w:val="goog-gtc-translatable"/>
          <w:lang w:val="en-US"/>
        </w:rPr>
        <w:t xml:space="preserve">have had a previous </w:t>
      </w:r>
      <w:r w:rsidR="00491DA7" w:rsidRPr="00E538C1">
        <w:rPr>
          <w:rStyle w:val="goog-gtc-translatable"/>
          <w:lang w:val="en-US"/>
        </w:rPr>
        <w:t xml:space="preserve">negative </w:t>
      </w:r>
      <w:r w:rsidRPr="00E538C1">
        <w:rPr>
          <w:rStyle w:val="goog-gtc-translatable"/>
          <w:lang w:val="en-US"/>
        </w:rPr>
        <w:t>experience (Mayers, Heller &amp; Heller, 2003) and both men and women with physical disabilities (McCabe &amp; Taleporos, 2003).</w:t>
      </w:r>
    </w:p>
    <w:p w:rsidR="00714212" w:rsidRPr="00E538C1" w:rsidRDefault="00714212" w:rsidP="00491DA7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lang w:val="en-US"/>
        </w:rPr>
        <w:t xml:space="preserve">Scales traditionally used to evaluate the SSE have been developed in the </w:t>
      </w:r>
      <w:r w:rsidR="001F4769" w:rsidRPr="00E538C1">
        <w:rPr>
          <w:rStyle w:val="goog-gtc-translatable"/>
          <w:lang w:val="en-US"/>
        </w:rPr>
        <w:t xml:space="preserve">English-speaking </w:t>
      </w:r>
      <w:r w:rsidRPr="00E538C1">
        <w:rPr>
          <w:rStyle w:val="goog-gtc-translatable"/>
          <w:lang w:val="en-US"/>
        </w:rPr>
        <w:t>context</w:t>
      </w:r>
      <w:r w:rsidR="001F4769" w:rsidRPr="00E538C1">
        <w:rPr>
          <w:rStyle w:val="goog-gtc-translatable"/>
          <w:lang w:val="en-US"/>
        </w:rPr>
        <w:t>,</w:t>
      </w:r>
      <w:r w:rsidRPr="00E538C1">
        <w:rPr>
          <w:rStyle w:val="goog-gtc-translatable"/>
          <w:lang w:val="en-US"/>
        </w:rPr>
        <w:t xml:space="preserve"> and </w:t>
      </w:r>
      <w:r w:rsidR="001F4769" w:rsidRPr="00E538C1">
        <w:rPr>
          <w:rStyle w:val="goog-gtc-translatable"/>
          <w:lang w:val="en-US"/>
        </w:rPr>
        <w:t xml:space="preserve">they </w:t>
      </w:r>
      <w:r w:rsidRPr="00E538C1">
        <w:rPr>
          <w:rStyle w:val="goog-gtc-translatable"/>
          <w:lang w:val="en-US"/>
        </w:rPr>
        <w:t>have limitations.</w:t>
      </w:r>
      <w:r w:rsidRPr="00E538C1">
        <w:rPr>
          <w:rStyle w:val="apple-converted-space"/>
          <w:lang w:val="en-US"/>
        </w:rPr>
        <w:t> </w:t>
      </w:r>
      <w:r w:rsidRPr="00E538C1">
        <w:rPr>
          <w:rStyle w:val="goog-gtc-translatable"/>
          <w:lang w:val="en-US"/>
        </w:rPr>
        <w:t>For example, Finkelhor's Sexual Self-Esteem Scale (Finkelhor, 1981) and Reed's Romantic and Sexual Self-Esteem Scale (Reed, 1988) are scarcely used at present and, in the case of the first, low reliability</w:t>
      </w:r>
      <w:r w:rsidR="00A64FF2" w:rsidRPr="00E538C1">
        <w:rPr>
          <w:rStyle w:val="goog-gtc-translatable"/>
          <w:lang w:val="en-US"/>
        </w:rPr>
        <w:t xml:space="preserve"> levels have been found</w:t>
      </w:r>
      <w:r w:rsidRPr="00E538C1">
        <w:rPr>
          <w:rStyle w:val="goog-gtc-translatable"/>
          <w:lang w:val="en-US"/>
        </w:rPr>
        <w:t>.</w:t>
      </w:r>
      <w:r w:rsidR="00A64FF2" w:rsidRPr="00E538C1">
        <w:rPr>
          <w:rStyle w:val="goog-gtc-translatable"/>
          <w:lang w:val="en-US"/>
        </w:rPr>
        <w:t xml:space="preserve"> </w:t>
      </w:r>
      <w:r w:rsidR="00FD2D4D" w:rsidRPr="00E538C1">
        <w:rPr>
          <w:rStyle w:val="goog-gtc-translatable"/>
          <w:lang w:val="en-US"/>
        </w:rPr>
        <w:t>The S</w:t>
      </w:r>
      <w:r w:rsidRPr="00E538C1">
        <w:rPr>
          <w:rStyle w:val="goog-gtc-translatable"/>
          <w:lang w:val="en-US"/>
        </w:rPr>
        <w:t xml:space="preserve">exual Self-Esteem Inventory (SS-EI; Zeanah &amp; Schwarz, 1996) only assesses </w:t>
      </w:r>
      <w:r w:rsidRPr="00E538C1">
        <w:rPr>
          <w:rStyle w:val="goog-gtc-translatable"/>
          <w:lang w:val="en-US"/>
        </w:rPr>
        <w:lastRenderedPageBreak/>
        <w:t>sexual self-esteem in women.</w:t>
      </w:r>
      <w:r w:rsidR="00FD2D4D" w:rsidRPr="00E538C1">
        <w:rPr>
          <w:rStyle w:val="goog-gtc-translatable"/>
          <w:lang w:val="en-US"/>
        </w:rPr>
        <w:t xml:space="preserve"> The </w:t>
      </w:r>
      <w:r w:rsidRPr="00E538C1">
        <w:rPr>
          <w:rStyle w:val="goog-gtc-translatable"/>
          <w:lang w:val="en-US"/>
        </w:rPr>
        <w:t xml:space="preserve">Sexual Self-Esteem Scale, Form B (SSES-B; Gaynor &amp; Underwood, 1995) </w:t>
      </w:r>
      <w:r w:rsidR="00194E2A" w:rsidRPr="00E538C1">
        <w:rPr>
          <w:rStyle w:val="goog-gtc-translatable"/>
          <w:lang w:val="en-US"/>
        </w:rPr>
        <w:t xml:space="preserve">is complete, yet it </w:t>
      </w:r>
      <w:r w:rsidR="00FD2D4D" w:rsidRPr="00E538C1">
        <w:rPr>
          <w:rStyle w:val="goog-gtc-translatable"/>
          <w:lang w:val="en-US"/>
        </w:rPr>
        <w:t>has not been evaluated in terms of its subscales’ content or concurrent validity</w:t>
      </w:r>
      <w:r w:rsidR="00194E2A" w:rsidRPr="00E538C1">
        <w:rPr>
          <w:rStyle w:val="goog-gtc-translatable"/>
          <w:lang w:val="en-US"/>
        </w:rPr>
        <w:t>. Similarly</w:t>
      </w:r>
      <w:r w:rsidR="00491DA7">
        <w:rPr>
          <w:rStyle w:val="goog-gtc-translatable"/>
          <w:lang w:val="en-US"/>
        </w:rPr>
        <w:t>,</w:t>
      </w:r>
      <w:r w:rsidR="00194E2A" w:rsidRPr="00E538C1">
        <w:rPr>
          <w:rStyle w:val="goog-gtc-translatable"/>
          <w:lang w:val="en-US"/>
        </w:rPr>
        <w:t xml:space="preserve"> Rosenthal’s </w:t>
      </w:r>
      <w:r w:rsidR="00CB2935">
        <w:rPr>
          <w:rStyle w:val="goog-gtc-translatable"/>
          <w:lang w:val="en-US"/>
        </w:rPr>
        <w:t>Sexual Self-Esteem Scale (R</w:t>
      </w:r>
      <w:r w:rsidR="00FD2D4D" w:rsidRPr="00E538C1">
        <w:rPr>
          <w:rStyle w:val="goog-gtc-translatable"/>
          <w:lang w:val="en-US"/>
        </w:rPr>
        <w:t xml:space="preserve">SES; Rosenthal, Moore, &amp; Flynn, 1991) </w:t>
      </w:r>
      <w:r w:rsidRPr="00E538C1">
        <w:rPr>
          <w:rStyle w:val="goog-gtc-translatable"/>
          <w:lang w:val="en-US"/>
        </w:rPr>
        <w:t xml:space="preserve">has </w:t>
      </w:r>
      <w:r w:rsidR="00FD2D4D" w:rsidRPr="00E538C1">
        <w:rPr>
          <w:rStyle w:val="goog-gtc-translatable"/>
          <w:lang w:val="en-US"/>
        </w:rPr>
        <w:t xml:space="preserve">several </w:t>
      </w:r>
      <w:r w:rsidRPr="00E538C1">
        <w:rPr>
          <w:rStyle w:val="goog-gtc-translatable"/>
          <w:lang w:val="en-US"/>
        </w:rPr>
        <w:t xml:space="preserve">items </w:t>
      </w:r>
      <w:r w:rsidR="00FD2D4D" w:rsidRPr="00E538C1">
        <w:rPr>
          <w:rStyle w:val="goog-gtc-translatable"/>
          <w:lang w:val="en-US"/>
        </w:rPr>
        <w:t xml:space="preserve">which evaluate </w:t>
      </w:r>
      <w:r w:rsidRPr="00E538C1">
        <w:rPr>
          <w:rStyle w:val="goog-gtc-translatable"/>
          <w:lang w:val="en-US"/>
        </w:rPr>
        <w:t>sexual self-esteem, but its psychometric properties are doubtful.</w:t>
      </w:r>
    </w:p>
    <w:p w:rsidR="00714212" w:rsidRPr="00E538C1" w:rsidRDefault="00374559" w:rsidP="00491DA7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lang w:val="en-US"/>
        </w:rPr>
        <w:t>Currently, t</w:t>
      </w:r>
      <w:r w:rsidR="00714212" w:rsidRPr="00E538C1">
        <w:rPr>
          <w:rStyle w:val="goog-gtc-translatable"/>
          <w:lang w:val="en-US"/>
        </w:rPr>
        <w:t>he Sexuality Scale (SS; Snell &amp; Papini, 1989)</w:t>
      </w:r>
      <w:r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 xml:space="preserve">is probably the </w:t>
      </w:r>
      <w:r w:rsidRPr="00E538C1">
        <w:rPr>
          <w:rStyle w:val="goog-gtc-translatable"/>
          <w:lang w:val="en-US"/>
        </w:rPr>
        <w:t xml:space="preserve">sexual </w:t>
      </w:r>
      <w:r w:rsidR="00714212" w:rsidRPr="00E538C1">
        <w:rPr>
          <w:rStyle w:val="goog-gtc-translatable"/>
          <w:lang w:val="en-US"/>
        </w:rPr>
        <w:t xml:space="preserve">self-esteem scale </w:t>
      </w:r>
      <w:r w:rsidRPr="00E538C1">
        <w:rPr>
          <w:rStyle w:val="goog-gtc-translatable"/>
          <w:lang w:val="en-US"/>
        </w:rPr>
        <w:t xml:space="preserve">which has been most widely </w:t>
      </w:r>
      <w:r w:rsidR="00714212" w:rsidRPr="00E538C1">
        <w:rPr>
          <w:rStyle w:val="goog-gtc-translatable"/>
          <w:lang w:val="en-US"/>
        </w:rPr>
        <w:t xml:space="preserve">researched </w:t>
      </w:r>
      <w:r w:rsidRPr="00E538C1">
        <w:rPr>
          <w:rStyle w:val="goog-gtc-translatable"/>
          <w:lang w:val="en-US"/>
        </w:rPr>
        <w:t xml:space="preserve">at the </w:t>
      </w:r>
      <w:r w:rsidR="00714212" w:rsidRPr="00E538C1">
        <w:rPr>
          <w:rStyle w:val="goog-gtc-translatable"/>
          <w:lang w:val="en-US"/>
        </w:rPr>
        <w:t>psychometric level.</w:t>
      </w:r>
      <w:r w:rsidRPr="00E538C1">
        <w:rPr>
          <w:rStyle w:val="goog-gtc-translatable"/>
          <w:lang w:val="en-US"/>
        </w:rPr>
        <w:t xml:space="preserve"> The Sexuality Scale </w:t>
      </w:r>
      <w:r w:rsidR="00EC237A" w:rsidRPr="00E538C1">
        <w:rPr>
          <w:rStyle w:val="goog-gtc-translatable"/>
          <w:lang w:val="en-US"/>
        </w:rPr>
        <w:t xml:space="preserve">starts with a thorough definition – </w:t>
      </w:r>
      <w:r w:rsidR="00714212" w:rsidRPr="00E538C1">
        <w:rPr>
          <w:rStyle w:val="goog-gtc-translatable"/>
          <w:lang w:val="en-US"/>
        </w:rPr>
        <w:t>both</w:t>
      </w:r>
      <w:r w:rsidR="00EC237A"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>synta</w:t>
      </w:r>
      <w:r w:rsidR="00EC237A" w:rsidRPr="00E538C1">
        <w:rPr>
          <w:rStyle w:val="goog-gtc-translatable"/>
          <w:lang w:val="en-US"/>
        </w:rPr>
        <w:t xml:space="preserve">ctically and </w:t>
      </w:r>
      <w:r w:rsidR="00714212" w:rsidRPr="00E538C1">
        <w:rPr>
          <w:rStyle w:val="goog-gtc-translatable"/>
          <w:lang w:val="en-US"/>
        </w:rPr>
        <w:t>semantic</w:t>
      </w:r>
      <w:r w:rsidR="00EC237A" w:rsidRPr="00E538C1">
        <w:rPr>
          <w:rStyle w:val="goog-gtc-translatable"/>
          <w:lang w:val="en-US"/>
        </w:rPr>
        <w:t>ally – of the</w:t>
      </w:r>
      <w:r w:rsidR="00714212" w:rsidRPr="00E538C1">
        <w:rPr>
          <w:rStyle w:val="goog-gtc-translatable"/>
          <w:lang w:val="en-US"/>
        </w:rPr>
        <w:t xml:space="preserve"> constructs to </w:t>
      </w:r>
      <w:r w:rsidR="00EC237A" w:rsidRPr="00E538C1">
        <w:rPr>
          <w:rStyle w:val="goog-gtc-translatable"/>
          <w:lang w:val="en-US"/>
        </w:rPr>
        <w:t xml:space="preserve">be </w:t>
      </w:r>
      <w:r w:rsidR="00714212" w:rsidRPr="00E538C1">
        <w:rPr>
          <w:rStyle w:val="goog-gtc-translatable"/>
          <w:lang w:val="en-US"/>
        </w:rPr>
        <w:t>evaluate</w:t>
      </w:r>
      <w:r w:rsidR="00EC237A" w:rsidRPr="00E538C1">
        <w:rPr>
          <w:rStyle w:val="goog-gtc-translatable"/>
          <w:lang w:val="en-US"/>
        </w:rPr>
        <w:t xml:space="preserve">d; it has also </w:t>
      </w:r>
      <w:r w:rsidR="00714212" w:rsidRPr="00E538C1">
        <w:rPr>
          <w:rStyle w:val="goog-gtc-translatable"/>
          <w:lang w:val="en-US"/>
        </w:rPr>
        <w:t xml:space="preserve">shown good reliability </w:t>
      </w:r>
      <w:r w:rsidR="00EC237A" w:rsidRPr="00E538C1">
        <w:rPr>
          <w:rStyle w:val="goog-gtc-translatable"/>
          <w:lang w:val="en-US"/>
        </w:rPr>
        <w:t xml:space="preserve">levels, </w:t>
      </w:r>
      <w:r w:rsidR="00714212" w:rsidRPr="00E538C1">
        <w:rPr>
          <w:rStyle w:val="goog-gtc-translatable"/>
          <w:lang w:val="en-US"/>
        </w:rPr>
        <w:t>with Cronbach alphas between .91 and .92 for SSE</w:t>
      </w:r>
      <w:r w:rsidR="00EC237A" w:rsidRPr="00E538C1">
        <w:rPr>
          <w:rStyle w:val="goog-gtc-translatable"/>
          <w:lang w:val="en-US"/>
        </w:rPr>
        <w:t xml:space="preserve">, </w:t>
      </w:r>
      <w:r w:rsidR="00714212" w:rsidRPr="00E538C1">
        <w:rPr>
          <w:rStyle w:val="goog-gtc-translatable"/>
          <w:lang w:val="en-US"/>
        </w:rPr>
        <w:t>between .85 and .93 for SD</w:t>
      </w:r>
      <w:r w:rsidR="00EC237A" w:rsidRPr="00E538C1">
        <w:rPr>
          <w:rStyle w:val="goog-gtc-translatable"/>
          <w:lang w:val="en-US"/>
        </w:rPr>
        <w:t>,</w:t>
      </w:r>
      <w:r w:rsidR="00714212" w:rsidRPr="00E538C1">
        <w:rPr>
          <w:rStyle w:val="goog-gtc-translatable"/>
          <w:lang w:val="en-US"/>
        </w:rPr>
        <w:t xml:space="preserve"> and between </w:t>
      </w:r>
      <w:r w:rsidR="00EC237A" w:rsidRPr="00E538C1">
        <w:rPr>
          <w:rStyle w:val="goog-gtc-translatable"/>
          <w:lang w:val="en-US"/>
        </w:rPr>
        <w:t>.</w:t>
      </w:r>
      <w:r w:rsidR="00714212" w:rsidRPr="00E538C1">
        <w:rPr>
          <w:rStyle w:val="goog-gtc-translatable"/>
          <w:lang w:val="en-US"/>
        </w:rPr>
        <w:t xml:space="preserve">87 and </w:t>
      </w:r>
      <w:r w:rsidR="00EC237A" w:rsidRPr="00E538C1">
        <w:rPr>
          <w:rStyle w:val="goog-gtc-translatable"/>
          <w:lang w:val="en-US"/>
        </w:rPr>
        <w:t>.</w:t>
      </w:r>
      <w:r w:rsidR="00714212" w:rsidRPr="00E538C1">
        <w:rPr>
          <w:rStyle w:val="goog-gtc-translatable"/>
          <w:lang w:val="en-US"/>
        </w:rPr>
        <w:t>91 for SP (Snell et al., 2001)</w:t>
      </w:r>
      <w:r w:rsidR="00EC237A" w:rsidRPr="00E538C1">
        <w:rPr>
          <w:rStyle w:val="goog-gtc-translatable"/>
          <w:lang w:val="en-US"/>
        </w:rPr>
        <w:t>. F</w:t>
      </w:r>
      <w:r w:rsidR="00491DA7">
        <w:rPr>
          <w:rStyle w:val="goog-gtc-translatable"/>
          <w:lang w:val="en-US"/>
        </w:rPr>
        <w:t>urthermore, the Sexuality Scale</w:t>
      </w:r>
      <w:r w:rsidR="00EC237A" w:rsidRPr="00E538C1">
        <w:rPr>
          <w:rStyle w:val="goog-gtc-translatable"/>
          <w:lang w:val="en-US"/>
        </w:rPr>
        <w:t xml:space="preserve"> has also </w:t>
      </w:r>
      <w:r w:rsidR="00714212" w:rsidRPr="00E538C1">
        <w:rPr>
          <w:rStyle w:val="goog-gtc-translatable"/>
          <w:lang w:val="en-US"/>
        </w:rPr>
        <w:t xml:space="preserve">proved </w:t>
      </w:r>
      <w:r w:rsidR="00EC237A" w:rsidRPr="00E538C1">
        <w:rPr>
          <w:rStyle w:val="goog-gtc-translatable"/>
          <w:lang w:val="en-US"/>
        </w:rPr>
        <w:t xml:space="preserve">to have </w:t>
      </w:r>
      <w:r w:rsidR="00714212" w:rsidRPr="00E538C1">
        <w:rPr>
          <w:rStyle w:val="goog-gtc-translatable"/>
          <w:lang w:val="en-US"/>
        </w:rPr>
        <w:t>suitable external validity indicators.</w:t>
      </w:r>
      <w:r w:rsidR="00EC237A"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 xml:space="preserve">These data were obtained </w:t>
      </w:r>
      <w:r w:rsidR="00EC237A" w:rsidRPr="00E538C1">
        <w:rPr>
          <w:rStyle w:val="goog-gtc-translatable"/>
          <w:lang w:val="en-US"/>
        </w:rPr>
        <w:t xml:space="preserve">from </w:t>
      </w:r>
      <w:r w:rsidR="00714212" w:rsidRPr="00E538C1">
        <w:rPr>
          <w:rStyle w:val="goog-gtc-translatable"/>
          <w:lang w:val="en-US"/>
        </w:rPr>
        <w:t xml:space="preserve">studies with college students. </w:t>
      </w:r>
      <w:r w:rsidR="00EC237A" w:rsidRPr="00E538C1">
        <w:rPr>
          <w:rStyle w:val="goog-gtc-translatable"/>
          <w:lang w:val="en-US"/>
        </w:rPr>
        <w:t xml:space="preserve">Moreover, the SS </w:t>
      </w:r>
      <w:r w:rsidR="00714212" w:rsidRPr="00E538C1">
        <w:rPr>
          <w:rStyle w:val="goog-gtc-translatable"/>
          <w:lang w:val="en-US"/>
        </w:rPr>
        <w:t xml:space="preserve">has a factor structure that has been explored, but </w:t>
      </w:r>
      <w:r w:rsidR="00EC237A" w:rsidRPr="00E538C1">
        <w:rPr>
          <w:rStyle w:val="goog-gtc-translatable"/>
          <w:lang w:val="en-US"/>
        </w:rPr>
        <w:t xml:space="preserve">is yet to be </w:t>
      </w:r>
      <w:r w:rsidR="00714212" w:rsidRPr="00E538C1">
        <w:rPr>
          <w:rStyle w:val="goog-gtc-translatable"/>
          <w:lang w:val="en-US"/>
        </w:rPr>
        <w:t>confirmed (Wiedemann &amp; Allgeier, 1993).</w:t>
      </w:r>
    </w:p>
    <w:p w:rsidR="00714212" w:rsidRPr="00E538C1" w:rsidRDefault="00714212" w:rsidP="00491DA7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lang w:val="en-US"/>
        </w:rPr>
        <w:t xml:space="preserve">Research on sexual self-esteem </w:t>
      </w:r>
      <w:r w:rsidR="00F96DFB" w:rsidRPr="00E538C1">
        <w:rPr>
          <w:rStyle w:val="goog-gtc-translatable"/>
          <w:lang w:val="en-US"/>
        </w:rPr>
        <w:t xml:space="preserve">dates back to as recently as two decades ago, </w:t>
      </w:r>
      <w:r w:rsidRPr="00E538C1">
        <w:rPr>
          <w:rStyle w:val="goog-gtc-translatable"/>
          <w:lang w:val="en-US"/>
        </w:rPr>
        <w:t xml:space="preserve">and future psychological evaluations for clinical applications </w:t>
      </w:r>
      <w:r w:rsidR="00F96DFB" w:rsidRPr="00E538C1">
        <w:rPr>
          <w:rStyle w:val="goog-gtc-translatable"/>
          <w:lang w:val="en-US"/>
        </w:rPr>
        <w:t xml:space="preserve">will </w:t>
      </w:r>
      <w:r w:rsidRPr="00E538C1">
        <w:rPr>
          <w:rStyle w:val="goog-gtc-translatable"/>
          <w:lang w:val="en-US"/>
        </w:rPr>
        <w:t>involve the need to evaluate</w:t>
      </w:r>
      <w:r w:rsidR="00F96DFB" w:rsidRPr="00E538C1">
        <w:rPr>
          <w:rStyle w:val="goog-gtc-translatable"/>
          <w:lang w:val="en-US"/>
        </w:rPr>
        <w:t xml:space="preserve"> sexual self – esteem with</w:t>
      </w:r>
      <w:r w:rsidRPr="00E538C1">
        <w:rPr>
          <w:rStyle w:val="goog-gtc-translatable"/>
          <w:lang w:val="en-US"/>
        </w:rPr>
        <w:t>,</w:t>
      </w:r>
      <w:r w:rsidR="00F96DFB" w:rsidRPr="00E538C1">
        <w:rPr>
          <w:rStyle w:val="goog-gtc-translatable"/>
          <w:lang w:val="en-US"/>
        </w:rPr>
        <w:t xml:space="preserve"> adapted,</w:t>
      </w:r>
      <w:r w:rsidRPr="00E538C1">
        <w:rPr>
          <w:rStyle w:val="goog-gtc-translatable"/>
          <w:lang w:val="en-US"/>
        </w:rPr>
        <w:t xml:space="preserve"> reliable and valid</w:t>
      </w:r>
      <w:r w:rsidR="00F96DFB" w:rsidRPr="00E538C1">
        <w:rPr>
          <w:rStyle w:val="goog-gtc-translatable"/>
          <w:lang w:val="en-US"/>
        </w:rPr>
        <w:t xml:space="preserve"> instruments</w:t>
      </w:r>
      <w:r w:rsidRPr="00E538C1">
        <w:rPr>
          <w:rStyle w:val="goog-gtc-translatable"/>
          <w:lang w:val="en-US"/>
        </w:rPr>
        <w:t>.</w:t>
      </w:r>
      <w:r w:rsidR="00F96DFB" w:rsidRPr="00E538C1">
        <w:rPr>
          <w:rStyle w:val="goog-gtc-translatable"/>
          <w:lang w:val="en-US"/>
        </w:rPr>
        <w:t xml:space="preserve"> To </w:t>
      </w:r>
      <w:r w:rsidRPr="00E538C1">
        <w:rPr>
          <w:rStyle w:val="goog-gtc-translatable"/>
          <w:lang w:val="en-US"/>
        </w:rPr>
        <w:t>date</w:t>
      </w:r>
      <w:r w:rsidR="00ED3EC9" w:rsidRPr="00E538C1">
        <w:rPr>
          <w:rStyle w:val="goog-gtc-translatable"/>
          <w:lang w:val="en-US"/>
        </w:rPr>
        <w:t xml:space="preserve">, no </w:t>
      </w:r>
      <w:r w:rsidRPr="00E538C1">
        <w:rPr>
          <w:rStyle w:val="goog-gtc-translatable"/>
          <w:lang w:val="en-US"/>
        </w:rPr>
        <w:t xml:space="preserve">scale </w:t>
      </w:r>
      <w:r w:rsidR="00ED3EC9" w:rsidRPr="00E538C1">
        <w:rPr>
          <w:rStyle w:val="goog-gtc-translatable"/>
          <w:lang w:val="en-US"/>
        </w:rPr>
        <w:t xml:space="preserve">has been validated which </w:t>
      </w:r>
      <w:r w:rsidRPr="00E538C1">
        <w:rPr>
          <w:rStyle w:val="goog-gtc-translatable"/>
          <w:lang w:val="en-US"/>
        </w:rPr>
        <w:t>evaluate</w:t>
      </w:r>
      <w:r w:rsidR="00ED3EC9" w:rsidRPr="00E538C1">
        <w:rPr>
          <w:rStyle w:val="goog-gtc-translatable"/>
          <w:lang w:val="en-US"/>
        </w:rPr>
        <w:t>s</w:t>
      </w:r>
      <w:r w:rsidRPr="00E538C1">
        <w:rPr>
          <w:rStyle w:val="goog-gtc-translatable"/>
          <w:lang w:val="en-US"/>
        </w:rPr>
        <w:t xml:space="preserve"> sexual self-esteem in the Spanish language</w:t>
      </w:r>
      <w:r w:rsidR="00ED3EC9" w:rsidRPr="00E538C1">
        <w:rPr>
          <w:rStyle w:val="goog-gtc-translatable"/>
          <w:lang w:val="en-US"/>
        </w:rPr>
        <w:t xml:space="preserve">, neither in </w:t>
      </w:r>
      <w:r w:rsidRPr="00E538C1">
        <w:rPr>
          <w:rStyle w:val="goog-gtc-translatable"/>
          <w:lang w:val="en-US"/>
        </w:rPr>
        <w:t xml:space="preserve">Colombia </w:t>
      </w:r>
      <w:r w:rsidR="00ED3EC9" w:rsidRPr="00E538C1">
        <w:rPr>
          <w:rStyle w:val="goog-gtc-translatable"/>
          <w:lang w:val="en-US"/>
        </w:rPr>
        <w:t>n</w:t>
      </w:r>
      <w:r w:rsidRPr="00E538C1">
        <w:rPr>
          <w:rStyle w:val="goog-gtc-translatable"/>
          <w:lang w:val="en-US"/>
        </w:rPr>
        <w:t>or in Spain.</w:t>
      </w:r>
      <w:r w:rsidR="00ED3EC9" w:rsidRPr="00E538C1">
        <w:rPr>
          <w:rStyle w:val="goog-gtc-translatable"/>
          <w:lang w:val="en-US"/>
        </w:rPr>
        <w:t xml:space="preserve"> T</w:t>
      </w:r>
      <w:r w:rsidRPr="00E538C1">
        <w:rPr>
          <w:rStyle w:val="goog-gtc-translatable"/>
          <w:lang w:val="en-US"/>
        </w:rPr>
        <w:t xml:space="preserve">his instrumental study (Montero &amp; León, 2007) </w:t>
      </w:r>
      <w:r w:rsidR="00ED3EC9" w:rsidRPr="00E538C1">
        <w:rPr>
          <w:rStyle w:val="goog-gtc-translatable"/>
          <w:lang w:val="en-US"/>
        </w:rPr>
        <w:t xml:space="preserve">sought to </w:t>
      </w:r>
      <w:r w:rsidRPr="00E538C1">
        <w:rPr>
          <w:rStyle w:val="goog-gtc-translatable"/>
          <w:lang w:val="en-US"/>
        </w:rPr>
        <w:t>translate, adapt and validate Snell and Papini</w:t>
      </w:r>
      <w:r w:rsidR="00ED3EC9" w:rsidRPr="00E538C1">
        <w:rPr>
          <w:rStyle w:val="goog-gtc-translatable"/>
          <w:lang w:val="en-US"/>
        </w:rPr>
        <w:t>’s</w:t>
      </w:r>
      <w:r w:rsidRPr="00E538C1">
        <w:rPr>
          <w:rStyle w:val="goog-gtc-translatable"/>
          <w:lang w:val="en-US"/>
        </w:rPr>
        <w:t xml:space="preserve"> (1989) </w:t>
      </w:r>
      <w:r w:rsidR="00ED3EC9" w:rsidRPr="00E538C1">
        <w:rPr>
          <w:rStyle w:val="goog-gtc-translatable"/>
          <w:lang w:val="en-US"/>
        </w:rPr>
        <w:t xml:space="preserve">Sexuality Scale </w:t>
      </w:r>
      <w:r w:rsidRPr="00E538C1">
        <w:rPr>
          <w:rStyle w:val="goog-gtc-translatable"/>
          <w:lang w:val="en-US"/>
        </w:rPr>
        <w:t xml:space="preserve">in </w:t>
      </w:r>
      <w:r w:rsidR="00ED3EC9" w:rsidRPr="00E538C1">
        <w:rPr>
          <w:rStyle w:val="goog-gtc-translatable"/>
          <w:lang w:val="en-US"/>
        </w:rPr>
        <w:t xml:space="preserve">its </w:t>
      </w:r>
      <w:r w:rsidRPr="00E538C1">
        <w:rPr>
          <w:rStyle w:val="goog-gtc-translatable"/>
          <w:lang w:val="en-US"/>
        </w:rPr>
        <w:t xml:space="preserve">brief version </w:t>
      </w:r>
      <w:r w:rsidR="00ED3EC9" w:rsidRPr="00E538C1">
        <w:rPr>
          <w:rStyle w:val="goog-gtc-translatable"/>
          <w:lang w:val="en-US"/>
        </w:rPr>
        <w:t xml:space="preserve">by </w:t>
      </w:r>
      <w:r w:rsidRPr="00E538C1">
        <w:rPr>
          <w:rStyle w:val="goog-gtc-translatable"/>
          <w:lang w:val="en-US"/>
        </w:rPr>
        <w:t>Wiedemann and Allgeier (1993),</w:t>
      </w:r>
      <w:r w:rsidR="00ED3EC9" w:rsidRPr="00E538C1">
        <w:rPr>
          <w:rStyle w:val="goog-gtc-translatable"/>
          <w:lang w:val="en-US"/>
        </w:rPr>
        <w:t xml:space="preserve"> which is composed of</w:t>
      </w:r>
      <w:r w:rsidR="00491DA7">
        <w:rPr>
          <w:rStyle w:val="goog-gtc-translatable"/>
          <w:lang w:val="en-US"/>
        </w:rPr>
        <w:t xml:space="preserve"> three</w:t>
      </w:r>
      <w:r w:rsidRPr="00E538C1">
        <w:rPr>
          <w:rStyle w:val="goog-gtc-translatable"/>
          <w:lang w:val="en-US"/>
        </w:rPr>
        <w:t xml:space="preserve"> </w:t>
      </w:r>
      <w:r w:rsidR="00CF21E5" w:rsidRPr="00E538C1">
        <w:rPr>
          <w:rStyle w:val="goog-gtc-translatable"/>
          <w:lang w:val="en-US"/>
        </w:rPr>
        <w:t xml:space="preserve">5-item </w:t>
      </w:r>
      <w:r w:rsidRPr="00E538C1">
        <w:rPr>
          <w:rStyle w:val="goog-gtc-translatable"/>
          <w:lang w:val="en-US"/>
        </w:rPr>
        <w:t>sub-scales (</w:t>
      </w:r>
      <w:r w:rsidR="00CF21E5" w:rsidRPr="00E538C1">
        <w:rPr>
          <w:rStyle w:val="goog-gtc-translatable"/>
          <w:lang w:val="en-US"/>
        </w:rPr>
        <w:t>S</w:t>
      </w:r>
      <w:r w:rsidRPr="00E538C1">
        <w:rPr>
          <w:rStyle w:val="goog-gtc-translatable"/>
          <w:lang w:val="en-US"/>
        </w:rPr>
        <w:t xml:space="preserve">SE, SD and SP), in a sample of Spanish and Colombian men and women. </w:t>
      </w:r>
    </w:p>
    <w:p w:rsidR="00714212" w:rsidRPr="00E538C1" w:rsidRDefault="00714212" w:rsidP="00306E25">
      <w:pPr>
        <w:pStyle w:val="NormalWeb"/>
        <w:spacing w:line="480" w:lineRule="auto"/>
        <w:jc w:val="center"/>
        <w:rPr>
          <w:b/>
          <w:lang w:val="en-US"/>
        </w:rPr>
      </w:pPr>
      <w:r w:rsidRPr="00E538C1">
        <w:rPr>
          <w:rStyle w:val="goog-gtc-translatable"/>
          <w:b/>
          <w:lang w:val="en-US"/>
        </w:rPr>
        <w:lastRenderedPageBreak/>
        <w:t>Method</w:t>
      </w:r>
    </w:p>
    <w:p w:rsidR="00714212" w:rsidRPr="00E538C1" w:rsidRDefault="00714212" w:rsidP="00423241">
      <w:pPr>
        <w:pStyle w:val="NormalWeb"/>
        <w:spacing w:line="480" w:lineRule="auto"/>
        <w:rPr>
          <w:b/>
          <w:lang w:val="en-US"/>
        </w:rPr>
      </w:pPr>
      <w:r w:rsidRPr="00E538C1">
        <w:rPr>
          <w:rStyle w:val="goog-gtc-translatable"/>
          <w:b/>
          <w:lang w:val="en-US"/>
        </w:rPr>
        <w:t>Participants</w:t>
      </w:r>
    </w:p>
    <w:p w:rsidR="00714212" w:rsidRPr="00E538C1" w:rsidRDefault="00714212" w:rsidP="00491DA7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lang w:val="en-US"/>
        </w:rPr>
        <w:t xml:space="preserve">The samples of this study are grouped into two types: </w:t>
      </w:r>
      <w:r w:rsidR="00381C2C" w:rsidRPr="00E538C1">
        <w:rPr>
          <w:rStyle w:val="goog-gtc-translatable"/>
          <w:lang w:val="en-US"/>
        </w:rPr>
        <w:t xml:space="preserve">a </w:t>
      </w:r>
      <w:r w:rsidRPr="00E538C1">
        <w:rPr>
          <w:rStyle w:val="goog-gtc-translatable"/>
          <w:lang w:val="en-US"/>
        </w:rPr>
        <w:t xml:space="preserve">sample </w:t>
      </w:r>
      <w:r w:rsidR="00381C2C" w:rsidRPr="00E538C1">
        <w:rPr>
          <w:rStyle w:val="goog-gtc-translatable"/>
          <w:lang w:val="en-US"/>
        </w:rPr>
        <w:t xml:space="preserve">of </w:t>
      </w:r>
      <w:r w:rsidRPr="00E538C1">
        <w:rPr>
          <w:rStyle w:val="goog-gtc-translatable"/>
          <w:lang w:val="en-US"/>
        </w:rPr>
        <w:t xml:space="preserve">experts and </w:t>
      </w:r>
      <w:r w:rsidR="00381C2C" w:rsidRPr="00E538C1">
        <w:rPr>
          <w:rStyle w:val="goog-gtc-translatable"/>
          <w:lang w:val="en-US"/>
        </w:rPr>
        <w:t xml:space="preserve">a sample of </w:t>
      </w:r>
      <w:r w:rsidRPr="00E538C1">
        <w:rPr>
          <w:rStyle w:val="goog-gtc-translatable"/>
          <w:lang w:val="en-US"/>
        </w:rPr>
        <w:t xml:space="preserve">participants. The first </w:t>
      </w:r>
      <w:r w:rsidR="00381C2C" w:rsidRPr="00E538C1">
        <w:rPr>
          <w:rStyle w:val="goog-gtc-translatable"/>
          <w:lang w:val="en-US"/>
        </w:rPr>
        <w:t xml:space="preserve">sample </w:t>
      </w:r>
      <w:r w:rsidRPr="00E538C1">
        <w:rPr>
          <w:rStyle w:val="goog-gtc-translatable"/>
          <w:lang w:val="en-US"/>
        </w:rPr>
        <w:t>was formed with experts in s</w:t>
      </w:r>
      <w:r w:rsidR="00491DA7">
        <w:rPr>
          <w:rStyle w:val="goog-gtc-translatable"/>
          <w:lang w:val="en-US"/>
        </w:rPr>
        <w:t>exuality and / or psychometry (five for Colombia and four</w:t>
      </w:r>
      <w:r w:rsidRPr="00E538C1">
        <w:rPr>
          <w:rStyle w:val="goog-gtc-translatable"/>
          <w:lang w:val="en-US"/>
        </w:rPr>
        <w:t xml:space="preserve"> for Spain).</w:t>
      </w:r>
      <w:r w:rsidRPr="00E538C1">
        <w:rPr>
          <w:rStyle w:val="apple-converted-space"/>
          <w:lang w:val="en-US"/>
        </w:rPr>
        <w:t> </w:t>
      </w:r>
      <w:r w:rsidR="00381C2C" w:rsidRPr="00E538C1">
        <w:rPr>
          <w:rStyle w:val="goog-gtc-translatable"/>
          <w:lang w:val="en-US"/>
        </w:rPr>
        <w:t xml:space="preserve">These experts evaluated </w:t>
      </w:r>
      <w:r w:rsidRPr="00E538C1">
        <w:rPr>
          <w:rStyle w:val="goog-gtc-translatable"/>
          <w:lang w:val="en-US"/>
        </w:rPr>
        <w:t xml:space="preserve">the translation </w:t>
      </w:r>
      <w:r w:rsidR="00381C2C" w:rsidRPr="00E538C1">
        <w:rPr>
          <w:rStyle w:val="goog-gtc-translatable"/>
          <w:lang w:val="en-US"/>
        </w:rPr>
        <w:t>– see procedure – and adaptation of</w:t>
      </w:r>
      <w:r w:rsidRPr="00E538C1">
        <w:rPr>
          <w:rStyle w:val="goog-gtc-translatable"/>
          <w:lang w:val="en-US"/>
        </w:rPr>
        <w:t xml:space="preserve"> the instrument translated into Spanish.</w:t>
      </w:r>
    </w:p>
    <w:p w:rsidR="00714212" w:rsidRPr="00E538C1" w:rsidRDefault="00714212" w:rsidP="00491DA7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lang w:val="en-US"/>
        </w:rPr>
        <w:t xml:space="preserve">The sample of participants consisted of 1,167 people (646 </w:t>
      </w:r>
      <w:r w:rsidR="00657BE1" w:rsidRPr="00E538C1">
        <w:rPr>
          <w:rStyle w:val="goog-gtc-translatable"/>
          <w:lang w:val="en-US"/>
        </w:rPr>
        <w:t xml:space="preserve">from </w:t>
      </w:r>
      <w:r w:rsidRPr="00E538C1">
        <w:rPr>
          <w:rStyle w:val="goog-gtc-translatable"/>
          <w:lang w:val="en-US"/>
        </w:rPr>
        <w:t xml:space="preserve">Colombia and </w:t>
      </w:r>
      <w:r w:rsidR="00657BE1" w:rsidRPr="00E538C1">
        <w:rPr>
          <w:rStyle w:val="goog-gtc-translatable"/>
          <w:lang w:val="en-US"/>
        </w:rPr>
        <w:t xml:space="preserve">521 from </w:t>
      </w:r>
      <w:r w:rsidRPr="00E538C1">
        <w:rPr>
          <w:rStyle w:val="goog-gtc-translatable"/>
          <w:lang w:val="en-US"/>
        </w:rPr>
        <w:t>Spain) who correctly completed the survey.</w:t>
      </w:r>
      <w:r w:rsidRPr="00E538C1">
        <w:rPr>
          <w:rStyle w:val="apple-converted-space"/>
          <w:lang w:val="en-US"/>
        </w:rPr>
        <w:t> </w:t>
      </w:r>
      <w:r w:rsidRPr="00E538C1">
        <w:rPr>
          <w:rStyle w:val="goog-gtc-translatable"/>
          <w:lang w:val="en-US"/>
        </w:rPr>
        <w:t xml:space="preserve">Table 1 presents the </w:t>
      </w:r>
      <w:r w:rsidR="00657BE1" w:rsidRPr="00E538C1">
        <w:rPr>
          <w:rStyle w:val="goog-gtc-translatable"/>
          <w:lang w:val="en-US"/>
        </w:rPr>
        <w:t xml:space="preserve">socio-psycho-sexual </w:t>
      </w:r>
      <w:r w:rsidRPr="00E538C1">
        <w:rPr>
          <w:rStyle w:val="goog-gtc-translatable"/>
          <w:lang w:val="en-US"/>
        </w:rPr>
        <w:t>characteristics of the participants of the two cultures.</w:t>
      </w:r>
      <w:r w:rsidR="00657BE1" w:rsidRPr="00E538C1">
        <w:rPr>
          <w:rStyle w:val="goog-gtc-translatable"/>
          <w:lang w:val="en-US"/>
        </w:rPr>
        <w:t xml:space="preserve"> </w:t>
      </w:r>
      <w:r w:rsidRPr="00E538C1">
        <w:rPr>
          <w:rStyle w:val="goog-gtc-translatable"/>
          <w:lang w:val="en-US"/>
        </w:rPr>
        <w:t>Inclu</w:t>
      </w:r>
      <w:r w:rsidR="00D43F01" w:rsidRPr="00E538C1">
        <w:rPr>
          <w:rStyle w:val="goog-gtc-translatable"/>
          <w:lang w:val="en-US"/>
        </w:rPr>
        <w:t>s</w:t>
      </w:r>
      <w:r w:rsidR="00A1597F" w:rsidRPr="00E538C1">
        <w:rPr>
          <w:rStyle w:val="goog-gtc-translatable"/>
          <w:lang w:val="en-US"/>
        </w:rPr>
        <w:t xml:space="preserve">ion criteria for participants </w:t>
      </w:r>
      <w:r w:rsidRPr="00E538C1">
        <w:rPr>
          <w:rStyle w:val="goog-gtc-translatable"/>
          <w:lang w:val="en-US"/>
        </w:rPr>
        <w:t>were</w:t>
      </w:r>
      <w:r w:rsidR="00E87D47" w:rsidRPr="00E538C1">
        <w:rPr>
          <w:rStyle w:val="goog-gtc-translatable"/>
          <w:lang w:val="en-US"/>
        </w:rPr>
        <w:t xml:space="preserve"> as follows</w:t>
      </w:r>
      <w:r w:rsidRPr="00E538C1">
        <w:rPr>
          <w:rStyle w:val="goog-gtc-translatable"/>
          <w:lang w:val="en-US"/>
        </w:rPr>
        <w:t>: be</w:t>
      </w:r>
      <w:r w:rsidR="00657BE1" w:rsidRPr="00E538C1">
        <w:rPr>
          <w:rStyle w:val="goog-gtc-translatable"/>
          <w:lang w:val="en-US"/>
        </w:rPr>
        <w:t>ing</w:t>
      </w:r>
      <w:r w:rsidRPr="00E538C1">
        <w:rPr>
          <w:rStyle w:val="goog-gtc-translatable"/>
          <w:lang w:val="en-US"/>
        </w:rPr>
        <w:t xml:space="preserve"> of age, </w:t>
      </w:r>
      <w:r w:rsidR="00657BE1" w:rsidRPr="00E538C1">
        <w:rPr>
          <w:rStyle w:val="goog-gtc-translatable"/>
          <w:lang w:val="en-US"/>
        </w:rPr>
        <w:t>having</w:t>
      </w:r>
      <w:r w:rsidRPr="00E538C1">
        <w:rPr>
          <w:rStyle w:val="goog-gtc-translatable"/>
          <w:lang w:val="en-US"/>
        </w:rPr>
        <w:t xml:space="preserve"> Colombian or Spanish nationality</w:t>
      </w:r>
      <w:r w:rsidR="00657BE1" w:rsidRPr="00E538C1">
        <w:rPr>
          <w:rStyle w:val="goog-gtc-translatable"/>
          <w:lang w:val="en-US"/>
        </w:rPr>
        <w:t>,</w:t>
      </w:r>
      <w:r w:rsidRPr="00E538C1">
        <w:rPr>
          <w:rStyle w:val="goog-gtc-translatable"/>
          <w:lang w:val="en-US"/>
        </w:rPr>
        <w:t xml:space="preserve"> and </w:t>
      </w:r>
      <w:r w:rsidR="00657BE1" w:rsidRPr="00E538C1">
        <w:rPr>
          <w:rStyle w:val="goog-gtc-translatable"/>
          <w:lang w:val="en-US"/>
        </w:rPr>
        <w:t xml:space="preserve">being </w:t>
      </w:r>
      <w:r w:rsidRPr="00E538C1">
        <w:rPr>
          <w:rStyle w:val="goog-gtc-translatable"/>
          <w:lang w:val="en-US"/>
        </w:rPr>
        <w:t>resident of one of these two countries.</w:t>
      </w:r>
      <w:r w:rsidR="00657BE1" w:rsidRPr="00E538C1">
        <w:rPr>
          <w:rStyle w:val="goog-gtc-translatable"/>
          <w:lang w:val="en-US"/>
        </w:rPr>
        <w:t xml:space="preserve"> Participants </w:t>
      </w:r>
      <w:r w:rsidRPr="00E538C1">
        <w:rPr>
          <w:rStyle w:val="goog-gtc-translatable"/>
          <w:lang w:val="en-US"/>
        </w:rPr>
        <w:t xml:space="preserve">who </w:t>
      </w:r>
      <w:r w:rsidR="00657BE1" w:rsidRPr="00E538C1">
        <w:rPr>
          <w:rStyle w:val="goog-gtc-translatable"/>
          <w:lang w:val="en-US"/>
        </w:rPr>
        <w:t xml:space="preserve">completed the survey </w:t>
      </w:r>
      <w:r w:rsidRPr="00E538C1">
        <w:rPr>
          <w:rStyle w:val="goog-gtc-translatable"/>
          <w:lang w:val="en-US"/>
        </w:rPr>
        <w:t xml:space="preserve">and did not provide </w:t>
      </w:r>
      <w:r w:rsidR="00657BE1" w:rsidRPr="00E538C1">
        <w:rPr>
          <w:rStyle w:val="goog-gtc-translatable"/>
          <w:lang w:val="en-US"/>
        </w:rPr>
        <w:t xml:space="preserve">their </w:t>
      </w:r>
      <w:r w:rsidRPr="00E538C1">
        <w:rPr>
          <w:rStyle w:val="goog-gtc-translatable"/>
          <w:lang w:val="en-US"/>
        </w:rPr>
        <w:t xml:space="preserve">consent </w:t>
      </w:r>
      <w:r w:rsidR="00657BE1" w:rsidRPr="00E538C1">
        <w:rPr>
          <w:rStyle w:val="goog-gtc-translatable"/>
          <w:lang w:val="en-US"/>
        </w:rPr>
        <w:t>were excluded</w:t>
      </w:r>
      <w:r w:rsidR="00D43F01" w:rsidRPr="00E538C1">
        <w:rPr>
          <w:rStyle w:val="goog-gtc-translatable"/>
          <w:lang w:val="en-US"/>
        </w:rPr>
        <w:t>,</w:t>
      </w:r>
      <w:r w:rsidR="00657BE1" w:rsidRPr="00E538C1">
        <w:rPr>
          <w:rStyle w:val="goog-gtc-translatable"/>
          <w:lang w:val="en-US"/>
        </w:rPr>
        <w:t xml:space="preserve"> as were participants aged under </w:t>
      </w:r>
      <w:r w:rsidRPr="00E538C1">
        <w:rPr>
          <w:rStyle w:val="goog-gtc-translatable"/>
          <w:lang w:val="en-US"/>
        </w:rPr>
        <w:t>18.</w:t>
      </w:r>
    </w:p>
    <w:p w:rsidR="00714212" w:rsidRPr="00E538C1" w:rsidRDefault="00714212" w:rsidP="00423241">
      <w:pPr>
        <w:pStyle w:val="NormalWeb"/>
        <w:spacing w:line="480" w:lineRule="auto"/>
        <w:rPr>
          <w:b/>
          <w:lang w:val="en-US"/>
        </w:rPr>
      </w:pPr>
      <w:r w:rsidRPr="00E538C1">
        <w:rPr>
          <w:rStyle w:val="goog-gtc-translatable"/>
          <w:b/>
          <w:lang w:val="en-US"/>
        </w:rPr>
        <w:t>Instruments</w:t>
      </w:r>
    </w:p>
    <w:p w:rsidR="00714212" w:rsidRPr="00E538C1" w:rsidRDefault="00714212" w:rsidP="00491DA7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b/>
          <w:lang w:val="en-US"/>
        </w:rPr>
        <w:t>Background information</w:t>
      </w:r>
      <w:r w:rsidRPr="00E538C1">
        <w:rPr>
          <w:rStyle w:val="goog-gtc-translatable"/>
          <w:lang w:val="en-US"/>
        </w:rPr>
        <w:t xml:space="preserve">. </w:t>
      </w:r>
      <w:r w:rsidR="009C77B9" w:rsidRPr="00E538C1">
        <w:rPr>
          <w:rStyle w:val="goog-gtc-translatable"/>
          <w:lang w:val="en-US"/>
        </w:rPr>
        <w:t>The following sociodemographic information was collected: s</w:t>
      </w:r>
      <w:r w:rsidRPr="00E538C1">
        <w:rPr>
          <w:rStyle w:val="goog-gtc-translatable"/>
          <w:lang w:val="en-US"/>
        </w:rPr>
        <w:t xml:space="preserve">ex, sexual orientation, </w:t>
      </w:r>
      <w:r w:rsidR="009C77B9" w:rsidRPr="00E538C1">
        <w:rPr>
          <w:rStyle w:val="goog-gtc-translatable"/>
          <w:lang w:val="en-US"/>
        </w:rPr>
        <w:t xml:space="preserve">whether the respondent was in </w:t>
      </w:r>
      <w:r w:rsidRPr="00E538C1">
        <w:rPr>
          <w:rStyle w:val="goog-gtc-translatable"/>
          <w:lang w:val="en-US"/>
        </w:rPr>
        <w:t xml:space="preserve">a relationship, marital status, income, </w:t>
      </w:r>
      <w:r w:rsidR="009C77B9" w:rsidRPr="00E538C1">
        <w:rPr>
          <w:rStyle w:val="goog-gtc-translatable"/>
          <w:lang w:val="en-US"/>
        </w:rPr>
        <w:t xml:space="preserve">schooling </w:t>
      </w:r>
      <w:r w:rsidRPr="00E538C1">
        <w:rPr>
          <w:rStyle w:val="goog-gtc-translatable"/>
          <w:lang w:val="en-US"/>
        </w:rPr>
        <w:t>level</w:t>
      </w:r>
      <w:r w:rsidR="002739A3">
        <w:rPr>
          <w:rStyle w:val="goog-gtc-translatable"/>
          <w:lang w:val="en-US"/>
        </w:rPr>
        <w:t>, religion, level of religiousness</w:t>
      </w:r>
      <w:r w:rsidRPr="00E538C1">
        <w:rPr>
          <w:rStyle w:val="goog-gtc-translatable"/>
          <w:lang w:val="en-US"/>
        </w:rPr>
        <w:t xml:space="preserve">, number of </w:t>
      </w:r>
      <w:r w:rsidR="009C77B9" w:rsidRPr="00E538C1">
        <w:rPr>
          <w:rStyle w:val="goog-gtc-translatable"/>
          <w:lang w:val="en-US"/>
        </w:rPr>
        <w:t>sexual partners and nationality</w:t>
      </w:r>
      <w:r w:rsidRPr="00E538C1">
        <w:rPr>
          <w:rStyle w:val="goog-gtc-translatable"/>
          <w:lang w:val="en-US"/>
        </w:rPr>
        <w:t>.</w:t>
      </w:r>
    </w:p>
    <w:p w:rsidR="00714212" w:rsidRPr="00E538C1" w:rsidRDefault="00714212" w:rsidP="006F66FC">
      <w:pPr>
        <w:pStyle w:val="NormalWeb"/>
        <w:spacing w:line="480" w:lineRule="auto"/>
        <w:rPr>
          <w:lang w:val="en-US"/>
        </w:rPr>
      </w:pPr>
      <w:r w:rsidRPr="00E538C1">
        <w:rPr>
          <w:lang w:val="en-US"/>
        </w:rPr>
        <w:t> </w:t>
      </w:r>
      <w:r w:rsidR="006F66FC">
        <w:rPr>
          <w:lang w:val="en-US"/>
        </w:rPr>
        <w:tab/>
      </w:r>
      <w:r w:rsidRPr="00E538C1">
        <w:rPr>
          <w:rStyle w:val="goog-gtc-translatable"/>
          <w:b/>
          <w:lang w:val="en-US"/>
        </w:rPr>
        <w:t>Sexuality Scale (SS; Snell &amp; Papini 1989)</w:t>
      </w:r>
      <w:r w:rsidRPr="00E538C1">
        <w:rPr>
          <w:rStyle w:val="goog-gtc-translatable"/>
          <w:lang w:val="en-US"/>
        </w:rPr>
        <w:t xml:space="preserve">. </w:t>
      </w:r>
      <w:r w:rsidR="000E23D7">
        <w:rPr>
          <w:rStyle w:val="goog-gtc-translatable"/>
          <w:lang w:val="en-US"/>
        </w:rPr>
        <w:t>We used</w:t>
      </w:r>
      <w:r w:rsidR="00CA3F1F" w:rsidRPr="00E538C1">
        <w:rPr>
          <w:rStyle w:val="goog-gtc-translatable"/>
          <w:lang w:val="en-US"/>
        </w:rPr>
        <w:t xml:space="preserve"> Wiedemann and Allgeier’s (1993) </w:t>
      </w:r>
      <w:r w:rsidRPr="00E538C1">
        <w:rPr>
          <w:rStyle w:val="goog-gtc-translatable"/>
          <w:lang w:val="en-US"/>
        </w:rPr>
        <w:t>abbreviated scale</w:t>
      </w:r>
      <w:r w:rsidR="00CA3F1F" w:rsidRPr="00E538C1">
        <w:rPr>
          <w:rStyle w:val="goog-gtc-translatable"/>
          <w:lang w:val="en-US"/>
        </w:rPr>
        <w:t>,</w:t>
      </w:r>
      <w:r w:rsidRPr="00E538C1">
        <w:rPr>
          <w:rStyle w:val="goog-gtc-translatable"/>
          <w:lang w:val="en-US"/>
        </w:rPr>
        <w:t xml:space="preserve"> which </w:t>
      </w:r>
      <w:r w:rsidR="00CA3F1F" w:rsidRPr="00E538C1">
        <w:rPr>
          <w:rStyle w:val="goog-gtc-translatable"/>
          <w:lang w:val="en-US"/>
        </w:rPr>
        <w:t xml:space="preserve">includes </w:t>
      </w:r>
      <w:r w:rsidRPr="00E538C1">
        <w:rPr>
          <w:rStyle w:val="goog-gtc-translatable"/>
          <w:lang w:val="en-US"/>
        </w:rPr>
        <w:t xml:space="preserve">15 items answered on a </w:t>
      </w:r>
      <w:r w:rsidR="00CA3F1F" w:rsidRPr="00E538C1">
        <w:rPr>
          <w:rStyle w:val="goog-gtc-translatable"/>
          <w:lang w:val="en-US"/>
        </w:rPr>
        <w:t xml:space="preserve">5-category </w:t>
      </w:r>
      <w:r w:rsidRPr="00E538C1">
        <w:rPr>
          <w:rStyle w:val="goog-gtc-translatable"/>
          <w:lang w:val="en-US"/>
        </w:rPr>
        <w:t xml:space="preserve">Likert scale ranging from </w:t>
      </w:r>
      <w:r w:rsidR="00CA3F1F" w:rsidRPr="00E538C1">
        <w:rPr>
          <w:rStyle w:val="goog-gtc-translatable"/>
          <w:i/>
          <w:lang w:val="en-US"/>
        </w:rPr>
        <w:t xml:space="preserve">I </w:t>
      </w:r>
      <w:r w:rsidRPr="00E538C1">
        <w:rPr>
          <w:rStyle w:val="goog-gtc-translatable"/>
          <w:i/>
          <w:lang w:val="en-US"/>
        </w:rPr>
        <w:t>totally disagree</w:t>
      </w:r>
      <w:r w:rsidR="00CA3F1F" w:rsidRPr="00E538C1">
        <w:rPr>
          <w:rStyle w:val="goog-gtc-translatable"/>
          <w:lang w:val="en-US"/>
        </w:rPr>
        <w:t xml:space="preserve"> to </w:t>
      </w:r>
      <w:r w:rsidR="00CA3F1F" w:rsidRPr="00E538C1">
        <w:rPr>
          <w:rStyle w:val="goog-gtc-translatable"/>
          <w:i/>
          <w:lang w:val="en-US"/>
        </w:rPr>
        <w:t>I</w:t>
      </w:r>
      <w:r w:rsidRPr="00E538C1">
        <w:rPr>
          <w:rStyle w:val="goog-gtc-translatable"/>
          <w:i/>
          <w:lang w:val="en-US"/>
        </w:rPr>
        <w:t xml:space="preserve"> strongly agree</w:t>
      </w:r>
      <w:r w:rsidRPr="00E538C1">
        <w:rPr>
          <w:rStyle w:val="goog-gtc-translatable"/>
          <w:lang w:val="en-US"/>
        </w:rPr>
        <w:t>. More information on this scale can be found in the introduction.</w:t>
      </w:r>
      <w:r w:rsidRPr="00E538C1">
        <w:rPr>
          <w:rStyle w:val="apple-converted-space"/>
          <w:lang w:val="en-US"/>
        </w:rPr>
        <w:t> </w:t>
      </w:r>
      <w:r w:rsidRPr="00E538C1">
        <w:rPr>
          <w:rStyle w:val="goog-gtc-translatable"/>
          <w:lang w:val="en-US"/>
        </w:rPr>
        <w:t xml:space="preserve">See </w:t>
      </w:r>
      <w:r w:rsidR="00CA3F1F" w:rsidRPr="00E538C1">
        <w:rPr>
          <w:rStyle w:val="goog-gtc-translatable"/>
          <w:lang w:val="en-US"/>
        </w:rPr>
        <w:t>the scale in</w:t>
      </w:r>
      <w:r w:rsidR="00C45265" w:rsidRPr="00E538C1">
        <w:rPr>
          <w:rStyle w:val="goog-gtc-translatable"/>
          <w:lang w:val="en-US"/>
        </w:rPr>
        <w:t xml:space="preserve"> Appendix 1</w:t>
      </w:r>
      <w:r w:rsidRPr="00E538C1">
        <w:rPr>
          <w:rStyle w:val="goog-gtc-translatable"/>
          <w:lang w:val="en-US"/>
        </w:rPr>
        <w:t>.</w:t>
      </w:r>
    </w:p>
    <w:p w:rsidR="00714212" w:rsidRPr="00E538C1" w:rsidRDefault="00714212" w:rsidP="006D35EF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b/>
          <w:lang w:val="en-US"/>
        </w:rPr>
        <w:lastRenderedPageBreak/>
        <w:t>The Rosenberg Self-Esteem Scale (RSES; Rosenberg, 1965, 1989)</w:t>
      </w:r>
      <w:r w:rsidRPr="00E538C1">
        <w:rPr>
          <w:rStyle w:val="goog-gtc-translatable"/>
          <w:lang w:val="en-US"/>
        </w:rPr>
        <w:t xml:space="preserve">. </w:t>
      </w:r>
      <w:r w:rsidR="006D35EF" w:rsidRPr="00E538C1">
        <w:rPr>
          <w:rStyle w:val="goog-gtc-translatable"/>
          <w:lang w:val="en-US"/>
        </w:rPr>
        <w:t>T</w:t>
      </w:r>
      <w:r w:rsidRPr="00E538C1">
        <w:rPr>
          <w:rStyle w:val="goog-gtc-translatable"/>
          <w:lang w:val="en-US"/>
        </w:rPr>
        <w:t xml:space="preserve">he Spanish version </w:t>
      </w:r>
      <w:r w:rsidR="000E23D7">
        <w:rPr>
          <w:rStyle w:val="goog-gtc-translatable"/>
          <w:lang w:val="en-US"/>
        </w:rPr>
        <w:t>(</w:t>
      </w:r>
      <w:r w:rsidRPr="00E538C1">
        <w:rPr>
          <w:rStyle w:val="goog-gtc-translatable"/>
          <w:lang w:val="en-US"/>
        </w:rPr>
        <w:t>Mart</w:t>
      </w:r>
      <w:r w:rsidR="006D35EF" w:rsidRPr="00E538C1">
        <w:rPr>
          <w:rStyle w:val="goog-gtc-translatable"/>
          <w:lang w:val="en-US"/>
        </w:rPr>
        <w:t>i</w:t>
      </w:r>
      <w:r w:rsidR="006F66FC">
        <w:rPr>
          <w:rStyle w:val="goog-gtc-translatable"/>
          <w:lang w:val="en-US"/>
        </w:rPr>
        <w:t>n-Albo, Nuñ</w:t>
      </w:r>
      <w:r w:rsidRPr="00E538C1">
        <w:rPr>
          <w:rStyle w:val="goog-gtc-translatable"/>
          <w:lang w:val="en-US"/>
        </w:rPr>
        <w:t>ez Navarro, and Grijalvo</w:t>
      </w:r>
      <w:r w:rsidR="000E23D7">
        <w:rPr>
          <w:rStyle w:val="goog-gtc-translatable"/>
          <w:lang w:val="en-US"/>
        </w:rPr>
        <w:t>,</w:t>
      </w:r>
      <w:r w:rsidRPr="00E538C1">
        <w:rPr>
          <w:rStyle w:val="goog-gtc-translatable"/>
          <w:lang w:val="en-US"/>
        </w:rPr>
        <w:t xml:space="preserve"> 2007)</w:t>
      </w:r>
      <w:r w:rsidR="000E23D7">
        <w:rPr>
          <w:rStyle w:val="goog-gtc-translatable"/>
          <w:lang w:val="en-US"/>
        </w:rPr>
        <w:t xml:space="preserve"> and Colombian</w:t>
      </w:r>
      <w:r w:rsidRPr="00E538C1">
        <w:rPr>
          <w:rStyle w:val="goog-gtc-translatable"/>
          <w:lang w:val="en-US"/>
        </w:rPr>
        <w:t xml:space="preserve"> </w:t>
      </w:r>
      <w:r w:rsidR="000E23D7">
        <w:rPr>
          <w:rStyle w:val="goog-gtc-translatable"/>
          <w:lang w:val="en-US"/>
        </w:rPr>
        <w:t>(</w:t>
      </w:r>
      <w:r w:rsidR="000E23D7" w:rsidRPr="00E538C1">
        <w:rPr>
          <w:rStyle w:val="goog-gtc-translatable"/>
          <w:lang w:val="en-US"/>
        </w:rPr>
        <w:t>Gomez-Lugo et al.</w:t>
      </w:r>
      <w:r w:rsidR="00C40D7B">
        <w:rPr>
          <w:rStyle w:val="goog-gtc-translatable"/>
          <w:lang w:val="en-US"/>
        </w:rPr>
        <w:t>,</w:t>
      </w:r>
      <w:r w:rsidR="000E23D7" w:rsidRPr="00E538C1">
        <w:rPr>
          <w:rStyle w:val="goog-gtc-translatable"/>
          <w:lang w:val="en-US"/>
        </w:rPr>
        <w:t xml:space="preserve"> 2015)</w:t>
      </w:r>
      <w:r w:rsidR="000E23D7">
        <w:rPr>
          <w:rStyle w:val="goog-gtc-translatable"/>
          <w:lang w:val="en-US"/>
        </w:rPr>
        <w:t xml:space="preserve"> were</w:t>
      </w:r>
      <w:r w:rsidR="006D35EF" w:rsidRPr="00E538C1">
        <w:rPr>
          <w:rStyle w:val="goog-gtc-translatable"/>
          <w:lang w:val="en-US"/>
        </w:rPr>
        <w:t xml:space="preserve"> used</w:t>
      </w:r>
      <w:r w:rsidRPr="00E538C1">
        <w:rPr>
          <w:rStyle w:val="goog-gtc-translatable"/>
          <w:lang w:val="en-US"/>
        </w:rPr>
        <w:t>.</w:t>
      </w:r>
      <w:r w:rsidR="009E63A4" w:rsidRPr="00E538C1">
        <w:rPr>
          <w:rStyle w:val="goog-gtc-translatable"/>
          <w:lang w:val="en-US"/>
        </w:rPr>
        <w:t xml:space="preserve"> The RSES </w:t>
      </w:r>
      <w:r w:rsidRPr="00E538C1">
        <w:rPr>
          <w:rStyle w:val="goog-gtc-translatable"/>
          <w:lang w:val="en-US"/>
        </w:rPr>
        <w:t xml:space="preserve">is a </w:t>
      </w:r>
      <w:r w:rsidR="009E63A4" w:rsidRPr="00E538C1">
        <w:rPr>
          <w:rStyle w:val="goog-gtc-translatable"/>
          <w:lang w:val="en-US"/>
        </w:rPr>
        <w:t xml:space="preserve">10-item </w:t>
      </w:r>
      <w:r w:rsidRPr="00E538C1">
        <w:rPr>
          <w:rStyle w:val="goog-gtc-translatable"/>
          <w:lang w:val="en-US"/>
        </w:rPr>
        <w:t>monofactorial scale</w:t>
      </w:r>
      <w:r w:rsidR="000E23D7">
        <w:rPr>
          <w:rStyle w:val="goog-gtc-translatable"/>
          <w:lang w:val="en-US"/>
        </w:rPr>
        <w:t xml:space="preserve"> that assess self-esteem</w:t>
      </w:r>
      <w:r w:rsidRPr="00E538C1">
        <w:rPr>
          <w:rStyle w:val="goog-gtc-translatable"/>
          <w:lang w:val="en-US"/>
        </w:rPr>
        <w:t xml:space="preserve"> with Likert response</w:t>
      </w:r>
      <w:r w:rsidR="009E63A4" w:rsidRPr="00E538C1">
        <w:rPr>
          <w:rStyle w:val="goog-gtc-translatable"/>
          <w:lang w:val="en-US"/>
        </w:rPr>
        <w:t>s</w:t>
      </w:r>
      <w:r w:rsidRPr="00E538C1">
        <w:rPr>
          <w:rStyle w:val="goog-gtc-translatable"/>
          <w:lang w:val="en-US"/>
        </w:rPr>
        <w:t xml:space="preserve"> ranging from 1 (</w:t>
      </w:r>
      <w:r w:rsidR="009E63A4" w:rsidRPr="00E538C1">
        <w:rPr>
          <w:rStyle w:val="goog-gtc-translatable"/>
          <w:i/>
          <w:lang w:val="en-US"/>
        </w:rPr>
        <w:t xml:space="preserve">I </w:t>
      </w:r>
      <w:r w:rsidRPr="00E538C1">
        <w:rPr>
          <w:rStyle w:val="goog-gtc-translatable"/>
          <w:i/>
          <w:lang w:val="en-US"/>
        </w:rPr>
        <w:t>strongly disagree</w:t>
      </w:r>
      <w:r w:rsidRPr="00E538C1">
        <w:rPr>
          <w:rStyle w:val="goog-gtc-translatable"/>
          <w:lang w:val="en-US"/>
        </w:rPr>
        <w:t>) to 4 (</w:t>
      </w:r>
      <w:r w:rsidR="009E63A4" w:rsidRPr="00E538C1">
        <w:rPr>
          <w:rStyle w:val="goog-gtc-translatable"/>
          <w:i/>
          <w:lang w:val="en-US"/>
        </w:rPr>
        <w:t xml:space="preserve">I </w:t>
      </w:r>
      <w:r w:rsidRPr="00E538C1">
        <w:rPr>
          <w:rStyle w:val="goog-gtc-translatable"/>
          <w:i/>
          <w:lang w:val="en-US"/>
        </w:rPr>
        <w:t>strongly agree</w:t>
      </w:r>
      <w:r w:rsidRPr="00E538C1">
        <w:rPr>
          <w:rStyle w:val="goog-gtc-translatable"/>
          <w:lang w:val="en-US"/>
        </w:rPr>
        <w:t xml:space="preserve">). The scale </w:t>
      </w:r>
      <w:r w:rsidR="0095120F" w:rsidRPr="00E538C1">
        <w:rPr>
          <w:rStyle w:val="goog-gtc-translatable"/>
          <w:lang w:val="en-US"/>
        </w:rPr>
        <w:t xml:space="preserve">has </w:t>
      </w:r>
      <w:r w:rsidRPr="00E538C1">
        <w:rPr>
          <w:rStyle w:val="goog-gtc-translatable"/>
          <w:lang w:val="en-US"/>
        </w:rPr>
        <w:t xml:space="preserve">confirmed its </w:t>
      </w:r>
      <w:r w:rsidR="009A183B" w:rsidRPr="00E538C1">
        <w:rPr>
          <w:rStyle w:val="goog-gtc-translatable"/>
          <w:lang w:val="en-US"/>
        </w:rPr>
        <w:t xml:space="preserve">dimensional </w:t>
      </w:r>
      <w:r w:rsidRPr="00E538C1">
        <w:rPr>
          <w:rStyle w:val="goog-gtc-translatable"/>
          <w:lang w:val="en-US"/>
        </w:rPr>
        <w:t>structur</w:t>
      </w:r>
      <w:r w:rsidR="009A183B" w:rsidRPr="00E538C1">
        <w:rPr>
          <w:rStyle w:val="goog-gtc-translatable"/>
          <w:lang w:val="en-US"/>
        </w:rPr>
        <w:t>e</w:t>
      </w:r>
      <w:r w:rsidRPr="00E538C1">
        <w:rPr>
          <w:rStyle w:val="goog-gtc-translatable"/>
          <w:lang w:val="en-US"/>
        </w:rPr>
        <w:t xml:space="preserve"> through a </w:t>
      </w:r>
      <w:r w:rsidR="009A183B" w:rsidRPr="00E538C1">
        <w:rPr>
          <w:rStyle w:val="goog-gtc-translatable"/>
          <w:lang w:val="en-US"/>
        </w:rPr>
        <w:t xml:space="preserve">Confirmatory Factor Analysis </w:t>
      </w:r>
      <w:r w:rsidRPr="00E538C1">
        <w:rPr>
          <w:rStyle w:val="goog-gtc-translatable"/>
          <w:lang w:val="en-US"/>
        </w:rPr>
        <w:t>(CFA).</w:t>
      </w:r>
      <w:r w:rsidR="00897268" w:rsidRPr="00E538C1">
        <w:rPr>
          <w:rStyle w:val="goog-gtc-translatable"/>
          <w:lang w:val="en-US"/>
        </w:rPr>
        <w:t xml:space="preserve"> The RSES </w:t>
      </w:r>
      <w:r w:rsidRPr="00E538C1">
        <w:rPr>
          <w:rStyle w:val="goog-gtc-translatable"/>
          <w:lang w:val="en-US"/>
        </w:rPr>
        <w:t>has proved reliable with α = .86 and obtained acceptable external validity labels with significant correlations with related scales.</w:t>
      </w:r>
      <w:r w:rsidR="000A72F2" w:rsidRPr="00E538C1">
        <w:rPr>
          <w:rStyle w:val="goog-gtc-translatable"/>
          <w:lang w:val="en-US"/>
        </w:rPr>
        <w:t xml:space="preserve"> </w:t>
      </w:r>
      <w:r w:rsidR="001C2303" w:rsidRPr="00E538C1">
        <w:rPr>
          <w:rStyle w:val="goog-gtc-translatable"/>
          <w:lang w:val="en-US"/>
        </w:rPr>
        <w:t>H</w:t>
      </w:r>
      <w:r w:rsidRPr="00E538C1">
        <w:rPr>
          <w:rStyle w:val="goog-gtc-translatable"/>
          <w:lang w:val="en-US"/>
        </w:rPr>
        <w:t xml:space="preserve">igher scores </w:t>
      </w:r>
      <w:r w:rsidR="001C2303" w:rsidRPr="00E538C1">
        <w:rPr>
          <w:rStyle w:val="goog-gtc-translatable"/>
          <w:lang w:val="en-US"/>
        </w:rPr>
        <w:t xml:space="preserve">in this research are indicative of </w:t>
      </w:r>
      <w:r w:rsidRPr="00E538C1">
        <w:rPr>
          <w:rStyle w:val="goog-gtc-translatable"/>
          <w:lang w:val="en-US"/>
        </w:rPr>
        <w:t>better overall self-esteem.</w:t>
      </w:r>
    </w:p>
    <w:p w:rsidR="00714212" w:rsidRPr="00E538C1" w:rsidRDefault="002646C5" w:rsidP="002646C5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b/>
          <w:lang w:val="en-US"/>
        </w:rPr>
        <w:t xml:space="preserve">The </w:t>
      </w:r>
      <w:r w:rsidR="00714212" w:rsidRPr="00E538C1">
        <w:rPr>
          <w:rStyle w:val="goog-gtc-translatable"/>
          <w:b/>
          <w:lang w:val="en-US"/>
        </w:rPr>
        <w:t>Sexual Opinion Survey (SOS; Fisher, White, Byrne, &amp; Kelley, 1988)</w:t>
      </w:r>
      <w:r w:rsidR="00714212" w:rsidRPr="00E538C1">
        <w:rPr>
          <w:rStyle w:val="goog-gtc-translatable"/>
          <w:lang w:val="en-US"/>
        </w:rPr>
        <w:t xml:space="preserve">. The </w:t>
      </w:r>
      <w:r w:rsidR="00DC1B78" w:rsidRPr="00E538C1">
        <w:rPr>
          <w:rStyle w:val="goog-gtc-translatable"/>
          <w:lang w:val="en-US"/>
        </w:rPr>
        <w:t xml:space="preserve">brief </w:t>
      </w:r>
      <w:r w:rsidR="00714212" w:rsidRPr="00E538C1">
        <w:rPr>
          <w:rStyle w:val="goog-gtc-translatable"/>
          <w:lang w:val="en-US"/>
        </w:rPr>
        <w:t xml:space="preserve">version validated in Spain (Vallejo-Medina, Granados, &amp; Sierra, 2014) </w:t>
      </w:r>
      <w:r w:rsidR="00DC1B78" w:rsidRPr="00E538C1">
        <w:rPr>
          <w:rStyle w:val="goog-gtc-translatable"/>
          <w:lang w:val="en-US"/>
        </w:rPr>
        <w:t xml:space="preserve">was used </w:t>
      </w:r>
      <w:r w:rsidR="00714212" w:rsidRPr="00E538C1">
        <w:rPr>
          <w:rStyle w:val="goog-gtc-translatable"/>
          <w:lang w:val="en-US"/>
        </w:rPr>
        <w:t>for the Spanish sample</w:t>
      </w:r>
      <w:r w:rsidR="00DC1B78" w:rsidRPr="00E538C1">
        <w:rPr>
          <w:rStyle w:val="goog-gtc-translatable"/>
          <w:lang w:val="en-US"/>
        </w:rPr>
        <w:t xml:space="preserve">, whilst </w:t>
      </w:r>
      <w:r w:rsidR="00714212" w:rsidRPr="00E538C1">
        <w:rPr>
          <w:rStyle w:val="goog-gtc-translatable"/>
          <w:lang w:val="en-US"/>
        </w:rPr>
        <w:t xml:space="preserve">the </w:t>
      </w:r>
      <w:r w:rsidR="00DC1B78" w:rsidRPr="00E538C1">
        <w:rPr>
          <w:rStyle w:val="goog-gtc-translatable"/>
          <w:lang w:val="en-US"/>
        </w:rPr>
        <w:t xml:space="preserve">brief </w:t>
      </w:r>
      <w:r w:rsidR="00714212" w:rsidRPr="00E538C1">
        <w:rPr>
          <w:rStyle w:val="goog-gtc-translatable"/>
          <w:lang w:val="en-US"/>
        </w:rPr>
        <w:t xml:space="preserve">version adapted and validated for Colombia (Vallejo-Medina et al., 2015) </w:t>
      </w:r>
      <w:r w:rsidR="00DC1B78" w:rsidRPr="00E538C1">
        <w:rPr>
          <w:rStyle w:val="goog-gtc-translatable"/>
          <w:lang w:val="en-US"/>
        </w:rPr>
        <w:t xml:space="preserve">was utilized </w:t>
      </w:r>
      <w:r w:rsidR="00714212" w:rsidRPr="00E538C1">
        <w:rPr>
          <w:rStyle w:val="goog-gtc-translatable"/>
          <w:lang w:val="en-US"/>
        </w:rPr>
        <w:t>for the Colombian sample.</w:t>
      </w:r>
      <w:r w:rsidR="00DC1B78" w:rsidRPr="00E538C1">
        <w:rPr>
          <w:rStyle w:val="goog-gtc-translatable"/>
          <w:lang w:val="en-US"/>
        </w:rPr>
        <w:t xml:space="preserve"> The SOS </w:t>
      </w:r>
      <w:r w:rsidR="00714212" w:rsidRPr="00E538C1">
        <w:rPr>
          <w:rStyle w:val="goog-gtc-translatable"/>
          <w:lang w:val="en-US"/>
        </w:rPr>
        <w:t xml:space="preserve">is </w:t>
      </w:r>
      <w:r w:rsidR="00DC1B78" w:rsidRPr="00E538C1">
        <w:rPr>
          <w:rStyle w:val="goog-gtc-translatable"/>
          <w:lang w:val="en-US"/>
        </w:rPr>
        <w:t xml:space="preserve">composed of </w:t>
      </w:r>
      <w:r w:rsidR="006F66FC">
        <w:rPr>
          <w:rStyle w:val="goog-gtc-translatable"/>
          <w:lang w:val="en-US"/>
        </w:rPr>
        <w:t>six</w:t>
      </w:r>
      <w:r w:rsidR="00714212" w:rsidRPr="00E538C1">
        <w:rPr>
          <w:rStyle w:val="goog-gtc-translatable"/>
          <w:lang w:val="en-US"/>
        </w:rPr>
        <w:t xml:space="preserve"> items </w:t>
      </w:r>
      <w:r w:rsidR="00DC1B78" w:rsidRPr="00E538C1">
        <w:rPr>
          <w:rStyle w:val="goog-gtc-translatable"/>
          <w:lang w:val="en-US"/>
        </w:rPr>
        <w:t xml:space="preserve">to be </w:t>
      </w:r>
      <w:r w:rsidR="00714212" w:rsidRPr="00E538C1">
        <w:rPr>
          <w:rStyle w:val="goog-gtc-translatable"/>
          <w:lang w:val="en-US"/>
        </w:rPr>
        <w:t>answered in a Likert scale of seven alternatives.</w:t>
      </w:r>
      <w:r w:rsidR="00FA167F"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 xml:space="preserve">The scale assesses erotophobia-erotophilia (positive or negative attitudes toward sexuality) </w:t>
      </w:r>
      <w:r w:rsidR="00FA167F" w:rsidRPr="00E538C1">
        <w:rPr>
          <w:rStyle w:val="goog-gtc-translatable"/>
          <w:lang w:val="en-US"/>
        </w:rPr>
        <w:t xml:space="preserve">in a </w:t>
      </w:r>
      <w:r w:rsidR="00714212" w:rsidRPr="00E538C1">
        <w:rPr>
          <w:rStyle w:val="goog-gtc-translatable"/>
          <w:lang w:val="en-US"/>
        </w:rPr>
        <w:t>dimensional manner.</w:t>
      </w:r>
      <w:r w:rsidR="00FA167F"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 xml:space="preserve">Furthermore, </w:t>
      </w:r>
      <w:r w:rsidR="000E23D7">
        <w:rPr>
          <w:rStyle w:val="goog-gtc-translatable"/>
          <w:lang w:val="en-US"/>
        </w:rPr>
        <w:t>t</w:t>
      </w:r>
      <w:r w:rsidR="00FA167F" w:rsidRPr="00E538C1">
        <w:rPr>
          <w:rStyle w:val="goog-gtc-translatable"/>
          <w:lang w:val="en-US"/>
        </w:rPr>
        <w:t xml:space="preserve">he SOS </w:t>
      </w:r>
      <w:r w:rsidR="00714212" w:rsidRPr="00E538C1">
        <w:rPr>
          <w:rStyle w:val="goog-gtc-translatable"/>
          <w:lang w:val="en-US"/>
        </w:rPr>
        <w:t xml:space="preserve">has proved reliable </w:t>
      </w:r>
      <w:r w:rsidR="00FA167F" w:rsidRPr="00E538C1">
        <w:rPr>
          <w:rStyle w:val="goog-gtc-translatable"/>
          <w:lang w:val="en-US"/>
        </w:rPr>
        <w:t xml:space="preserve">in Spain </w:t>
      </w:r>
      <w:r w:rsidR="00714212" w:rsidRPr="00E538C1">
        <w:rPr>
          <w:rStyle w:val="goog-gtc-translatable"/>
          <w:lang w:val="en-US"/>
        </w:rPr>
        <w:t xml:space="preserve">with α = .74 and α = .85 </w:t>
      </w:r>
      <w:r w:rsidR="00FA167F" w:rsidRPr="00E538C1">
        <w:rPr>
          <w:rStyle w:val="goog-gtc-translatable"/>
          <w:lang w:val="en-US"/>
        </w:rPr>
        <w:t xml:space="preserve">in </w:t>
      </w:r>
      <w:r w:rsidR="00714212" w:rsidRPr="00E538C1">
        <w:rPr>
          <w:rStyle w:val="goog-gtc-translatable"/>
          <w:lang w:val="en-US"/>
        </w:rPr>
        <w:t>Colombia</w:t>
      </w:r>
      <w:r w:rsidR="00FA167F" w:rsidRPr="00E538C1">
        <w:rPr>
          <w:rStyle w:val="goog-gtc-translatable"/>
          <w:lang w:val="en-US"/>
        </w:rPr>
        <w:t xml:space="preserve">, while proving </w:t>
      </w:r>
      <w:r w:rsidR="00714212" w:rsidRPr="00E538C1">
        <w:rPr>
          <w:rStyle w:val="goog-gtc-translatable"/>
          <w:lang w:val="en-US"/>
        </w:rPr>
        <w:t>adequate external validity.</w:t>
      </w:r>
      <w:r w:rsidR="00FA167F"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>Higher scores would be indicative of better attitudes toward sexuality.</w:t>
      </w:r>
    </w:p>
    <w:p w:rsidR="00714212" w:rsidRPr="00E538C1" w:rsidRDefault="00FA167F" w:rsidP="00FA167F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b/>
          <w:lang w:val="en-US"/>
        </w:rPr>
        <w:t>Sexual Assertiveness Scale</w:t>
      </w:r>
      <w:r w:rsidRPr="00E538C1">
        <w:rPr>
          <w:lang w:val="en-US"/>
        </w:rPr>
        <w:t xml:space="preserve"> </w:t>
      </w:r>
      <w:r w:rsidRPr="00E538C1">
        <w:rPr>
          <w:b/>
          <w:lang w:val="en-US"/>
        </w:rPr>
        <w:t xml:space="preserve">(SAS; Morokoff et al., 1997). </w:t>
      </w:r>
      <w:r w:rsidR="00714212" w:rsidRPr="00E538C1">
        <w:rPr>
          <w:rStyle w:val="goog-gtc-translatable"/>
          <w:lang w:val="en-US"/>
        </w:rPr>
        <w:t xml:space="preserve">The </w:t>
      </w:r>
      <w:r w:rsidRPr="00E538C1">
        <w:rPr>
          <w:rStyle w:val="goog-gtc-translatable"/>
          <w:lang w:val="en-US"/>
        </w:rPr>
        <w:t>brief</w:t>
      </w:r>
      <w:r w:rsidR="00714212" w:rsidRPr="00E538C1">
        <w:rPr>
          <w:rStyle w:val="goog-gtc-translatable"/>
          <w:lang w:val="en-US"/>
        </w:rPr>
        <w:t xml:space="preserve"> version validated in Spain and Colombia (</w:t>
      </w:r>
      <w:r w:rsidR="000E23D7" w:rsidRPr="00C40D7B">
        <w:rPr>
          <w:rStyle w:val="goog-gtc-translatable"/>
          <w:lang w:val="en-US"/>
        </w:rPr>
        <w:t xml:space="preserve">Vallejo-Medina et al., </w:t>
      </w:r>
      <w:r w:rsidR="00714212" w:rsidRPr="00C40D7B">
        <w:rPr>
          <w:rStyle w:val="goog-gtc-translatable"/>
          <w:lang w:val="en-US"/>
        </w:rPr>
        <w:t>2015</w:t>
      </w:r>
      <w:r w:rsidR="00714212" w:rsidRPr="00E538C1">
        <w:rPr>
          <w:rStyle w:val="goog-gtc-translatable"/>
          <w:lang w:val="en-US"/>
        </w:rPr>
        <w:t xml:space="preserve">) </w:t>
      </w:r>
      <w:r w:rsidRPr="00E538C1">
        <w:rPr>
          <w:rStyle w:val="goog-gtc-translatable"/>
          <w:lang w:val="en-US"/>
        </w:rPr>
        <w:t xml:space="preserve">was used, and it </w:t>
      </w:r>
      <w:r w:rsidR="00714212" w:rsidRPr="00E538C1">
        <w:rPr>
          <w:rStyle w:val="goog-gtc-translatable"/>
          <w:lang w:val="en-US"/>
        </w:rPr>
        <w:t xml:space="preserve">consists of nine items </w:t>
      </w:r>
      <w:r w:rsidRPr="00E538C1">
        <w:rPr>
          <w:rStyle w:val="goog-gtc-translatable"/>
          <w:lang w:val="en-US"/>
        </w:rPr>
        <w:t xml:space="preserve">which evaluate </w:t>
      </w:r>
      <w:r w:rsidR="00714212" w:rsidRPr="00E538C1">
        <w:rPr>
          <w:rStyle w:val="goog-gtc-translatable"/>
          <w:lang w:val="en-US"/>
        </w:rPr>
        <w:t xml:space="preserve">three components: </w:t>
      </w:r>
      <w:r w:rsidR="00714212" w:rsidRPr="00E538C1">
        <w:rPr>
          <w:rStyle w:val="goog-gtc-translatable"/>
          <w:i/>
          <w:lang w:val="en-US"/>
        </w:rPr>
        <w:t>Initiation</w:t>
      </w:r>
      <w:r w:rsidR="00714212" w:rsidRPr="00E538C1">
        <w:rPr>
          <w:rStyle w:val="goog-gtc-translatable"/>
          <w:lang w:val="en-US"/>
        </w:rPr>
        <w:t xml:space="preserve"> </w:t>
      </w:r>
      <w:r w:rsidRPr="00E538C1">
        <w:rPr>
          <w:rStyle w:val="goog-gtc-translatable"/>
          <w:lang w:val="en-US"/>
        </w:rPr>
        <w:t xml:space="preserve">– </w:t>
      </w:r>
      <w:r w:rsidR="00714212" w:rsidRPr="00E538C1">
        <w:rPr>
          <w:rStyle w:val="goog-gtc-translatable"/>
          <w:lang w:val="en-US"/>
        </w:rPr>
        <w:t>understood</w:t>
      </w:r>
      <w:r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 xml:space="preserve">as the ability to initiate sex when and as desired, </w:t>
      </w:r>
      <w:r w:rsidR="00714212" w:rsidRPr="00E538C1">
        <w:rPr>
          <w:rStyle w:val="goog-gtc-translatable"/>
          <w:i/>
          <w:lang w:val="en-US"/>
        </w:rPr>
        <w:t>Refusal</w:t>
      </w:r>
      <w:r w:rsidR="00714212" w:rsidRPr="00E538C1">
        <w:rPr>
          <w:rStyle w:val="goog-gtc-translatable"/>
          <w:lang w:val="en-US"/>
        </w:rPr>
        <w:t xml:space="preserve"> </w:t>
      </w:r>
      <w:r w:rsidR="00D61005" w:rsidRPr="00E538C1">
        <w:rPr>
          <w:rStyle w:val="goog-gtc-translatable"/>
          <w:lang w:val="en-US"/>
        </w:rPr>
        <w:t xml:space="preserve">– </w:t>
      </w:r>
      <w:r w:rsidR="00714212" w:rsidRPr="00E538C1">
        <w:rPr>
          <w:rStyle w:val="goog-gtc-translatable"/>
          <w:lang w:val="en-US"/>
        </w:rPr>
        <w:t>defined</w:t>
      </w:r>
      <w:r w:rsidR="00D61005"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 xml:space="preserve">as the ability to reject </w:t>
      </w:r>
      <w:r w:rsidR="00D61005" w:rsidRPr="00E538C1">
        <w:rPr>
          <w:rStyle w:val="goog-gtc-translatable"/>
          <w:lang w:val="en-US"/>
        </w:rPr>
        <w:t xml:space="preserve">unwanted sexual </w:t>
      </w:r>
      <w:r w:rsidR="00714212" w:rsidRPr="00E538C1">
        <w:rPr>
          <w:rStyle w:val="goog-gtc-translatable"/>
          <w:lang w:val="en-US"/>
        </w:rPr>
        <w:t>practices or contact</w:t>
      </w:r>
      <w:r w:rsidR="00D61005" w:rsidRPr="00E538C1">
        <w:rPr>
          <w:rStyle w:val="goog-gtc-translatable"/>
          <w:lang w:val="en-US"/>
        </w:rPr>
        <w:t>,</w:t>
      </w:r>
      <w:r w:rsidR="00714212" w:rsidRPr="00E538C1">
        <w:rPr>
          <w:rStyle w:val="goog-gtc-translatable"/>
          <w:lang w:val="en-US"/>
        </w:rPr>
        <w:t xml:space="preserve"> and </w:t>
      </w:r>
      <w:r w:rsidR="00D61005" w:rsidRPr="00E538C1">
        <w:rPr>
          <w:rStyle w:val="goog-gtc-translatable"/>
          <w:i/>
          <w:lang w:val="en-US"/>
        </w:rPr>
        <w:t>S</w:t>
      </w:r>
      <w:r w:rsidR="00714212" w:rsidRPr="00E538C1">
        <w:rPr>
          <w:rStyle w:val="goog-gtc-translatable"/>
          <w:i/>
          <w:lang w:val="en-US"/>
        </w:rPr>
        <w:t>exual</w:t>
      </w:r>
      <w:r w:rsidR="00D61005" w:rsidRPr="00E538C1">
        <w:rPr>
          <w:rStyle w:val="goog-gtc-translatable"/>
          <w:i/>
          <w:lang w:val="en-US"/>
        </w:rPr>
        <w:t>ly</w:t>
      </w:r>
      <w:r w:rsidR="00714212" w:rsidRPr="00E538C1">
        <w:rPr>
          <w:rStyle w:val="goog-gtc-translatable"/>
          <w:i/>
          <w:lang w:val="en-US"/>
        </w:rPr>
        <w:t xml:space="preserve"> </w:t>
      </w:r>
      <w:r w:rsidR="00D61005" w:rsidRPr="00E538C1">
        <w:rPr>
          <w:rStyle w:val="goog-gtc-translatable"/>
          <w:i/>
          <w:lang w:val="en-US"/>
        </w:rPr>
        <w:t>Transmitted</w:t>
      </w:r>
      <w:r w:rsidR="00714212" w:rsidRPr="00E538C1">
        <w:rPr>
          <w:rStyle w:val="goog-gtc-translatable"/>
          <w:i/>
          <w:lang w:val="en-US"/>
        </w:rPr>
        <w:t xml:space="preserve"> Diseases</w:t>
      </w:r>
      <w:r w:rsidR="00D61005" w:rsidRPr="00E538C1">
        <w:rPr>
          <w:rStyle w:val="goog-gtc-translatable"/>
          <w:i/>
          <w:lang w:val="en-US"/>
        </w:rPr>
        <w:t xml:space="preserve"> </w:t>
      </w:r>
      <w:r w:rsidR="00714212" w:rsidRPr="00E538C1">
        <w:rPr>
          <w:rStyle w:val="goog-gtc-translatable"/>
          <w:i/>
          <w:lang w:val="en-US"/>
        </w:rPr>
        <w:t>-</w:t>
      </w:r>
      <w:r w:rsidR="00D61005" w:rsidRPr="00E538C1">
        <w:rPr>
          <w:rStyle w:val="goog-gtc-translatable"/>
          <w:i/>
          <w:lang w:val="en-US"/>
        </w:rPr>
        <w:t xml:space="preserve"> U</w:t>
      </w:r>
      <w:r w:rsidR="00714212" w:rsidRPr="00E538C1">
        <w:rPr>
          <w:rStyle w:val="goog-gtc-translatable"/>
          <w:i/>
          <w:lang w:val="en-US"/>
        </w:rPr>
        <w:t>nwanted Pregnancy</w:t>
      </w:r>
      <w:r w:rsidR="00714212" w:rsidRPr="00E538C1">
        <w:rPr>
          <w:rStyle w:val="goog-gtc-translatable"/>
          <w:lang w:val="en-US"/>
        </w:rPr>
        <w:t xml:space="preserve"> (STD-P) which </w:t>
      </w:r>
      <w:r w:rsidR="00E73717" w:rsidRPr="00E538C1">
        <w:rPr>
          <w:rStyle w:val="goog-gtc-translatable"/>
          <w:lang w:val="en-US"/>
        </w:rPr>
        <w:t xml:space="preserve">evaluates </w:t>
      </w:r>
      <w:r w:rsidR="00714212" w:rsidRPr="00E538C1">
        <w:rPr>
          <w:rStyle w:val="goog-gtc-translatable"/>
          <w:lang w:val="en-US"/>
        </w:rPr>
        <w:t>the ability to negotiate condom use.</w:t>
      </w:r>
      <w:r w:rsidR="00E73717"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 xml:space="preserve">Each dimension is evaluated by three </w:t>
      </w:r>
      <w:r w:rsidR="00714212" w:rsidRPr="00E538C1">
        <w:rPr>
          <w:rStyle w:val="goog-gtc-translatable"/>
          <w:lang w:val="en-US"/>
        </w:rPr>
        <w:lastRenderedPageBreak/>
        <w:t xml:space="preserve">items </w:t>
      </w:r>
      <w:r w:rsidR="00A10417" w:rsidRPr="00E538C1">
        <w:rPr>
          <w:rStyle w:val="goog-gtc-translatable"/>
          <w:lang w:val="en-US"/>
        </w:rPr>
        <w:t xml:space="preserve">which </w:t>
      </w:r>
      <w:r w:rsidR="00714212" w:rsidRPr="00E538C1">
        <w:rPr>
          <w:rStyle w:val="goog-gtc-translatable"/>
          <w:lang w:val="en-US"/>
        </w:rPr>
        <w:t xml:space="preserve">are answered in a </w:t>
      </w:r>
      <w:r w:rsidR="00A10417" w:rsidRPr="00E538C1">
        <w:rPr>
          <w:rStyle w:val="goog-gtc-translatable"/>
          <w:lang w:val="en-US"/>
        </w:rPr>
        <w:t xml:space="preserve">5-category </w:t>
      </w:r>
      <w:r w:rsidR="00714212" w:rsidRPr="00E538C1">
        <w:rPr>
          <w:rStyle w:val="goog-gtc-translatable"/>
          <w:lang w:val="en-US"/>
        </w:rPr>
        <w:t>Likert scale ranging from 0 (</w:t>
      </w:r>
      <w:r w:rsidR="00A10417" w:rsidRPr="006F66FC">
        <w:rPr>
          <w:rStyle w:val="goog-gtc-translatable"/>
          <w:i/>
          <w:lang w:val="en-US"/>
        </w:rPr>
        <w:t>N</w:t>
      </w:r>
      <w:r w:rsidR="00714212" w:rsidRPr="006F66FC">
        <w:rPr>
          <w:rStyle w:val="goog-gtc-translatable"/>
          <w:i/>
          <w:lang w:val="en-US"/>
        </w:rPr>
        <w:t>ever</w:t>
      </w:r>
      <w:r w:rsidR="00714212" w:rsidRPr="00E538C1">
        <w:rPr>
          <w:rStyle w:val="goog-gtc-translatable"/>
          <w:lang w:val="en-US"/>
        </w:rPr>
        <w:t>) to 4 (</w:t>
      </w:r>
      <w:r w:rsidR="00A10417" w:rsidRPr="006F66FC">
        <w:rPr>
          <w:rStyle w:val="goog-gtc-translatable"/>
          <w:i/>
          <w:lang w:val="en-US"/>
        </w:rPr>
        <w:t>A</w:t>
      </w:r>
      <w:r w:rsidR="00714212" w:rsidRPr="006F66FC">
        <w:rPr>
          <w:rStyle w:val="goog-gtc-translatable"/>
          <w:i/>
          <w:lang w:val="en-US"/>
        </w:rPr>
        <w:t>lways</w:t>
      </w:r>
      <w:r w:rsidR="00714212" w:rsidRPr="00E538C1">
        <w:rPr>
          <w:rStyle w:val="goog-gtc-translatable"/>
          <w:lang w:val="en-US"/>
        </w:rPr>
        <w:t>).</w:t>
      </w:r>
      <w:r w:rsidR="00714212" w:rsidRPr="00E538C1">
        <w:rPr>
          <w:rStyle w:val="apple-converted-space"/>
          <w:lang w:val="en-US"/>
        </w:rPr>
        <w:t> </w:t>
      </w:r>
      <w:r w:rsidR="00714212" w:rsidRPr="00491DA7">
        <w:rPr>
          <w:rStyle w:val="goog-gtc-translatable"/>
        </w:rPr>
        <w:t xml:space="preserve">The SAS has been previously validated in Spain </w:t>
      </w:r>
      <w:r w:rsidR="00A10417" w:rsidRPr="00491DA7">
        <w:t>(Sierra, Santos-Iglesias, &amp; Vallejo-Medina, 2012; Sierra, Vallejo-Medina, &amp; Santos-Iglesias, 2011</w:t>
      </w:r>
      <w:r w:rsidR="00C40D7B">
        <w:t>; Vallejo-Medina,</w:t>
      </w:r>
      <w:r w:rsidR="00C40D7B" w:rsidRPr="00C40D7B">
        <w:t xml:space="preserve"> &amp; Sierra</w:t>
      </w:r>
      <w:r w:rsidR="00C40D7B">
        <w:t>, 2015</w:t>
      </w:r>
      <w:r w:rsidR="00A10417" w:rsidRPr="00491DA7">
        <w:t>)</w:t>
      </w:r>
      <w:r w:rsidR="00714212" w:rsidRPr="00491DA7">
        <w:rPr>
          <w:rStyle w:val="goog-gtc-translatable"/>
        </w:rPr>
        <w:t>.</w:t>
      </w:r>
      <w:r w:rsidR="00714212" w:rsidRPr="00491DA7">
        <w:rPr>
          <w:rStyle w:val="apple-converted-space"/>
        </w:rPr>
        <w:t> </w:t>
      </w:r>
      <w:r w:rsidR="00714212" w:rsidRPr="00E538C1">
        <w:rPr>
          <w:rStyle w:val="goog-gtc-translatable"/>
          <w:lang w:val="en-US"/>
        </w:rPr>
        <w:t>The scale shows adequate reliability indices (</w:t>
      </w:r>
      <w:r w:rsidR="00714212" w:rsidRPr="00E538C1">
        <w:rPr>
          <w:rStyle w:val="goog-gtc-translatable"/>
          <w:i/>
          <w:lang w:val="en-US"/>
        </w:rPr>
        <w:t>Initiation</w:t>
      </w:r>
      <w:r w:rsidR="00714212" w:rsidRPr="00E538C1">
        <w:rPr>
          <w:rStyle w:val="goog-gtc-translatable"/>
          <w:lang w:val="en-US"/>
        </w:rPr>
        <w:t xml:space="preserve"> = .72 and .75</w:t>
      </w:r>
      <w:r w:rsidR="008A52FD" w:rsidRPr="00E538C1">
        <w:rPr>
          <w:rStyle w:val="goog-gtc-translatable"/>
          <w:lang w:val="en-US"/>
        </w:rPr>
        <w:t xml:space="preserve">; </w:t>
      </w:r>
      <w:r w:rsidR="008A52FD" w:rsidRPr="00E538C1">
        <w:rPr>
          <w:rStyle w:val="goog-gtc-translatable"/>
          <w:i/>
          <w:lang w:val="en-US"/>
        </w:rPr>
        <w:t xml:space="preserve">Refusal = </w:t>
      </w:r>
      <w:r w:rsidR="00714212" w:rsidRPr="00E538C1">
        <w:rPr>
          <w:rStyle w:val="goog-gtc-translatable"/>
          <w:lang w:val="en-US"/>
        </w:rPr>
        <w:t>.60 and .82; STD-P = .90 and .91, respectively</w:t>
      </w:r>
      <w:r w:rsidR="008A52FD" w:rsidRPr="00E538C1">
        <w:rPr>
          <w:rStyle w:val="goog-gtc-translatable"/>
          <w:lang w:val="en-US"/>
        </w:rPr>
        <w:t xml:space="preserve">, </w:t>
      </w:r>
      <w:r w:rsidR="00714212" w:rsidRPr="00E538C1">
        <w:rPr>
          <w:rStyle w:val="goog-gtc-translatable"/>
          <w:lang w:val="en-US"/>
        </w:rPr>
        <w:t>for Colombia and Spain).</w:t>
      </w:r>
      <w:r w:rsidR="008A52FD" w:rsidRPr="00E538C1">
        <w:rPr>
          <w:rStyle w:val="goog-gtc-translatable"/>
          <w:lang w:val="en-US"/>
        </w:rPr>
        <w:t xml:space="preserve"> </w:t>
      </w:r>
      <w:r w:rsidR="00DB6F19">
        <w:rPr>
          <w:rStyle w:val="goog-gtc-translatable"/>
          <w:lang w:val="en-US"/>
        </w:rPr>
        <w:t>High scores are indicative of higher</w:t>
      </w:r>
      <w:r w:rsidR="00714212" w:rsidRPr="00E538C1">
        <w:rPr>
          <w:rStyle w:val="goog-gtc-translatable"/>
          <w:lang w:val="en-US"/>
        </w:rPr>
        <w:t xml:space="preserve"> sexual assertiveness.</w:t>
      </w:r>
    </w:p>
    <w:p w:rsidR="00714212" w:rsidRPr="00E538C1" w:rsidRDefault="00894D72" w:rsidP="00894D72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b/>
          <w:lang w:val="en-US"/>
        </w:rPr>
        <w:t>Massachusetts General Hospital-Sexual Functioning Questionnaire</w:t>
      </w:r>
      <w:r w:rsidRPr="00E538C1">
        <w:rPr>
          <w:lang w:val="en-US"/>
        </w:rPr>
        <w:t xml:space="preserve"> </w:t>
      </w:r>
      <w:r w:rsidRPr="00E538C1">
        <w:rPr>
          <w:b/>
          <w:lang w:val="en-US"/>
        </w:rPr>
        <w:t>(MGH-SFQ; Labbate &amp; Lare, 2001)</w:t>
      </w:r>
      <w:r w:rsidRPr="00E538C1">
        <w:rPr>
          <w:lang w:val="en-US"/>
        </w:rPr>
        <w:t xml:space="preserve">. </w:t>
      </w:r>
      <w:r w:rsidRPr="00E538C1">
        <w:rPr>
          <w:rStyle w:val="goog-gtc-translatable"/>
          <w:lang w:val="en-US"/>
        </w:rPr>
        <w:t>T</w:t>
      </w:r>
      <w:r w:rsidR="00714212" w:rsidRPr="00E538C1">
        <w:rPr>
          <w:rStyle w:val="goog-gtc-translatable"/>
          <w:lang w:val="en-US"/>
        </w:rPr>
        <w:t>he Spanish version</w:t>
      </w:r>
      <w:r w:rsidRPr="00E538C1">
        <w:rPr>
          <w:rStyle w:val="goog-gtc-translatable"/>
          <w:lang w:val="en-US"/>
        </w:rPr>
        <w:t>s</w:t>
      </w:r>
      <w:r w:rsidR="00714212" w:rsidRPr="00E538C1">
        <w:rPr>
          <w:rStyle w:val="goog-gtc-translatable"/>
          <w:lang w:val="en-US"/>
        </w:rPr>
        <w:t xml:space="preserve"> validated in Spain </w:t>
      </w:r>
      <w:r w:rsidRPr="00E538C1">
        <w:rPr>
          <w:lang w:val="en-US"/>
        </w:rPr>
        <w:t>(Sierra, Vallejo-Medina, Santos-Iglesias, &amp; Lameiras, 2012) and in Colombia (</w:t>
      </w:r>
      <w:r w:rsidRPr="00C40D7B">
        <w:rPr>
          <w:lang w:val="en-US"/>
        </w:rPr>
        <w:t>Marchal-Bertrand et al., 2015</w:t>
      </w:r>
      <w:r w:rsidRPr="00E538C1">
        <w:rPr>
          <w:lang w:val="en-US"/>
        </w:rPr>
        <w:t>) have been used in this study</w:t>
      </w:r>
      <w:r w:rsidR="00714212" w:rsidRPr="00E538C1">
        <w:rPr>
          <w:rStyle w:val="goog-gtc-translatable"/>
          <w:lang w:val="en-US"/>
        </w:rPr>
        <w:t>.</w:t>
      </w:r>
      <w:r w:rsidRPr="00E538C1">
        <w:rPr>
          <w:rStyle w:val="goog-gtc-translatable"/>
          <w:lang w:val="en-US"/>
        </w:rPr>
        <w:t xml:space="preserve"> This questionnaire briefly </w:t>
      </w:r>
      <w:r w:rsidR="00714212" w:rsidRPr="00E538C1">
        <w:rPr>
          <w:rStyle w:val="goog-gtc-translatable"/>
          <w:lang w:val="en-US"/>
        </w:rPr>
        <w:t xml:space="preserve">evaluates sexual functioning </w:t>
      </w:r>
      <w:r w:rsidRPr="00E538C1">
        <w:rPr>
          <w:rStyle w:val="goog-gtc-translatable"/>
          <w:lang w:val="en-US"/>
        </w:rPr>
        <w:t xml:space="preserve">of males </w:t>
      </w:r>
      <w:r w:rsidR="002739A3">
        <w:rPr>
          <w:rStyle w:val="goog-gtc-translatable"/>
          <w:lang w:val="en-US"/>
        </w:rPr>
        <w:t>during the past month in five</w:t>
      </w:r>
      <w:r w:rsidR="00714212" w:rsidRPr="00E538C1">
        <w:rPr>
          <w:rStyle w:val="goog-gtc-translatable"/>
          <w:lang w:val="en-US"/>
        </w:rPr>
        <w:t xml:space="preserve"> dimensions (</w:t>
      </w:r>
      <w:r w:rsidRPr="00E538C1">
        <w:rPr>
          <w:rStyle w:val="goog-gtc-translatable"/>
          <w:i/>
          <w:lang w:val="en-US"/>
        </w:rPr>
        <w:t xml:space="preserve">Sexual Interest, Sexual Arousal, Orgasm, Erection </w:t>
      </w:r>
      <w:r w:rsidR="002739A3">
        <w:rPr>
          <w:rStyle w:val="goog-gtc-translatable"/>
          <w:i/>
          <w:lang w:val="en-US"/>
        </w:rPr>
        <w:t>a</w:t>
      </w:r>
      <w:r w:rsidRPr="00E538C1">
        <w:rPr>
          <w:rStyle w:val="goog-gtc-translatable"/>
          <w:i/>
          <w:lang w:val="en-US"/>
        </w:rPr>
        <w:t>nd Overall Sexual Satisfaction</w:t>
      </w:r>
      <w:r w:rsidR="00714212" w:rsidRPr="00E538C1">
        <w:rPr>
          <w:rStyle w:val="goog-gtc-translatable"/>
          <w:lang w:val="en-US"/>
        </w:rPr>
        <w:t>)</w:t>
      </w:r>
      <w:r w:rsidRPr="00E538C1">
        <w:rPr>
          <w:rStyle w:val="goog-gtc-translatable"/>
          <w:lang w:val="en-US"/>
        </w:rPr>
        <w:t>,</w:t>
      </w:r>
      <w:r w:rsidR="00714212" w:rsidRPr="00E538C1">
        <w:rPr>
          <w:rStyle w:val="goog-gtc-translatable"/>
          <w:lang w:val="en-US"/>
        </w:rPr>
        <w:t xml:space="preserve"> and </w:t>
      </w:r>
      <w:r w:rsidR="002739A3" w:rsidRPr="00E538C1">
        <w:rPr>
          <w:rStyle w:val="goog-gtc-translatable"/>
          <w:lang w:val="en-US"/>
        </w:rPr>
        <w:t>four</w:t>
      </w:r>
      <w:r w:rsidR="00714212" w:rsidRPr="00E538C1">
        <w:rPr>
          <w:rStyle w:val="goog-gtc-translatable"/>
          <w:lang w:val="en-US"/>
        </w:rPr>
        <w:t xml:space="preserve"> dimensions </w:t>
      </w:r>
      <w:r w:rsidRPr="00E538C1">
        <w:rPr>
          <w:rStyle w:val="goog-gtc-translatable"/>
          <w:lang w:val="en-US"/>
        </w:rPr>
        <w:t xml:space="preserve">for women </w:t>
      </w:r>
      <w:r w:rsidR="00714212" w:rsidRPr="00E538C1">
        <w:rPr>
          <w:rStyle w:val="goog-gtc-translatable"/>
          <w:lang w:val="en-US"/>
        </w:rPr>
        <w:t>(</w:t>
      </w:r>
      <w:r w:rsidRPr="00E538C1">
        <w:rPr>
          <w:rStyle w:val="goog-gtc-translatable"/>
          <w:lang w:val="en-US"/>
        </w:rPr>
        <w:t>same as for men, though excluding erection)</w:t>
      </w:r>
      <w:r w:rsidR="00714212" w:rsidRPr="00E538C1">
        <w:rPr>
          <w:rStyle w:val="goog-gtc-translatable"/>
          <w:lang w:val="en-US"/>
        </w:rPr>
        <w:t>.</w:t>
      </w:r>
      <w:r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>All dimensions are composed of a single item</w:t>
      </w:r>
      <w:r w:rsidR="001329B8" w:rsidRPr="00E538C1">
        <w:rPr>
          <w:rStyle w:val="goog-gtc-translatable"/>
          <w:lang w:val="en-US"/>
        </w:rPr>
        <w:t>,</w:t>
      </w:r>
      <w:r w:rsidR="00714212" w:rsidRPr="00E538C1">
        <w:rPr>
          <w:rStyle w:val="goog-gtc-translatable"/>
          <w:lang w:val="en-US"/>
        </w:rPr>
        <w:t xml:space="preserve"> and </w:t>
      </w:r>
      <w:r w:rsidR="001329B8" w:rsidRPr="00E538C1">
        <w:rPr>
          <w:rStyle w:val="goog-gtc-translatable"/>
          <w:lang w:val="en-US"/>
        </w:rPr>
        <w:t xml:space="preserve">the </w:t>
      </w:r>
      <w:r w:rsidR="00714212" w:rsidRPr="00E538C1">
        <w:rPr>
          <w:rStyle w:val="goog-gtc-translatable"/>
          <w:lang w:val="en-US"/>
        </w:rPr>
        <w:t xml:space="preserve">scale </w:t>
      </w:r>
      <w:r w:rsidR="001329B8" w:rsidRPr="00E538C1">
        <w:rPr>
          <w:rStyle w:val="goog-gtc-translatable"/>
          <w:lang w:val="en-US"/>
        </w:rPr>
        <w:t xml:space="preserve">may </w:t>
      </w:r>
      <w:r w:rsidR="00714212" w:rsidRPr="00E538C1">
        <w:rPr>
          <w:rStyle w:val="goog-gtc-translatable"/>
          <w:lang w:val="en-US"/>
        </w:rPr>
        <w:t xml:space="preserve">be interpreted as </w:t>
      </w:r>
      <w:r w:rsidR="001329B8" w:rsidRPr="00E538C1">
        <w:rPr>
          <w:rStyle w:val="goog-gtc-translatable"/>
          <w:lang w:val="en-US"/>
        </w:rPr>
        <w:t xml:space="preserve">being </w:t>
      </w:r>
      <w:r w:rsidR="00714212" w:rsidRPr="00E538C1">
        <w:rPr>
          <w:rStyle w:val="goog-gtc-translatable"/>
          <w:lang w:val="en-US"/>
        </w:rPr>
        <w:t>one</w:t>
      </w:r>
      <w:r w:rsidR="001329B8" w:rsidRPr="00E538C1">
        <w:rPr>
          <w:rStyle w:val="goog-gtc-translatable"/>
          <w:lang w:val="en-US"/>
        </w:rPr>
        <w:t>-</w:t>
      </w:r>
      <w:r w:rsidR="00714212" w:rsidRPr="00E538C1">
        <w:rPr>
          <w:rStyle w:val="goog-gtc-translatable"/>
          <w:lang w:val="en-US"/>
        </w:rPr>
        <w:t>dimensional (</w:t>
      </w:r>
      <w:r w:rsidR="00714212" w:rsidRPr="00E538C1">
        <w:rPr>
          <w:rStyle w:val="goog-gtc-translatable"/>
          <w:i/>
          <w:lang w:val="en-US"/>
        </w:rPr>
        <w:t>general sexual function</w:t>
      </w:r>
      <w:r w:rsidR="001329B8" w:rsidRPr="00E538C1">
        <w:rPr>
          <w:rStyle w:val="goog-gtc-translatable"/>
          <w:i/>
          <w:lang w:val="en-US"/>
        </w:rPr>
        <w:t>ing</w:t>
      </w:r>
      <w:r w:rsidR="00714212" w:rsidRPr="00E538C1">
        <w:rPr>
          <w:rStyle w:val="goog-gtc-translatable"/>
          <w:lang w:val="en-US"/>
        </w:rPr>
        <w:t>) or multidimensional.</w:t>
      </w:r>
      <w:r w:rsidR="00F50D0B"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 xml:space="preserve">The scale is answered using a </w:t>
      </w:r>
      <w:r w:rsidR="00F50D0B" w:rsidRPr="00E538C1">
        <w:rPr>
          <w:rStyle w:val="goog-gtc-translatable"/>
          <w:lang w:val="en-US"/>
        </w:rPr>
        <w:t xml:space="preserve">5-choice </w:t>
      </w:r>
      <w:r w:rsidR="00714212" w:rsidRPr="00E538C1">
        <w:rPr>
          <w:rStyle w:val="goog-gtc-translatable"/>
          <w:lang w:val="en-US"/>
        </w:rPr>
        <w:t xml:space="preserve">Likert scale (0 = </w:t>
      </w:r>
      <w:r w:rsidR="00714212" w:rsidRPr="00E538C1">
        <w:rPr>
          <w:rStyle w:val="goog-gtc-translatable"/>
          <w:i/>
          <w:lang w:val="en-US"/>
        </w:rPr>
        <w:t>Strongly decreased</w:t>
      </w:r>
      <w:r w:rsidR="00714212" w:rsidRPr="00E538C1">
        <w:rPr>
          <w:rStyle w:val="goog-gtc-translatable"/>
          <w:lang w:val="en-US"/>
        </w:rPr>
        <w:t xml:space="preserve"> and 4 = </w:t>
      </w:r>
      <w:r w:rsidR="00714212" w:rsidRPr="00E538C1">
        <w:rPr>
          <w:rStyle w:val="goog-gtc-translatable"/>
          <w:i/>
          <w:lang w:val="en-US"/>
        </w:rPr>
        <w:t>Normal</w:t>
      </w:r>
      <w:r w:rsidR="00714212" w:rsidRPr="00E538C1">
        <w:rPr>
          <w:rStyle w:val="goog-gtc-translatable"/>
          <w:lang w:val="en-US"/>
        </w:rPr>
        <w:t>).</w:t>
      </w:r>
      <w:r w:rsidR="00A2672F"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>Reliability in this study for women in Colombia and Spain was .88 and .89</w:t>
      </w:r>
      <w:r w:rsidR="00A2672F" w:rsidRPr="00E538C1">
        <w:rPr>
          <w:rStyle w:val="goog-gtc-translatable"/>
          <w:lang w:val="en-US"/>
        </w:rPr>
        <w:t>, and .89 and .81 for males</w:t>
      </w:r>
      <w:r w:rsidR="007B7332" w:rsidRPr="00E538C1">
        <w:rPr>
          <w:rStyle w:val="goog-gtc-translatable"/>
          <w:lang w:val="en-US"/>
        </w:rPr>
        <w:t>,</w:t>
      </w:r>
      <w:r w:rsidR="00A2672F" w:rsidRPr="00E538C1">
        <w:rPr>
          <w:rStyle w:val="goog-gtc-translatable"/>
          <w:lang w:val="en-US"/>
        </w:rPr>
        <w:t xml:space="preserve"> respectively</w:t>
      </w:r>
      <w:r w:rsidR="00714212" w:rsidRPr="00E538C1">
        <w:rPr>
          <w:rStyle w:val="goog-gtc-translatable"/>
          <w:lang w:val="en-US"/>
        </w:rPr>
        <w:t xml:space="preserve">. Higher scores indicate better sexual </w:t>
      </w:r>
      <w:r w:rsidR="00987CF9" w:rsidRPr="00E538C1">
        <w:rPr>
          <w:rStyle w:val="goog-gtc-translatable"/>
          <w:lang w:val="en-US"/>
        </w:rPr>
        <w:t>functioning</w:t>
      </w:r>
      <w:r w:rsidR="00714212" w:rsidRPr="00E538C1">
        <w:rPr>
          <w:rStyle w:val="goog-gtc-translatable"/>
          <w:lang w:val="en-US"/>
        </w:rPr>
        <w:t>.</w:t>
      </w:r>
    </w:p>
    <w:p w:rsidR="00714212" w:rsidRPr="00E538C1" w:rsidRDefault="00714212" w:rsidP="00423241">
      <w:pPr>
        <w:pStyle w:val="NormalWeb"/>
        <w:spacing w:line="480" w:lineRule="auto"/>
        <w:rPr>
          <w:b/>
          <w:lang w:val="en-US"/>
        </w:rPr>
      </w:pPr>
      <w:r w:rsidRPr="00E538C1">
        <w:rPr>
          <w:rStyle w:val="goog-gtc-translatable"/>
          <w:b/>
          <w:lang w:val="en-US"/>
        </w:rPr>
        <w:t>Procedure</w:t>
      </w:r>
    </w:p>
    <w:p w:rsidR="00714212" w:rsidRPr="00E538C1" w:rsidRDefault="00714212" w:rsidP="002739A3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lang w:val="en-US"/>
        </w:rPr>
        <w:t xml:space="preserve">Two translators </w:t>
      </w:r>
      <w:r w:rsidR="000F3300" w:rsidRPr="00E538C1">
        <w:rPr>
          <w:rStyle w:val="goog-gtc-translatable"/>
          <w:lang w:val="en-US"/>
        </w:rPr>
        <w:t xml:space="preserve">residing </w:t>
      </w:r>
      <w:r w:rsidRPr="00E538C1">
        <w:rPr>
          <w:rStyle w:val="goog-gtc-translatable"/>
          <w:lang w:val="en-US"/>
        </w:rPr>
        <w:t xml:space="preserve">in each country </w:t>
      </w:r>
      <w:r w:rsidR="000F3300" w:rsidRPr="00E538C1">
        <w:rPr>
          <w:rStyle w:val="goog-gtc-translatable"/>
          <w:lang w:val="en-US"/>
        </w:rPr>
        <w:t xml:space="preserve">translated the </w:t>
      </w:r>
      <w:r w:rsidRPr="00E538C1">
        <w:rPr>
          <w:rStyle w:val="goog-gtc-translatable"/>
          <w:lang w:val="en-US"/>
        </w:rPr>
        <w:t xml:space="preserve">instrument from English into </w:t>
      </w:r>
      <w:r w:rsidR="000F3300" w:rsidRPr="00E538C1">
        <w:rPr>
          <w:rStyle w:val="goog-gtc-translatable"/>
          <w:lang w:val="en-US"/>
        </w:rPr>
        <w:t xml:space="preserve">the </w:t>
      </w:r>
      <w:r w:rsidRPr="00E538C1">
        <w:rPr>
          <w:rStyle w:val="goog-gtc-translatable"/>
          <w:lang w:val="en-US"/>
        </w:rPr>
        <w:t xml:space="preserve">Spanish </w:t>
      </w:r>
      <w:r w:rsidR="000F3300" w:rsidRPr="00E538C1">
        <w:rPr>
          <w:rStyle w:val="goog-gtc-translatable"/>
          <w:lang w:val="en-US"/>
        </w:rPr>
        <w:t xml:space="preserve">language </w:t>
      </w:r>
      <w:r w:rsidRPr="00E538C1">
        <w:rPr>
          <w:rStyle w:val="goog-gtc-translatable"/>
          <w:lang w:val="en-US"/>
        </w:rPr>
        <w:t>of each culture</w:t>
      </w:r>
      <w:r w:rsidR="000F3300" w:rsidRPr="00E538C1">
        <w:rPr>
          <w:rStyle w:val="goog-gtc-translatable"/>
          <w:lang w:val="en-US"/>
        </w:rPr>
        <w:t xml:space="preserve">. Subsequently, the research team performed </w:t>
      </w:r>
      <w:r w:rsidRPr="00E538C1">
        <w:rPr>
          <w:rStyle w:val="goog-gtc-translatable"/>
          <w:lang w:val="en-US"/>
        </w:rPr>
        <w:t xml:space="preserve">cultural adaptation </w:t>
      </w:r>
      <w:r w:rsidR="002739A3">
        <w:rPr>
          <w:rStyle w:val="goog-gtc-translatable"/>
          <w:lang w:val="en-US"/>
        </w:rPr>
        <w:t xml:space="preserve">of </w:t>
      </w:r>
      <w:r w:rsidRPr="00E538C1">
        <w:rPr>
          <w:rStyle w:val="goog-gtc-translatable"/>
          <w:lang w:val="en-US"/>
        </w:rPr>
        <w:t xml:space="preserve">the guidelines </w:t>
      </w:r>
      <w:r w:rsidR="002739A3">
        <w:rPr>
          <w:rStyle w:val="goog-gtc-translatable"/>
          <w:lang w:val="en-US"/>
        </w:rPr>
        <w:t>by</w:t>
      </w:r>
      <w:r w:rsidR="000F3300" w:rsidRPr="00E538C1">
        <w:rPr>
          <w:rStyle w:val="goog-gtc-translatable"/>
          <w:lang w:val="en-US"/>
        </w:rPr>
        <w:t xml:space="preserve"> </w:t>
      </w:r>
      <w:r w:rsidR="002739A3">
        <w:rPr>
          <w:rStyle w:val="goog-gtc-translatable"/>
          <w:lang w:val="en-US"/>
        </w:rPr>
        <w:t>Muñ</w:t>
      </w:r>
      <w:r w:rsidRPr="00E538C1">
        <w:rPr>
          <w:rStyle w:val="goog-gtc-translatable"/>
          <w:lang w:val="en-US"/>
        </w:rPr>
        <w:t>iz</w:t>
      </w:r>
      <w:r w:rsidR="000F3300" w:rsidRPr="00E538C1">
        <w:rPr>
          <w:rStyle w:val="goog-gtc-translatable"/>
          <w:lang w:val="en-US"/>
        </w:rPr>
        <w:t xml:space="preserve">, Elousa and Hambleton (2013), as well as those of </w:t>
      </w:r>
      <w:r w:rsidRPr="00E538C1">
        <w:rPr>
          <w:rStyle w:val="goog-gtc-translatable"/>
          <w:lang w:val="en-US"/>
        </w:rPr>
        <w:lastRenderedPageBreak/>
        <w:t xml:space="preserve">AERA, APA and NCME (2014) including some recommendations </w:t>
      </w:r>
      <w:r w:rsidR="000F3300" w:rsidRPr="00E538C1">
        <w:rPr>
          <w:rStyle w:val="goog-gtc-translatable"/>
          <w:lang w:val="en-US"/>
        </w:rPr>
        <w:t xml:space="preserve">by </w:t>
      </w:r>
      <w:r w:rsidRPr="00E538C1">
        <w:rPr>
          <w:rStyle w:val="goog-gtc-translatable"/>
          <w:lang w:val="en-US"/>
        </w:rPr>
        <w:t>Elosua, Mujika, Almeida, and Hermosilla (2014).</w:t>
      </w:r>
      <w:r w:rsidR="000F3300" w:rsidRPr="00E538C1">
        <w:rPr>
          <w:rStyle w:val="goog-gtc-translatable"/>
          <w:lang w:val="en-US"/>
        </w:rPr>
        <w:t xml:space="preserve"> T</w:t>
      </w:r>
      <w:r w:rsidRPr="00E538C1">
        <w:rPr>
          <w:rStyle w:val="goog-gtc-translatable"/>
          <w:lang w:val="en-US"/>
        </w:rPr>
        <w:t xml:space="preserve">wo </w:t>
      </w:r>
      <w:r w:rsidR="000F3300" w:rsidRPr="00E538C1">
        <w:rPr>
          <w:rStyle w:val="goog-gtc-translatable"/>
          <w:lang w:val="en-US"/>
        </w:rPr>
        <w:t xml:space="preserve">adapted </w:t>
      </w:r>
      <w:r w:rsidRPr="00E538C1">
        <w:rPr>
          <w:rStyle w:val="goog-gtc-translatable"/>
          <w:lang w:val="en-US"/>
        </w:rPr>
        <w:t>scales</w:t>
      </w:r>
      <w:r w:rsidR="000F3300" w:rsidRPr="00E538C1">
        <w:rPr>
          <w:rStyle w:val="goog-gtc-translatable"/>
          <w:lang w:val="en-US"/>
        </w:rPr>
        <w:t xml:space="preserve"> were finally obtained; one for Colombia and one for Spain</w:t>
      </w:r>
      <w:r w:rsidRPr="00E538C1">
        <w:rPr>
          <w:rStyle w:val="goog-gtc-translatable"/>
          <w:lang w:val="en-US"/>
        </w:rPr>
        <w:t>.</w:t>
      </w:r>
      <w:r w:rsidRPr="00E538C1">
        <w:rPr>
          <w:lang w:val="en-US"/>
        </w:rPr>
        <w:t> </w:t>
      </w:r>
    </w:p>
    <w:p w:rsidR="00714212" w:rsidRPr="00E538C1" w:rsidRDefault="00714212" w:rsidP="002739A3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lang w:val="en-US"/>
        </w:rPr>
        <w:t xml:space="preserve">The translated and adapted version of each scale was </w:t>
      </w:r>
      <w:r w:rsidR="00606F27" w:rsidRPr="00E538C1">
        <w:rPr>
          <w:rStyle w:val="goog-gtc-translatable"/>
          <w:lang w:val="en-US"/>
        </w:rPr>
        <w:t xml:space="preserve">evaluated </w:t>
      </w:r>
      <w:r w:rsidRPr="00E538C1">
        <w:rPr>
          <w:rStyle w:val="goog-gtc-translatable"/>
          <w:lang w:val="en-US"/>
        </w:rPr>
        <w:t>qualitatively by four experts in psychometrics and / or sexuality in each country.</w:t>
      </w:r>
      <w:r w:rsidRPr="00E538C1">
        <w:rPr>
          <w:rStyle w:val="apple-converted-space"/>
          <w:lang w:val="en-US"/>
        </w:rPr>
        <w:t> </w:t>
      </w:r>
      <w:r w:rsidRPr="00E538C1">
        <w:rPr>
          <w:rStyle w:val="goog-gtc-translatable"/>
          <w:lang w:val="en-US"/>
        </w:rPr>
        <w:t xml:space="preserve">The criteria evaluated were </w:t>
      </w:r>
      <w:r w:rsidR="00DB6F19" w:rsidRPr="00DB6F19">
        <w:rPr>
          <w:rStyle w:val="goog-gtc-translatable"/>
          <w:i/>
          <w:lang w:val="en-US"/>
        </w:rPr>
        <w:t>R</w:t>
      </w:r>
      <w:r w:rsidRPr="00DB6F19">
        <w:rPr>
          <w:rStyle w:val="goog-gtc-translatable"/>
          <w:i/>
          <w:lang w:val="en-US"/>
        </w:rPr>
        <w:t>epresentativeness</w:t>
      </w:r>
      <w:r w:rsidRPr="00E538C1">
        <w:rPr>
          <w:rStyle w:val="goog-gtc-translatable"/>
          <w:lang w:val="en-US"/>
        </w:rPr>
        <w:t xml:space="preserve"> </w:t>
      </w:r>
      <w:r w:rsidR="00DB6F19">
        <w:rPr>
          <w:rStyle w:val="goog-gtc-translatable"/>
          <w:lang w:val="en-US"/>
        </w:rPr>
        <w:t xml:space="preserve">and </w:t>
      </w:r>
      <w:r w:rsidR="00DB6F19" w:rsidRPr="00DB6F19">
        <w:rPr>
          <w:i/>
          <w:lang w:val="en-US"/>
        </w:rPr>
        <w:t>Ownership</w:t>
      </w:r>
      <w:r w:rsidR="00DB6F19" w:rsidRPr="00E538C1">
        <w:rPr>
          <w:rStyle w:val="goog-gtc-translatable"/>
          <w:lang w:val="en-US"/>
        </w:rPr>
        <w:t xml:space="preserve"> </w:t>
      </w:r>
      <w:r w:rsidRPr="00E538C1">
        <w:rPr>
          <w:rStyle w:val="goog-gtc-translatable"/>
          <w:lang w:val="en-US"/>
        </w:rPr>
        <w:t>(</w:t>
      </w:r>
      <w:r w:rsidR="00606F27" w:rsidRPr="00E538C1">
        <w:rPr>
          <w:rStyle w:val="goog-gtc-translatable"/>
          <w:lang w:val="en-US"/>
        </w:rPr>
        <w:t>i</w:t>
      </w:r>
      <w:r w:rsidRPr="00E538C1">
        <w:rPr>
          <w:rStyle w:val="goog-gtc-translatable"/>
          <w:lang w:val="en-US"/>
        </w:rPr>
        <w:t>tem</w:t>
      </w:r>
      <w:r w:rsidR="00606F27" w:rsidRPr="00E538C1">
        <w:rPr>
          <w:rStyle w:val="goog-gtc-translatable"/>
          <w:lang w:val="en-US"/>
        </w:rPr>
        <w:t>’s</w:t>
      </w:r>
      <w:r w:rsidRPr="00E538C1">
        <w:rPr>
          <w:rStyle w:val="goog-gtc-translatable"/>
          <w:lang w:val="en-US"/>
        </w:rPr>
        <w:t xml:space="preserve"> contribution to the three constructs that make up the scale)</w:t>
      </w:r>
      <w:r w:rsidR="00606F27" w:rsidRPr="00E538C1">
        <w:rPr>
          <w:rStyle w:val="goog-gtc-translatable"/>
          <w:lang w:val="en-US"/>
        </w:rPr>
        <w:t>;</w:t>
      </w:r>
      <w:r w:rsidRPr="00E538C1">
        <w:rPr>
          <w:rStyle w:val="goog-gtc-translatable"/>
          <w:lang w:val="en-US"/>
        </w:rPr>
        <w:t xml:space="preserve"> </w:t>
      </w:r>
      <w:r w:rsidR="00606F27" w:rsidRPr="00E538C1">
        <w:rPr>
          <w:rStyle w:val="goog-gtc-translatable"/>
          <w:i/>
          <w:lang w:val="en-US"/>
        </w:rPr>
        <w:t>Understanding</w:t>
      </w:r>
      <w:r w:rsidR="00606F27" w:rsidRPr="00E538C1">
        <w:rPr>
          <w:rStyle w:val="goog-gtc-translatable"/>
          <w:lang w:val="en-US"/>
        </w:rPr>
        <w:t xml:space="preserve"> </w:t>
      </w:r>
      <w:r w:rsidRPr="00E538C1">
        <w:rPr>
          <w:rStyle w:val="goog-gtc-translatable"/>
          <w:lang w:val="en-US"/>
        </w:rPr>
        <w:t>of the item in each country</w:t>
      </w:r>
      <w:r w:rsidR="00606F27" w:rsidRPr="00E538C1">
        <w:rPr>
          <w:rStyle w:val="goog-gtc-translatable"/>
          <w:lang w:val="en-US"/>
        </w:rPr>
        <w:t>’</w:t>
      </w:r>
      <w:r w:rsidRPr="00E538C1">
        <w:rPr>
          <w:rStyle w:val="goog-gtc-translatable"/>
          <w:lang w:val="en-US"/>
        </w:rPr>
        <w:t>s version</w:t>
      </w:r>
      <w:r w:rsidR="00D842DB" w:rsidRPr="00E538C1">
        <w:rPr>
          <w:rStyle w:val="goog-gtc-translatable"/>
          <w:lang w:val="en-US"/>
        </w:rPr>
        <w:t>,</w:t>
      </w:r>
      <w:r w:rsidRPr="00E538C1">
        <w:rPr>
          <w:rStyle w:val="goog-gtc-translatable"/>
          <w:lang w:val="en-US"/>
        </w:rPr>
        <w:t xml:space="preserve"> </w:t>
      </w:r>
      <w:r w:rsidR="00D842DB" w:rsidRPr="00E538C1">
        <w:rPr>
          <w:rStyle w:val="goog-gtc-translatable"/>
          <w:i/>
          <w:lang w:val="en-US"/>
        </w:rPr>
        <w:t>I</w:t>
      </w:r>
      <w:r w:rsidRPr="00E538C1">
        <w:rPr>
          <w:rStyle w:val="goog-gtc-translatable"/>
          <w:i/>
          <w:lang w:val="en-US"/>
        </w:rPr>
        <w:t>nterpretation</w:t>
      </w:r>
      <w:r w:rsidRPr="00E538C1">
        <w:rPr>
          <w:rStyle w:val="goog-gtc-translatable"/>
          <w:lang w:val="en-US"/>
        </w:rPr>
        <w:t xml:space="preserve"> (no ambiguity) and </w:t>
      </w:r>
      <w:r w:rsidR="0069707F" w:rsidRPr="00E538C1">
        <w:rPr>
          <w:rStyle w:val="goog-gtc-translatable"/>
          <w:lang w:val="en-US"/>
        </w:rPr>
        <w:t xml:space="preserve">item </w:t>
      </w:r>
      <w:r w:rsidRPr="00E538C1">
        <w:rPr>
          <w:rStyle w:val="goog-gtc-translatable"/>
          <w:i/>
          <w:lang w:val="en-US"/>
        </w:rPr>
        <w:t>Clarity</w:t>
      </w:r>
      <w:r w:rsidRPr="00E538C1">
        <w:rPr>
          <w:rStyle w:val="goog-gtc-translatable"/>
          <w:lang w:val="en-US"/>
        </w:rPr>
        <w:t xml:space="preserve"> (how concise </w:t>
      </w:r>
      <w:r w:rsidR="0069707F" w:rsidRPr="00E538C1">
        <w:rPr>
          <w:rStyle w:val="goog-gtc-translatable"/>
          <w:lang w:val="en-US"/>
        </w:rPr>
        <w:t>it is</w:t>
      </w:r>
      <w:r w:rsidRPr="00E538C1">
        <w:rPr>
          <w:rStyle w:val="goog-gtc-translatable"/>
          <w:lang w:val="en-US"/>
        </w:rPr>
        <w:t>).</w:t>
      </w:r>
      <w:r w:rsidR="0069707F" w:rsidRPr="00E538C1">
        <w:rPr>
          <w:rStyle w:val="goog-gtc-translatable"/>
          <w:lang w:val="en-US"/>
        </w:rPr>
        <w:t xml:space="preserve"> </w:t>
      </w:r>
      <w:r w:rsidRPr="00E538C1">
        <w:rPr>
          <w:rStyle w:val="goog-gtc-translatable"/>
          <w:lang w:val="en-US"/>
        </w:rPr>
        <w:t xml:space="preserve">Experts </w:t>
      </w:r>
      <w:r w:rsidR="00BE1EB5" w:rsidRPr="00E538C1">
        <w:rPr>
          <w:rStyle w:val="goog-gtc-translatable"/>
          <w:lang w:val="en-US"/>
        </w:rPr>
        <w:t xml:space="preserve">scored </w:t>
      </w:r>
      <w:r w:rsidRPr="00E538C1">
        <w:rPr>
          <w:rStyle w:val="goog-gtc-translatable"/>
          <w:lang w:val="en-US"/>
        </w:rPr>
        <w:t>the property of each item in a Likert scale ranging from 1 (</w:t>
      </w:r>
      <w:r w:rsidRPr="002739A3">
        <w:rPr>
          <w:rStyle w:val="goog-gtc-translatable"/>
          <w:i/>
          <w:lang w:val="en-US"/>
        </w:rPr>
        <w:t>Nothing ...)</w:t>
      </w:r>
      <w:r w:rsidRPr="00E538C1">
        <w:rPr>
          <w:rStyle w:val="goog-gtc-translatable"/>
          <w:lang w:val="en-US"/>
        </w:rPr>
        <w:t xml:space="preserve"> to 4 (</w:t>
      </w:r>
      <w:r w:rsidRPr="002739A3">
        <w:rPr>
          <w:rStyle w:val="goog-gtc-translatable"/>
          <w:i/>
          <w:lang w:val="en-US"/>
        </w:rPr>
        <w:t>very ...</w:t>
      </w:r>
      <w:r w:rsidRPr="00E538C1">
        <w:rPr>
          <w:rStyle w:val="goog-gtc-translatable"/>
          <w:lang w:val="en-US"/>
        </w:rPr>
        <w:t>).</w:t>
      </w:r>
      <w:r w:rsidRPr="00E538C1">
        <w:rPr>
          <w:rStyle w:val="apple-converted-space"/>
          <w:lang w:val="en-US"/>
        </w:rPr>
        <w:t> </w:t>
      </w:r>
      <w:r w:rsidRPr="00E538C1">
        <w:rPr>
          <w:rStyle w:val="goog-gtc-translatable"/>
          <w:lang w:val="en-US"/>
        </w:rPr>
        <w:t xml:space="preserve">The level of agreement on the criteria of </w:t>
      </w:r>
      <w:r w:rsidR="00BE1EB5" w:rsidRPr="00E538C1">
        <w:rPr>
          <w:rStyle w:val="goog-gtc-translatable"/>
          <w:lang w:val="en-US"/>
        </w:rPr>
        <w:t>R</w:t>
      </w:r>
      <w:r w:rsidRPr="00E538C1">
        <w:rPr>
          <w:rStyle w:val="goog-gtc-translatable"/>
          <w:lang w:val="en-US"/>
        </w:rPr>
        <w:t>epresentativeness,</w:t>
      </w:r>
      <w:r w:rsidR="00DB6F19">
        <w:rPr>
          <w:rStyle w:val="goog-gtc-translatable"/>
          <w:lang w:val="en-US"/>
        </w:rPr>
        <w:t xml:space="preserve"> </w:t>
      </w:r>
      <w:r w:rsidR="00DB6F19" w:rsidRPr="00DB6F19">
        <w:rPr>
          <w:lang w:val="en-US"/>
        </w:rPr>
        <w:t>Ownership</w:t>
      </w:r>
      <w:r w:rsidR="00DB6F19">
        <w:rPr>
          <w:lang w:val="en-US"/>
        </w:rPr>
        <w:t>,</w:t>
      </w:r>
      <w:r w:rsidRPr="00E538C1">
        <w:rPr>
          <w:rStyle w:val="goog-gtc-translatable"/>
          <w:lang w:val="en-US"/>
        </w:rPr>
        <w:t xml:space="preserve"> </w:t>
      </w:r>
      <w:r w:rsidR="00BE1EB5" w:rsidRPr="00E538C1">
        <w:rPr>
          <w:rStyle w:val="goog-gtc-translatable"/>
          <w:lang w:val="en-US"/>
        </w:rPr>
        <w:t>U</w:t>
      </w:r>
      <w:r w:rsidRPr="00E538C1">
        <w:rPr>
          <w:rStyle w:val="goog-gtc-translatable"/>
          <w:lang w:val="en-US"/>
        </w:rPr>
        <w:t xml:space="preserve">nderstanding, </w:t>
      </w:r>
      <w:r w:rsidR="00BE1EB5" w:rsidRPr="00E538C1">
        <w:rPr>
          <w:rStyle w:val="goog-gtc-translatable"/>
          <w:lang w:val="en-US"/>
        </w:rPr>
        <w:t>I</w:t>
      </w:r>
      <w:r w:rsidRPr="00E538C1">
        <w:rPr>
          <w:rStyle w:val="goog-gtc-translatable"/>
          <w:lang w:val="en-US"/>
        </w:rPr>
        <w:t xml:space="preserve">nterpretation and </w:t>
      </w:r>
      <w:r w:rsidR="00BE1EB5" w:rsidRPr="00E538C1">
        <w:rPr>
          <w:rStyle w:val="goog-gtc-translatable"/>
          <w:lang w:val="en-US"/>
        </w:rPr>
        <w:t>C</w:t>
      </w:r>
      <w:r w:rsidRPr="00E538C1">
        <w:rPr>
          <w:rStyle w:val="goog-gtc-translatable"/>
          <w:lang w:val="en-US"/>
        </w:rPr>
        <w:t xml:space="preserve">larity was found through a table of specifications of the items (Osterlind, 1989) </w:t>
      </w:r>
      <w:r w:rsidR="00BE1EB5" w:rsidRPr="00E538C1">
        <w:rPr>
          <w:rStyle w:val="goog-gtc-translatable"/>
          <w:lang w:val="en-US"/>
        </w:rPr>
        <w:t xml:space="preserve">on </w:t>
      </w:r>
      <w:r w:rsidRPr="00E538C1">
        <w:rPr>
          <w:rStyle w:val="goog-gtc-translatable"/>
          <w:lang w:val="en-US"/>
        </w:rPr>
        <w:t xml:space="preserve">the ICaiken </w:t>
      </w:r>
      <w:r w:rsidR="00BE1EB5" w:rsidRPr="00E538C1">
        <w:rPr>
          <w:rStyle w:val="goog-gtc-translatable"/>
          <w:lang w:val="en-US"/>
        </w:rPr>
        <w:t xml:space="preserve">program </w:t>
      </w:r>
      <w:r w:rsidRPr="00E538C1">
        <w:rPr>
          <w:rStyle w:val="goog-gtc-translatable"/>
          <w:lang w:val="en-US"/>
        </w:rPr>
        <w:t>(Merino Soto &amp; Livia Segovia, 2009)</w:t>
      </w:r>
      <w:r w:rsidR="00BE1EB5" w:rsidRPr="00E538C1">
        <w:rPr>
          <w:rStyle w:val="goog-gtc-translatable"/>
          <w:lang w:val="en-US"/>
        </w:rPr>
        <w:t xml:space="preserve">, which </w:t>
      </w:r>
      <w:r w:rsidRPr="00E538C1">
        <w:rPr>
          <w:rStyle w:val="goog-gtc-translatable"/>
          <w:lang w:val="en-US"/>
        </w:rPr>
        <w:t xml:space="preserve">allows </w:t>
      </w:r>
      <w:r w:rsidR="00BE1EB5" w:rsidRPr="00E538C1">
        <w:rPr>
          <w:rStyle w:val="goog-gtc-translatable"/>
          <w:lang w:val="en-US"/>
        </w:rPr>
        <w:t xml:space="preserve">to obtain the confidence interval to </w:t>
      </w:r>
      <w:r w:rsidRPr="00E538C1">
        <w:rPr>
          <w:rStyle w:val="goog-gtc-translatable"/>
          <w:lang w:val="en-US"/>
        </w:rPr>
        <w:t>Aiken</w:t>
      </w:r>
      <w:r w:rsidR="002739A3">
        <w:rPr>
          <w:rStyle w:val="goog-gtc-translatable"/>
          <w:lang w:val="en-US"/>
        </w:rPr>
        <w:t>´s</w:t>
      </w:r>
      <w:r w:rsidRPr="00E538C1">
        <w:rPr>
          <w:rStyle w:val="goog-gtc-translatable"/>
          <w:lang w:val="en-US"/>
        </w:rPr>
        <w:t xml:space="preserve"> </w:t>
      </w:r>
      <w:r w:rsidR="00BE1EB5" w:rsidRPr="00E538C1">
        <w:rPr>
          <w:rStyle w:val="goog-gtc-translatable"/>
          <w:lang w:val="en-US"/>
        </w:rPr>
        <w:t>V</w:t>
      </w:r>
      <w:r w:rsidRPr="00E538C1">
        <w:rPr>
          <w:rStyle w:val="goog-gtc-translatable"/>
          <w:lang w:val="en-US"/>
        </w:rPr>
        <w:t>(Aiken, 1980, 1985).</w:t>
      </w:r>
    </w:p>
    <w:p w:rsidR="00714212" w:rsidRPr="00E538C1" w:rsidRDefault="00714212" w:rsidP="002739A3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lang w:val="en-US"/>
        </w:rPr>
        <w:t xml:space="preserve">The final form of the scale was </w:t>
      </w:r>
      <w:r w:rsidR="00B22C91" w:rsidRPr="00E538C1">
        <w:rPr>
          <w:rStyle w:val="goog-gtc-translatable"/>
          <w:lang w:val="en-US"/>
        </w:rPr>
        <w:t xml:space="preserve">administered to </w:t>
      </w:r>
      <w:r w:rsidRPr="00E538C1">
        <w:rPr>
          <w:rStyle w:val="goog-gtc-translatable"/>
          <w:lang w:val="en-US"/>
        </w:rPr>
        <w:t>all participa</w:t>
      </w:r>
      <w:r w:rsidR="00B22C91" w:rsidRPr="00E538C1">
        <w:rPr>
          <w:rStyle w:val="goog-gtc-translatable"/>
          <w:lang w:val="en-US"/>
        </w:rPr>
        <w:t xml:space="preserve">nts </w:t>
      </w:r>
      <w:r w:rsidRPr="00E538C1">
        <w:rPr>
          <w:rStyle w:val="goog-gtc-translatable"/>
          <w:lang w:val="en-US"/>
        </w:rPr>
        <w:t>virtually.</w:t>
      </w:r>
      <w:r w:rsidRPr="00E538C1">
        <w:rPr>
          <w:rStyle w:val="apple-converted-space"/>
          <w:lang w:val="en-US"/>
        </w:rPr>
        <w:t> </w:t>
      </w:r>
      <w:r w:rsidR="00431C45" w:rsidRPr="00E538C1">
        <w:rPr>
          <w:rStyle w:val="goog-gtc-translatable"/>
          <w:lang w:val="en-US"/>
        </w:rPr>
        <w:t>To this end,</w:t>
      </w:r>
      <w:r w:rsidRPr="00E538C1">
        <w:rPr>
          <w:rStyle w:val="goog-gtc-translatable"/>
          <w:lang w:val="en-US"/>
        </w:rPr>
        <w:t xml:space="preserve"> sampl</w:t>
      </w:r>
      <w:r w:rsidR="00431C45" w:rsidRPr="00E538C1">
        <w:rPr>
          <w:rStyle w:val="goog-gtc-translatable"/>
          <w:lang w:val="en-US"/>
        </w:rPr>
        <w:t>ing</w:t>
      </w:r>
      <w:r w:rsidRPr="00E538C1">
        <w:rPr>
          <w:rStyle w:val="goog-gtc-translatable"/>
          <w:lang w:val="en-US"/>
        </w:rPr>
        <w:t xml:space="preserve"> of participants was incidental in the two countries.</w:t>
      </w:r>
      <w:r w:rsidR="00431C45" w:rsidRPr="00E538C1">
        <w:rPr>
          <w:rStyle w:val="goog-gtc-translatable"/>
          <w:lang w:val="en-US"/>
        </w:rPr>
        <w:t xml:space="preserve"> D</w:t>
      </w:r>
      <w:r w:rsidRPr="00E538C1">
        <w:rPr>
          <w:rStyle w:val="goog-gtc-translatable"/>
          <w:lang w:val="en-US"/>
        </w:rPr>
        <w:t>ata collection was carried out between October 2014 and February 2015. The battery was implemented through the application Typeform © and distributed via email and Facebook ©.</w:t>
      </w:r>
    </w:p>
    <w:p w:rsidR="00714212" w:rsidRPr="00E538C1" w:rsidRDefault="00714212" w:rsidP="00423241">
      <w:pPr>
        <w:pStyle w:val="NormalWeb"/>
        <w:spacing w:line="480" w:lineRule="auto"/>
        <w:rPr>
          <w:b/>
          <w:lang w:val="en-US"/>
        </w:rPr>
      </w:pPr>
      <w:r w:rsidRPr="00E538C1">
        <w:rPr>
          <w:rStyle w:val="goog-gtc-translatable"/>
          <w:b/>
          <w:lang w:val="en-US"/>
        </w:rPr>
        <w:t>Analysis of data</w:t>
      </w:r>
    </w:p>
    <w:p w:rsidR="00F96C96" w:rsidRPr="00E538C1" w:rsidRDefault="00F96C96" w:rsidP="002739A3">
      <w:pPr>
        <w:pStyle w:val="NormalWeb"/>
        <w:spacing w:line="480" w:lineRule="auto"/>
        <w:ind w:firstLine="708"/>
        <w:rPr>
          <w:rStyle w:val="goog-gtc-translatable"/>
          <w:lang w:val="en-US"/>
        </w:rPr>
      </w:pPr>
      <w:r w:rsidRPr="00E538C1">
        <w:rPr>
          <w:rStyle w:val="goog-gtc-translatable"/>
          <w:lang w:val="en-US"/>
        </w:rPr>
        <w:t xml:space="preserve">Software programs </w:t>
      </w:r>
      <w:r w:rsidR="00714212" w:rsidRPr="00E538C1">
        <w:rPr>
          <w:rStyle w:val="goog-gtc-translatable"/>
          <w:lang w:val="en-US"/>
        </w:rPr>
        <w:t xml:space="preserve">SPSS 20.0 and EQS 6.1 </w:t>
      </w:r>
      <w:r w:rsidRPr="00E538C1">
        <w:rPr>
          <w:rStyle w:val="goog-gtc-translatable"/>
          <w:lang w:val="en-US"/>
        </w:rPr>
        <w:t>were used in order to find the psychometric properties of the scale.</w:t>
      </w:r>
    </w:p>
    <w:p w:rsidR="00714212" w:rsidRPr="00E538C1" w:rsidRDefault="00714212" w:rsidP="00423241">
      <w:pPr>
        <w:pStyle w:val="NormalWeb"/>
        <w:spacing w:line="480" w:lineRule="auto"/>
        <w:rPr>
          <w:lang w:val="en-US"/>
        </w:rPr>
      </w:pPr>
      <w:r w:rsidRPr="00E538C1">
        <w:rPr>
          <w:rStyle w:val="goog-gtc-translatable"/>
          <w:lang w:val="en-US"/>
        </w:rPr>
        <w:lastRenderedPageBreak/>
        <w:t xml:space="preserve">It was determined that a score </w:t>
      </w:r>
      <w:r w:rsidR="00F96C96" w:rsidRPr="00E538C1">
        <w:rPr>
          <w:rStyle w:val="goog-gtc-translatable"/>
          <w:lang w:val="en-US"/>
        </w:rPr>
        <w:t>above</w:t>
      </w:r>
      <w:r w:rsidRPr="00E538C1">
        <w:rPr>
          <w:rStyle w:val="goog-gtc-translatable"/>
          <w:lang w:val="en-US"/>
        </w:rPr>
        <w:t xml:space="preserve"> 50 at the lower limit (</w:t>
      </w:r>
      <w:r w:rsidR="00D83841" w:rsidRPr="00E538C1">
        <w:rPr>
          <w:rStyle w:val="goog-gtc-translatable"/>
          <w:lang w:val="en-US"/>
        </w:rPr>
        <w:t>at an IC</w:t>
      </w:r>
      <w:r w:rsidRPr="00E538C1">
        <w:rPr>
          <w:rStyle w:val="goog-gtc-translatable"/>
          <w:lang w:val="en-US"/>
        </w:rPr>
        <w:t xml:space="preserve"> = .95%) of Aiken</w:t>
      </w:r>
      <w:r w:rsidR="00D83841" w:rsidRPr="00E538C1">
        <w:rPr>
          <w:rStyle w:val="goog-gtc-translatable"/>
          <w:lang w:val="en-US"/>
        </w:rPr>
        <w:t>’s V</w:t>
      </w:r>
      <w:r w:rsidRPr="00E538C1">
        <w:rPr>
          <w:rStyle w:val="goog-gtc-translatable"/>
          <w:lang w:val="en-US"/>
        </w:rPr>
        <w:t xml:space="preserve"> was </w:t>
      </w:r>
      <w:r w:rsidR="00D83841" w:rsidRPr="00E538C1">
        <w:rPr>
          <w:rStyle w:val="goog-gtc-translatable"/>
          <w:lang w:val="en-US"/>
        </w:rPr>
        <w:t xml:space="preserve">an </w:t>
      </w:r>
      <w:r w:rsidRPr="00E538C1">
        <w:rPr>
          <w:rStyle w:val="goog-gtc-translatable"/>
          <w:lang w:val="en-US"/>
        </w:rPr>
        <w:t xml:space="preserve">indicator </w:t>
      </w:r>
      <w:r w:rsidR="00D83841" w:rsidRPr="00E538C1">
        <w:rPr>
          <w:rStyle w:val="goog-gtc-translatable"/>
          <w:lang w:val="en-US"/>
        </w:rPr>
        <w:t xml:space="preserve">of the </w:t>
      </w:r>
      <w:r w:rsidRPr="00E538C1">
        <w:rPr>
          <w:rStyle w:val="goog-gtc-translatable"/>
          <w:lang w:val="en-US"/>
        </w:rPr>
        <w:t>criteri</w:t>
      </w:r>
      <w:r w:rsidR="00D83841" w:rsidRPr="00E538C1">
        <w:rPr>
          <w:rStyle w:val="goog-gtc-translatable"/>
          <w:lang w:val="en-US"/>
        </w:rPr>
        <w:t xml:space="preserve">on or Ownership </w:t>
      </w:r>
      <w:r w:rsidR="00D83841" w:rsidRPr="00E538C1">
        <w:rPr>
          <w:lang w:val="en-US"/>
        </w:rPr>
        <w:t>(Merino Soto &amp; Livia Segovia, 2009)</w:t>
      </w:r>
      <w:r w:rsidRPr="00E538C1">
        <w:rPr>
          <w:rStyle w:val="goog-gtc-translatable"/>
          <w:lang w:val="en-US"/>
        </w:rPr>
        <w:t>.</w:t>
      </w:r>
    </w:p>
    <w:p w:rsidR="00714212" w:rsidRPr="00E538C1" w:rsidRDefault="00D83841" w:rsidP="002739A3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lang w:val="en-US"/>
        </w:rPr>
        <w:t>R</w:t>
      </w:r>
      <w:r w:rsidR="00714212" w:rsidRPr="00E538C1">
        <w:rPr>
          <w:rStyle w:val="goog-gtc-translatable"/>
          <w:lang w:val="en-US"/>
        </w:rPr>
        <w:t xml:space="preserve">eliability of each subscale </w:t>
      </w:r>
      <w:r w:rsidR="009F33F0" w:rsidRPr="00E538C1">
        <w:rPr>
          <w:rStyle w:val="goog-gtc-translatable"/>
          <w:lang w:val="en-US"/>
        </w:rPr>
        <w:t xml:space="preserve">was </w:t>
      </w:r>
      <w:r w:rsidR="00714212" w:rsidRPr="00E538C1">
        <w:rPr>
          <w:rStyle w:val="goog-gtc-translatable"/>
          <w:lang w:val="en-US"/>
        </w:rPr>
        <w:t>calculated and validity</w:t>
      </w:r>
      <w:r w:rsidR="009F33F0" w:rsidRPr="00E538C1">
        <w:rPr>
          <w:rStyle w:val="goog-gtc-translatable"/>
          <w:lang w:val="en-US"/>
        </w:rPr>
        <w:t xml:space="preserve"> was analyzed</w:t>
      </w:r>
      <w:r w:rsidR="00714212" w:rsidRPr="00E538C1">
        <w:rPr>
          <w:rStyle w:val="goog-gtc-translatable"/>
          <w:lang w:val="en-US"/>
        </w:rPr>
        <w:t>.</w:t>
      </w:r>
      <w:r w:rsidR="009F33F0"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>Mardia</w:t>
      </w:r>
      <w:r w:rsidR="009F33F0" w:rsidRPr="00E538C1">
        <w:rPr>
          <w:rStyle w:val="goog-gtc-translatable"/>
          <w:lang w:val="en-US"/>
        </w:rPr>
        <w:t>’s</w:t>
      </w:r>
      <w:r w:rsidR="00714212" w:rsidRPr="00E538C1">
        <w:rPr>
          <w:rStyle w:val="goog-gtc-translatable"/>
          <w:lang w:val="en-US"/>
        </w:rPr>
        <w:t xml:space="preserve"> test was used </w:t>
      </w:r>
      <w:r w:rsidR="009F33F0" w:rsidRPr="00E538C1">
        <w:rPr>
          <w:rStyle w:val="goog-gtc-translatable"/>
          <w:lang w:val="en-US"/>
        </w:rPr>
        <w:t xml:space="preserve">for the calculation of the multivariate distribution, </w:t>
      </w:r>
      <w:r w:rsidR="00714212" w:rsidRPr="00E538C1">
        <w:rPr>
          <w:rStyle w:val="goog-gtc-translatable"/>
          <w:lang w:val="en-US"/>
        </w:rPr>
        <w:t xml:space="preserve">whereby </w:t>
      </w:r>
      <w:r w:rsidR="009F33F0" w:rsidRPr="00E538C1">
        <w:rPr>
          <w:rStyle w:val="goog-gtc-translatable"/>
          <w:lang w:val="en-US"/>
        </w:rPr>
        <w:t xml:space="preserve">scores above </w:t>
      </w:r>
      <w:r w:rsidR="00714212" w:rsidRPr="00E538C1">
        <w:rPr>
          <w:rStyle w:val="goog-gtc-translatable"/>
          <w:lang w:val="en-US"/>
        </w:rPr>
        <w:t xml:space="preserve">5 </w:t>
      </w:r>
      <w:r w:rsidR="009F33F0" w:rsidRPr="00E538C1">
        <w:rPr>
          <w:rStyle w:val="goog-gtc-translatable"/>
          <w:lang w:val="en-US"/>
        </w:rPr>
        <w:t xml:space="preserve">are indicative of </w:t>
      </w:r>
      <w:r w:rsidR="00714212" w:rsidRPr="00E538C1">
        <w:rPr>
          <w:rStyle w:val="goog-gtc-translatable"/>
          <w:lang w:val="en-US"/>
        </w:rPr>
        <w:t>non-normality of the data.</w:t>
      </w:r>
      <w:r w:rsidR="00714212" w:rsidRPr="00E538C1">
        <w:rPr>
          <w:rStyle w:val="apple-converted-space"/>
          <w:lang w:val="en-US"/>
        </w:rPr>
        <w:t> </w:t>
      </w:r>
      <w:r w:rsidR="009F33F0" w:rsidRPr="00E538C1">
        <w:rPr>
          <w:rStyle w:val="goog-gtc-translatable"/>
          <w:lang w:val="en-US"/>
        </w:rPr>
        <w:t>P</w:t>
      </w:r>
      <w:r w:rsidR="00714212" w:rsidRPr="00E538C1">
        <w:rPr>
          <w:rStyle w:val="goog-gtc-translatable"/>
          <w:lang w:val="en-US"/>
        </w:rPr>
        <w:t>rogressive factorial invariance (</w:t>
      </w:r>
      <w:r w:rsidR="009F33F0" w:rsidRPr="00E538C1">
        <w:rPr>
          <w:rStyle w:val="goog-gtc-translatable"/>
          <w:lang w:val="en-US"/>
        </w:rPr>
        <w:t>FI</w:t>
      </w:r>
      <w:r w:rsidR="00714212" w:rsidRPr="00E538C1">
        <w:rPr>
          <w:rStyle w:val="goog-gtc-translatable"/>
          <w:lang w:val="en-US"/>
        </w:rPr>
        <w:t>)</w:t>
      </w:r>
      <w:r w:rsidR="009F33F0" w:rsidRPr="00E538C1">
        <w:rPr>
          <w:rStyle w:val="goog-gtc-translatable"/>
          <w:lang w:val="en-US"/>
        </w:rPr>
        <w:t xml:space="preserve"> was calculated</w:t>
      </w:r>
      <w:r w:rsidR="00714212" w:rsidRPr="00E538C1">
        <w:rPr>
          <w:rStyle w:val="goog-gtc-translatable"/>
          <w:lang w:val="en-US"/>
        </w:rPr>
        <w:t xml:space="preserve"> in order to </w:t>
      </w:r>
      <w:r w:rsidR="009F33F0" w:rsidRPr="00E538C1">
        <w:rPr>
          <w:rStyle w:val="goog-gtc-translatable"/>
          <w:lang w:val="en-US"/>
        </w:rPr>
        <w:t xml:space="preserve">determine </w:t>
      </w:r>
      <w:r w:rsidR="00714212" w:rsidRPr="00E538C1">
        <w:rPr>
          <w:rStyle w:val="goog-gtc-translatable"/>
          <w:lang w:val="en-US"/>
        </w:rPr>
        <w:t>whether the scales were equivalent and comparable between the Colombian and Spanish culture</w:t>
      </w:r>
      <w:r w:rsidR="009F33F0" w:rsidRPr="00E538C1">
        <w:rPr>
          <w:rStyle w:val="goog-gtc-translatable"/>
          <w:lang w:val="en-US"/>
        </w:rPr>
        <w:t>s</w:t>
      </w:r>
      <w:r w:rsidR="00714212" w:rsidRPr="00E538C1">
        <w:rPr>
          <w:rStyle w:val="goog-gtc-translatable"/>
          <w:lang w:val="en-US"/>
        </w:rPr>
        <w:t>.</w:t>
      </w:r>
      <w:r w:rsidR="009F33F0"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 xml:space="preserve">Thus, (unrestricted) </w:t>
      </w:r>
      <w:r w:rsidR="00425AB6" w:rsidRPr="00E538C1">
        <w:rPr>
          <w:rStyle w:val="goog-gtc-translatable"/>
          <w:lang w:val="en-US"/>
        </w:rPr>
        <w:t>configural invariance and metric</w:t>
      </w:r>
      <w:r w:rsidR="00714212" w:rsidRPr="00E538C1">
        <w:rPr>
          <w:rStyle w:val="goog-gtc-translatable"/>
          <w:lang w:val="en-US"/>
        </w:rPr>
        <w:t xml:space="preserve"> or weak invariance (restricting the factor </w:t>
      </w:r>
      <w:r w:rsidR="006372AA">
        <w:rPr>
          <w:rStyle w:val="goog-gtc-translatable"/>
          <w:lang w:val="en-US"/>
        </w:rPr>
        <w:t>loadings</w:t>
      </w:r>
      <w:r w:rsidR="00714212" w:rsidRPr="00E538C1">
        <w:rPr>
          <w:rStyle w:val="goog-gtc-translatable"/>
          <w:lang w:val="en-US"/>
        </w:rPr>
        <w:t>)</w:t>
      </w:r>
      <w:r w:rsidR="00425AB6" w:rsidRPr="00E538C1">
        <w:rPr>
          <w:rStyle w:val="goog-gtc-translatable"/>
          <w:lang w:val="en-US"/>
        </w:rPr>
        <w:t xml:space="preserve"> were evaluated</w:t>
      </w:r>
      <w:r w:rsidR="00714212" w:rsidRPr="00E538C1">
        <w:rPr>
          <w:rStyle w:val="goog-gtc-translatable"/>
          <w:lang w:val="en-US"/>
        </w:rPr>
        <w:t>.</w:t>
      </w:r>
      <w:r w:rsidR="00714212" w:rsidRPr="00E538C1">
        <w:rPr>
          <w:rStyle w:val="apple-converted-space"/>
          <w:lang w:val="en-US"/>
        </w:rPr>
        <w:t> </w:t>
      </w:r>
      <w:r w:rsidR="00714212" w:rsidRPr="00E538C1">
        <w:rPr>
          <w:rStyle w:val="goog-gtc-translatable"/>
          <w:lang w:val="en-US"/>
        </w:rPr>
        <w:t xml:space="preserve">To this end, </w:t>
      </w:r>
      <w:r w:rsidR="00684611" w:rsidRPr="00E538C1">
        <w:rPr>
          <w:lang w:val="en-US"/>
        </w:rPr>
        <w:t>Maximum Likelihood, Robust (ML, Robust; Yuan &amp; Bentler, 2000) was used</w:t>
      </w:r>
      <w:r w:rsidR="00714212" w:rsidRPr="00E538C1">
        <w:rPr>
          <w:rStyle w:val="goog-gtc-translatable"/>
          <w:lang w:val="en-US"/>
        </w:rPr>
        <w:t xml:space="preserve"> as a method of estimation.</w:t>
      </w:r>
      <w:r w:rsidR="00684611" w:rsidRPr="00E538C1">
        <w:rPr>
          <w:rStyle w:val="goog-gtc-translatable"/>
          <w:lang w:val="en-US"/>
        </w:rPr>
        <w:t xml:space="preserve"> T</w:t>
      </w:r>
      <w:r w:rsidR="00714212" w:rsidRPr="00E538C1">
        <w:rPr>
          <w:rStyle w:val="goog-gtc-translatable"/>
          <w:lang w:val="en-US"/>
        </w:rPr>
        <w:t xml:space="preserve">he Root Mean Square Error </w:t>
      </w:r>
      <w:r w:rsidR="00684611" w:rsidRPr="00E538C1">
        <w:rPr>
          <w:rStyle w:val="goog-gtc-translatable"/>
          <w:lang w:val="en-US"/>
        </w:rPr>
        <w:t>A</w:t>
      </w:r>
      <w:r w:rsidR="00714212" w:rsidRPr="00E538C1">
        <w:rPr>
          <w:rStyle w:val="goog-gtc-translatable"/>
          <w:lang w:val="en-US"/>
        </w:rPr>
        <w:t xml:space="preserve">proximation (RMSEA; Hu &amp; Bentler, 1999), </w:t>
      </w:r>
      <w:r w:rsidR="00684611" w:rsidRPr="00E538C1">
        <w:rPr>
          <w:rStyle w:val="goog-gtc-translatable"/>
          <w:lang w:val="en-US"/>
        </w:rPr>
        <w:t xml:space="preserve">its </w:t>
      </w:r>
      <w:r w:rsidR="00714212" w:rsidRPr="00E538C1">
        <w:rPr>
          <w:rStyle w:val="goog-gtc-translatable"/>
          <w:lang w:val="en-US"/>
        </w:rPr>
        <w:t>respective confidence interval at 90%</w:t>
      </w:r>
      <w:r w:rsidR="00684611" w:rsidRPr="00E538C1">
        <w:rPr>
          <w:rStyle w:val="goog-gtc-translatable"/>
          <w:lang w:val="en-US"/>
        </w:rPr>
        <w:t>,</w:t>
      </w:r>
      <w:r w:rsidR="00714212" w:rsidRPr="00E538C1">
        <w:rPr>
          <w:rStyle w:val="goog-gtc-translatable"/>
          <w:lang w:val="en-US"/>
        </w:rPr>
        <w:t xml:space="preserve"> and the Comparative Fit Index (CFI; Bentler, 1990)</w:t>
      </w:r>
      <w:r w:rsidR="00684611" w:rsidRPr="00E538C1">
        <w:rPr>
          <w:rStyle w:val="goog-gtc-translatable"/>
          <w:lang w:val="en-US"/>
        </w:rPr>
        <w:t xml:space="preserve"> were utilized in order to evaluate the fit of the models</w:t>
      </w:r>
      <w:r w:rsidR="00714212" w:rsidRPr="00E538C1">
        <w:rPr>
          <w:rStyle w:val="goog-gtc-translatable"/>
          <w:lang w:val="en-US"/>
        </w:rPr>
        <w:t xml:space="preserve">. The criteria for determining the existence of invariance was </w:t>
      </w:r>
      <w:r w:rsidR="00D51000" w:rsidRPr="00E538C1">
        <w:rPr>
          <w:rStyle w:val="goog-gtc-translatable"/>
          <w:lang w:val="en-US"/>
        </w:rPr>
        <w:t xml:space="preserve">the fact </w:t>
      </w:r>
      <w:r w:rsidR="00714212" w:rsidRPr="00E538C1">
        <w:rPr>
          <w:rStyle w:val="goog-gtc-translatable"/>
          <w:lang w:val="en-US"/>
        </w:rPr>
        <w:t xml:space="preserve">that the IFC </w:t>
      </w:r>
      <w:r w:rsidR="00D51000" w:rsidRPr="00E538C1">
        <w:rPr>
          <w:rStyle w:val="goog-gtc-translatable"/>
          <w:lang w:val="en-US"/>
        </w:rPr>
        <w:t xml:space="preserve">should </w:t>
      </w:r>
      <w:r w:rsidR="00714212" w:rsidRPr="00E538C1">
        <w:rPr>
          <w:rStyle w:val="goog-gtc-translatable"/>
          <w:lang w:val="en-US"/>
        </w:rPr>
        <w:t xml:space="preserve">not diminish </w:t>
      </w:r>
      <w:r w:rsidR="00D51000" w:rsidRPr="00E538C1">
        <w:rPr>
          <w:rStyle w:val="goog-gtc-translatable"/>
          <w:lang w:val="en-US"/>
        </w:rPr>
        <w:t>more than .</w:t>
      </w:r>
      <w:r w:rsidR="00714212" w:rsidRPr="00E538C1">
        <w:rPr>
          <w:rStyle w:val="goog-gtc-translatable"/>
          <w:lang w:val="en-US"/>
        </w:rPr>
        <w:t xml:space="preserve">01 </w:t>
      </w:r>
      <w:r w:rsidR="00D51000" w:rsidRPr="00E538C1">
        <w:rPr>
          <w:rStyle w:val="goog-gtc-translatable"/>
          <w:lang w:val="en-US"/>
        </w:rPr>
        <w:t xml:space="preserve">as </w:t>
      </w:r>
      <w:r w:rsidR="00714212" w:rsidRPr="00E538C1">
        <w:rPr>
          <w:rStyle w:val="goog-gtc-translatable"/>
          <w:lang w:val="en-US"/>
        </w:rPr>
        <w:t xml:space="preserve">compared to the previous model </w:t>
      </w:r>
      <w:r w:rsidR="00D51000" w:rsidRPr="00E538C1">
        <w:rPr>
          <w:lang w:val="en-US"/>
        </w:rPr>
        <w:t>(Cheung &amp; Rensvold, 2002).</w:t>
      </w:r>
    </w:p>
    <w:p w:rsidR="00714212" w:rsidRPr="00E538C1" w:rsidRDefault="00714212" w:rsidP="00423241">
      <w:pPr>
        <w:pStyle w:val="NormalWeb"/>
        <w:spacing w:line="480" w:lineRule="auto"/>
        <w:rPr>
          <w:b/>
          <w:lang w:val="en-US"/>
        </w:rPr>
      </w:pPr>
      <w:r w:rsidRPr="00E538C1">
        <w:rPr>
          <w:rStyle w:val="goog-gtc-translatable"/>
          <w:b/>
          <w:lang w:val="en-US"/>
        </w:rPr>
        <w:t>Ethical considerations</w:t>
      </w:r>
    </w:p>
    <w:p w:rsidR="00714212" w:rsidRPr="00E538C1" w:rsidRDefault="00433F5A" w:rsidP="002739A3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lang w:val="en-US"/>
        </w:rPr>
        <w:t>T</w:t>
      </w:r>
      <w:r w:rsidR="00714212" w:rsidRPr="00E538C1">
        <w:rPr>
          <w:rStyle w:val="goog-gtc-translatable"/>
          <w:lang w:val="en-US"/>
        </w:rPr>
        <w:t xml:space="preserve">he project </w:t>
      </w:r>
      <w:r w:rsidRPr="00E538C1">
        <w:rPr>
          <w:rStyle w:val="goog-gtc-translatable"/>
          <w:lang w:val="en-US"/>
        </w:rPr>
        <w:t xml:space="preserve">was implemented guaranteeing </w:t>
      </w:r>
      <w:r w:rsidR="00714212" w:rsidRPr="00E538C1">
        <w:rPr>
          <w:rStyle w:val="goog-gtc-translatable"/>
          <w:lang w:val="en-US"/>
        </w:rPr>
        <w:t xml:space="preserve">the preservation of international, national and institutional regulations in relation to the protection and </w:t>
      </w:r>
      <w:r w:rsidRPr="00E538C1">
        <w:rPr>
          <w:rStyle w:val="goog-gtc-translatable"/>
          <w:lang w:val="en-US"/>
        </w:rPr>
        <w:t xml:space="preserve">wellbeing </w:t>
      </w:r>
      <w:r w:rsidR="00714212" w:rsidRPr="00E538C1">
        <w:rPr>
          <w:rStyle w:val="goog-gtc-translatable"/>
          <w:lang w:val="en-US"/>
        </w:rPr>
        <w:t xml:space="preserve">of human subjects </w:t>
      </w:r>
      <w:r w:rsidRPr="00E538C1">
        <w:rPr>
          <w:rStyle w:val="goog-gtc-translatable"/>
          <w:lang w:val="en-US"/>
        </w:rPr>
        <w:t xml:space="preserve">partaking in </w:t>
      </w:r>
      <w:r w:rsidR="00714212" w:rsidRPr="00E538C1">
        <w:rPr>
          <w:rStyle w:val="goog-gtc-translatable"/>
          <w:lang w:val="en-US"/>
        </w:rPr>
        <w:t>it</w:t>
      </w:r>
      <w:r w:rsidRPr="00E538C1">
        <w:rPr>
          <w:rStyle w:val="goog-gtc-translatable"/>
          <w:lang w:val="en-US"/>
        </w:rPr>
        <w:t xml:space="preserve">. </w:t>
      </w:r>
      <w:r w:rsidR="00714212" w:rsidRPr="00E538C1">
        <w:rPr>
          <w:rStyle w:val="goog-gtc-translatable"/>
          <w:lang w:val="en-US"/>
        </w:rPr>
        <w:t xml:space="preserve">In this regard, </w:t>
      </w:r>
      <w:r w:rsidRPr="00E538C1">
        <w:rPr>
          <w:rStyle w:val="goog-gtc-translatable"/>
          <w:lang w:val="en-US"/>
        </w:rPr>
        <w:t xml:space="preserve">and in pursuance of the </w:t>
      </w:r>
      <w:r w:rsidR="00714212" w:rsidRPr="00E538C1">
        <w:rPr>
          <w:rStyle w:val="goog-gtc-translatable"/>
          <w:lang w:val="en-US"/>
        </w:rPr>
        <w:t xml:space="preserve">Declaration of Helsinki (1964), the Belmont Report (1978), Resolution 8430 </w:t>
      </w:r>
      <w:r w:rsidRPr="00E538C1">
        <w:rPr>
          <w:rStyle w:val="goog-gtc-translatable"/>
          <w:lang w:val="en-US"/>
        </w:rPr>
        <w:t xml:space="preserve">/ </w:t>
      </w:r>
      <w:r w:rsidR="00714212" w:rsidRPr="00E538C1">
        <w:rPr>
          <w:rStyle w:val="goog-gtc-translatable"/>
          <w:lang w:val="en-US"/>
        </w:rPr>
        <w:t xml:space="preserve">1993 and </w:t>
      </w:r>
      <w:r w:rsidRPr="00E538C1">
        <w:rPr>
          <w:rStyle w:val="goog-gtc-translatable"/>
          <w:lang w:val="en-US"/>
        </w:rPr>
        <w:t xml:space="preserve">Act </w:t>
      </w:r>
      <w:r w:rsidR="00714212" w:rsidRPr="00E538C1">
        <w:rPr>
          <w:rStyle w:val="goog-gtc-translatable"/>
          <w:lang w:val="en-US"/>
        </w:rPr>
        <w:t xml:space="preserve">1090 </w:t>
      </w:r>
      <w:r w:rsidRPr="00E538C1">
        <w:rPr>
          <w:rStyle w:val="goog-gtc-translatable"/>
          <w:lang w:val="en-US"/>
        </w:rPr>
        <w:t xml:space="preserve">/ </w:t>
      </w:r>
      <w:r w:rsidR="00714212" w:rsidRPr="00E538C1">
        <w:rPr>
          <w:rStyle w:val="goog-gtc-translatable"/>
          <w:lang w:val="en-US"/>
        </w:rPr>
        <w:t xml:space="preserve">2006, the rights of participants and the principles of autonomy and respect </w:t>
      </w:r>
      <w:r w:rsidRPr="00E538C1">
        <w:rPr>
          <w:rStyle w:val="goog-gtc-translatable"/>
          <w:lang w:val="en-US"/>
        </w:rPr>
        <w:t xml:space="preserve">to </w:t>
      </w:r>
      <w:r w:rsidR="00714212" w:rsidRPr="00E538C1">
        <w:rPr>
          <w:rStyle w:val="goog-gtc-translatable"/>
          <w:lang w:val="en-US"/>
        </w:rPr>
        <w:t>persons, beneficence, non-maleficence and justice</w:t>
      </w:r>
      <w:r w:rsidRPr="00E538C1">
        <w:rPr>
          <w:rStyle w:val="goog-gtc-translatable"/>
          <w:lang w:val="en-US"/>
        </w:rPr>
        <w:t xml:space="preserve"> were observed</w:t>
      </w:r>
      <w:r w:rsidR="00714212" w:rsidRPr="00E538C1">
        <w:rPr>
          <w:rStyle w:val="goog-gtc-translatable"/>
          <w:lang w:val="en-US"/>
        </w:rPr>
        <w:t>.</w:t>
      </w:r>
      <w:r w:rsidRPr="00E538C1">
        <w:rPr>
          <w:rStyle w:val="goog-gtc-translatable"/>
          <w:lang w:val="en-US"/>
        </w:rPr>
        <w:t xml:space="preserve"> To this end, informed consents were requested and </w:t>
      </w:r>
      <w:r w:rsidRPr="00E538C1">
        <w:rPr>
          <w:rStyle w:val="goog-gtc-translatable"/>
          <w:lang w:val="en-US"/>
        </w:rPr>
        <w:lastRenderedPageBreak/>
        <w:t xml:space="preserve">kept, wherein </w:t>
      </w:r>
      <w:r w:rsidR="00714212" w:rsidRPr="00E538C1">
        <w:rPr>
          <w:rStyle w:val="goog-gtc-translatable"/>
          <w:lang w:val="en-US"/>
        </w:rPr>
        <w:t xml:space="preserve">all the information related to the study </w:t>
      </w:r>
      <w:r w:rsidRPr="00E538C1">
        <w:rPr>
          <w:rStyle w:val="goog-gtc-translatable"/>
          <w:lang w:val="en-US"/>
        </w:rPr>
        <w:t>was disseminated</w:t>
      </w:r>
      <w:r w:rsidR="0082293F"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 xml:space="preserve">taking into account the principles </w:t>
      </w:r>
      <w:r w:rsidR="00216077" w:rsidRPr="00E538C1">
        <w:rPr>
          <w:rStyle w:val="goog-gtc-translatable"/>
          <w:lang w:val="en-US"/>
        </w:rPr>
        <w:t xml:space="preserve">above </w:t>
      </w:r>
      <w:r w:rsidR="00714212" w:rsidRPr="00E538C1">
        <w:rPr>
          <w:rStyle w:val="goog-gtc-translatable"/>
          <w:lang w:val="en-US"/>
        </w:rPr>
        <w:t>and respecting voluntar</w:t>
      </w:r>
      <w:r w:rsidR="00216077" w:rsidRPr="00E538C1">
        <w:rPr>
          <w:rStyle w:val="goog-gtc-translatable"/>
          <w:lang w:val="en-US"/>
        </w:rPr>
        <w:t>iness</w:t>
      </w:r>
      <w:r w:rsidR="00714212" w:rsidRPr="00E538C1">
        <w:rPr>
          <w:rStyle w:val="goog-gtc-translatable"/>
          <w:lang w:val="en-US"/>
        </w:rPr>
        <w:t>.</w:t>
      </w:r>
    </w:p>
    <w:p w:rsidR="00714212" w:rsidRPr="00E538C1" w:rsidRDefault="00714212" w:rsidP="00216077">
      <w:pPr>
        <w:pStyle w:val="NormalWeb"/>
        <w:spacing w:line="480" w:lineRule="auto"/>
        <w:jc w:val="center"/>
        <w:rPr>
          <w:b/>
          <w:lang w:val="en-US"/>
        </w:rPr>
      </w:pPr>
      <w:r w:rsidRPr="00E538C1">
        <w:rPr>
          <w:rStyle w:val="goog-gtc-translatable"/>
          <w:b/>
          <w:lang w:val="en-US"/>
        </w:rPr>
        <w:t>Results</w:t>
      </w:r>
    </w:p>
    <w:p w:rsidR="00714212" w:rsidRPr="00E538C1" w:rsidRDefault="00714212" w:rsidP="00423241">
      <w:pPr>
        <w:pStyle w:val="NormalWeb"/>
        <w:spacing w:line="480" w:lineRule="auto"/>
        <w:rPr>
          <w:b/>
          <w:lang w:val="en-US"/>
        </w:rPr>
      </w:pPr>
      <w:r w:rsidRPr="00E538C1">
        <w:rPr>
          <w:rStyle w:val="goog-gtc-translatable"/>
          <w:b/>
          <w:lang w:val="en-US"/>
        </w:rPr>
        <w:t xml:space="preserve">Content validity and </w:t>
      </w:r>
      <w:r w:rsidR="009F25E2" w:rsidRPr="00E538C1">
        <w:rPr>
          <w:rStyle w:val="goog-gtc-translatable"/>
          <w:b/>
          <w:lang w:val="en-US"/>
        </w:rPr>
        <w:t>item properties.</w:t>
      </w:r>
    </w:p>
    <w:p w:rsidR="00714212" w:rsidRPr="00E538C1" w:rsidRDefault="00AA2871" w:rsidP="002739A3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lang w:val="en-US"/>
        </w:rPr>
        <w:t>S</w:t>
      </w:r>
      <w:r w:rsidR="00714212" w:rsidRPr="00E538C1">
        <w:rPr>
          <w:rStyle w:val="goog-gtc-translatable"/>
          <w:lang w:val="en-US"/>
        </w:rPr>
        <w:t xml:space="preserve">cores derived from </w:t>
      </w:r>
      <w:r w:rsidRPr="00E538C1">
        <w:rPr>
          <w:rStyle w:val="goog-gtc-translatable"/>
          <w:lang w:val="en-US"/>
        </w:rPr>
        <w:t xml:space="preserve">the expert’s evaluations </w:t>
      </w:r>
      <w:r w:rsidR="00714212" w:rsidRPr="00E538C1">
        <w:rPr>
          <w:rStyle w:val="goog-gtc-translatable"/>
          <w:lang w:val="en-US"/>
        </w:rPr>
        <w:t xml:space="preserve">to the items of the two versions of the scale indicated a high level of agreement </w:t>
      </w:r>
      <w:r w:rsidRPr="00E538C1">
        <w:rPr>
          <w:rStyle w:val="goog-gtc-translatable"/>
          <w:lang w:val="en-US"/>
        </w:rPr>
        <w:t>in relation to ownership</w:t>
      </w:r>
      <w:r w:rsidR="00EE1152" w:rsidRPr="00E538C1">
        <w:rPr>
          <w:rStyle w:val="goog-gtc-translatable"/>
          <w:lang w:val="en-US"/>
        </w:rPr>
        <w:t xml:space="preserve"> for </w:t>
      </w:r>
      <w:r w:rsidR="00714212" w:rsidRPr="00E538C1">
        <w:rPr>
          <w:rStyle w:val="goog-gtc-translatable"/>
          <w:lang w:val="en-US"/>
        </w:rPr>
        <w:t xml:space="preserve">eleven </w:t>
      </w:r>
      <w:r w:rsidR="00EE1152" w:rsidRPr="00E538C1">
        <w:rPr>
          <w:rStyle w:val="goog-gtc-translatable"/>
          <w:lang w:val="en-US"/>
        </w:rPr>
        <w:t xml:space="preserve">of the fifteen </w:t>
      </w:r>
      <w:r w:rsidR="00714212" w:rsidRPr="00E538C1">
        <w:rPr>
          <w:rStyle w:val="goog-gtc-translatable"/>
          <w:lang w:val="en-US"/>
        </w:rPr>
        <w:t>items.</w:t>
      </w:r>
    </w:p>
    <w:p w:rsidR="00714212" w:rsidRPr="00E538C1" w:rsidRDefault="00DB6F19" w:rsidP="002739A3">
      <w:pPr>
        <w:pStyle w:val="NormalWeb"/>
        <w:spacing w:line="480" w:lineRule="auto"/>
        <w:ind w:firstLine="708"/>
        <w:rPr>
          <w:lang w:val="en-US"/>
        </w:rPr>
      </w:pPr>
      <w:r>
        <w:rPr>
          <w:rStyle w:val="goog-gtc-translatable"/>
          <w:lang w:val="en-US"/>
        </w:rPr>
        <w:t>The scores of the five</w:t>
      </w:r>
      <w:r w:rsidR="00714212" w:rsidRPr="00E538C1">
        <w:rPr>
          <w:rStyle w:val="goog-gtc-translatable"/>
          <w:lang w:val="en-US"/>
        </w:rPr>
        <w:t xml:space="preserve"> criteria reflect</w:t>
      </w:r>
      <w:r w:rsidR="004F031E" w:rsidRPr="00E538C1">
        <w:rPr>
          <w:rStyle w:val="goog-gtc-translatable"/>
          <w:lang w:val="en-US"/>
        </w:rPr>
        <w:t>ed</w:t>
      </w:r>
      <w:r w:rsidR="00714212" w:rsidRPr="00E538C1">
        <w:rPr>
          <w:rStyle w:val="goog-gtc-translatable"/>
          <w:lang w:val="en-US"/>
        </w:rPr>
        <w:t xml:space="preserve"> the need to make adjustments in the wording of some items of the Colombian scale </w:t>
      </w:r>
      <w:r w:rsidR="004F031E" w:rsidRPr="00E538C1">
        <w:rPr>
          <w:rStyle w:val="goog-gtc-translatable"/>
          <w:lang w:val="en-US"/>
        </w:rPr>
        <w:t xml:space="preserve">in order to improve </w:t>
      </w:r>
      <w:r w:rsidR="00714212" w:rsidRPr="00E538C1">
        <w:rPr>
          <w:rStyle w:val="goog-gtc-translatable"/>
          <w:lang w:val="en-US"/>
        </w:rPr>
        <w:t xml:space="preserve">their understanding and </w:t>
      </w:r>
      <w:r w:rsidR="004F031E" w:rsidRPr="00E538C1">
        <w:rPr>
          <w:rStyle w:val="goog-gtc-translatable"/>
          <w:lang w:val="en-US"/>
        </w:rPr>
        <w:t>representativeness</w:t>
      </w:r>
      <w:r w:rsidR="00714212" w:rsidRPr="00E538C1">
        <w:rPr>
          <w:rStyle w:val="goog-gtc-translatable"/>
          <w:lang w:val="en-US"/>
        </w:rPr>
        <w:t>.</w:t>
      </w:r>
      <w:r w:rsidR="00714212" w:rsidRPr="00E538C1">
        <w:rPr>
          <w:rStyle w:val="apple-converted-space"/>
          <w:lang w:val="en-US"/>
        </w:rPr>
        <w:t> </w:t>
      </w:r>
      <w:r w:rsidR="004F031E" w:rsidRPr="00E538C1">
        <w:rPr>
          <w:rStyle w:val="goog-gtc-translatable"/>
          <w:lang w:val="en-US"/>
        </w:rPr>
        <w:t xml:space="preserve">Wording was adjusted in </w:t>
      </w:r>
      <w:r w:rsidR="00714212" w:rsidRPr="00E538C1">
        <w:rPr>
          <w:rStyle w:val="goog-gtc-translatable"/>
          <w:lang w:val="en-US"/>
        </w:rPr>
        <w:t xml:space="preserve">10 items </w:t>
      </w:r>
      <w:r w:rsidR="004F031E" w:rsidRPr="00E538C1">
        <w:rPr>
          <w:rStyle w:val="goog-gtc-translatable"/>
          <w:lang w:val="en-US"/>
        </w:rPr>
        <w:t xml:space="preserve">in </w:t>
      </w:r>
      <w:r w:rsidR="00714212" w:rsidRPr="00E538C1">
        <w:rPr>
          <w:rStyle w:val="goog-gtc-translatable"/>
          <w:lang w:val="en-US"/>
        </w:rPr>
        <w:t xml:space="preserve">the Colombian version and three </w:t>
      </w:r>
      <w:r w:rsidR="004F031E" w:rsidRPr="00E538C1">
        <w:rPr>
          <w:rStyle w:val="goog-gtc-translatable"/>
          <w:lang w:val="en-US"/>
        </w:rPr>
        <w:t xml:space="preserve">items </w:t>
      </w:r>
      <w:r w:rsidR="00714212" w:rsidRPr="00E538C1">
        <w:rPr>
          <w:rStyle w:val="goog-gtc-translatable"/>
          <w:lang w:val="en-US"/>
        </w:rPr>
        <w:t>in the Spanish version.</w:t>
      </w:r>
    </w:p>
    <w:p w:rsidR="00714212" w:rsidRPr="00E538C1" w:rsidRDefault="00714212" w:rsidP="00423241">
      <w:pPr>
        <w:pStyle w:val="NormalWeb"/>
        <w:spacing w:line="480" w:lineRule="auto"/>
        <w:rPr>
          <w:b/>
          <w:lang w:val="en-US"/>
        </w:rPr>
      </w:pPr>
      <w:r w:rsidRPr="00E538C1">
        <w:rPr>
          <w:rStyle w:val="goog-gtc-translatable"/>
          <w:b/>
          <w:lang w:val="en-US"/>
        </w:rPr>
        <w:t>Reliability and some psychometric properties of the items</w:t>
      </w:r>
    </w:p>
    <w:p w:rsidR="00714212" w:rsidRPr="00E538C1" w:rsidRDefault="00714212" w:rsidP="002739A3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lang w:val="en-US"/>
        </w:rPr>
        <w:t>Table 2 shows reliability and some psychometric properties of the items.</w:t>
      </w:r>
      <w:r w:rsidRPr="00E538C1">
        <w:rPr>
          <w:rStyle w:val="apple-converted-space"/>
          <w:lang w:val="en-US"/>
        </w:rPr>
        <w:t> </w:t>
      </w:r>
      <w:r w:rsidR="00DE6B56" w:rsidRPr="00E538C1">
        <w:rPr>
          <w:lang w:val="en-US"/>
        </w:rPr>
        <w:t>A</w:t>
      </w:r>
      <w:r w:rsidRPr="00E538C1">
        <w:rPr>
          <w:rStyle w:val="goog-gtc-translatable"/>
          <w:lang w:val="en-US"/>
        </w:rPr>
        <w:t xml:space="preserve"> Cronbach α above </w:t>
      </w:r>
      <w:r w:rsidR="00DE6B56" w:rsidRPr="00E538C1">
        <w:rPr>
          <w:rStyle w:val="goog-gtc-translatable"/>
          <w:lang w:val="en-US"/>
        </w:rPr>
        <w:t>.</w:t>
      </w:r>
      <w:r w:rsidRPr="00E538C1">
        <w:rPr>
          <w:rStyle w:val="goog-gtc-translatable"/>
          <w:lang w:val="en-US"/>
        </w:rPr>
        <w:t xml:space="preserve">83 </w:t>
      </w:r>
      <w:r w:rsidR="00DE6B56" w:rsidRPr="00E538C1">
        <w:rPr>
          <w:rStyle w:val="goog-gtc-translatable"/>
          <w:lang w:val="en-US"/>
        </w:rPr>
        <w:t xml:space="preserve">is observed in each subscale </w:t>
      </w:r>
      <w:r w:rsidRPr="00E538C1">
        <w:rPr>
          <w:rStyle w:val="goog-gtc-translatable"/>
          <w:lang w:val="en-US"/>
        </w:rPr>
        <w:t>for both versions of the instrument.</w:t>
      </w:r>
      <w:r w:rsidR="00DE6B56" w:rsidRPr="00E538C1">
        <w:rPr>
          <w:rStyle w:val="goog-gtc-translatable"/>
          <w:lang w:val="en-US"/>
        </w:rPr>
        <w:t xml:space="preserve"> </w:t>
      </w:r>
      <w:r w:rsidRPr="00E538C1">
        <w:rPr>
          <w:rStyle w:val="goog-gtc-translatable"/>
          <w:lang w:val="en-US"/>
        </w:rPr>
        <w:t xml:space="preserve">The corrected </w:t>
      </w:r>
      <w:r w:rsidR="007F0DBD" w:rsidRPr="00E538C1">
        <w:rPr>
          <w:rStyle w:val="goog-gtc-translatable"/>
          <w:lang w:val="en-US"/>
        </w:rPr>
        <w:t xml:space="preserve">total </w:t>
      </w:r>
      <w:r w:rsidRPr="00E538C1">
        <w:rPr>
          <w:rStyle w:val="goog-gtc-translatable"/>
          <w:lang w:val="en-US"/>
        </w:rPr>
        <w:t xml:space="preserve">correlations </w:t>
      </w:r>
      <w:r w:rsidR="007F0DBD" w:rsidRPr="00E538C1">
        <w:rPr>
          <w:lang w:val="en-US"/>
        </w:rPr>
        <w:t>(</w:t>
      </w:r>
      <w:r w:rsidR="007F0DBD" w:rsidRPr="00E538C1">
        <w:rPr>
          <w:i/>
          <w:lang w:val="en-US"/>
        </w:rPr>
        <w:t>r</w:t>
      </w:r>
      <w:r w:rsidR="007F0DBD" w:rsidRPr="00E538C1">
        <w:rPr>
          <w:vertAlign w:val="subscript"/>
          <w:lang w:val="en-US"/>
        </w:rPr>
        <w:t>it</w:t>
      </w:r>
      <w:r w:rsidR="007F0DBD" w:rsidRPr="00E538C1">
        <w:rPr>
          <w:vertAlign w:val="superscript"/>
          <w:lang w:val="en-US"/>
        </w:rPr>
        <w:t>c</w:t>
      </w:r>
      <w:r w:rsidR="007F0DBD" w:rsidRPr="00E538C1">
        <w:rPr>
          <w:lang w:val="en-US"/>
        </w:rPr>
        <w:t xml:space="preserve">) </w:t>
      </w:r>
      <w:r w:rsidRPr="00E538C1">
        <w:rPr>
          <w:rStyle w:val="goog-gtc-translatable"/>
          <w:lang w:val="en-US"/>
        </w:rPr>
        <w:t xml:space="preserve">are </w:t>
      </w:r>
      <w:r w:rsidR="007F0DBD" w:rsidRPr="00E538C1">
        <w:rPr>
          <w:rStyle w:val="goog-gtc-translatable"/>
          <w:lang w:val="en-US"/>
        </w:rPr>
        <w:t xml:space="preserve">above .30 </w:t>
      </w:r>
      <w:r w:rsidRPr="00E538C1">
        <w:rPr>
          <w:rStyle w:val="goog-gtc-translatable"/>
          <w:lang w:val="en-US"/>
        </w:rPr>
        <w:t>in all the items, and the two versions above.</w:t>
      </w:r>
      <w:r w:rsidR="007F0DBD" w:rsidRPr="00E538C1">
        <w:rPr>
          <w:rStyle w:val="goog-gtc-translatable"/>
          <w:lang w:val="en-US"/>
        </w:rPr>
        <w:t xml:space="preserve"> No </w:t>
      </w:r>
      <w:r w:rsidRPr="00E538C1">
        <w:rPr>
          <w:rStyle w:val="goog-gtc-translatable"/>
          <w:lang w:val="en-US"/>
        </w:rPr>
        <w:t xml:space="preserve">significant increase is observed in </w:t>
      </w:r>
      <w:r w:rsidR="007F0DBD" w:rsidRPr="00E538C1">
        <w:rPr>
          <w:rStyle w:val="goog-gtc-translatable"/>
          <w:lang w:val="en-US"/>
        </w:rPr>
        <w:t xml:space="preserve">Cronbach α in any of the scales </w:t>
      </w:r>
      <w:r w:rsidRPr="00E538C1">
        <w:rPr>
          <w:rStyle w:val="goog-gtc-translatable"/>
          <w:lang w:val="en-US"/>
        </w:rPr>
        <w:t xml:space="preserve">if any of the items </w:t>
      </w:r>
      <w:r w:rsidR="007F0DBD" w:rsidRPr="00E538C1">
        <w:rPr>
          <w:rStyle w:val="goog-gtc-translatable"/>
          <w:lang w:val="en-US"/>
        </w:rPr>
        <w:t xml:space="preserve">were to be </w:t>
      </w:r>
      <w:r w:rsidRPr="00E538C1">
        <w:rPr>
          <w:rStyle w:val="goog-gtc-translatable"/>
          <w:lang w:val="en-US"/>
        </w:rPr>
        <w:t>removed.</w:t>
      </w:r>
      <w:r w:rsidR="007F0DBD" w:rsidRPr="00E538C1">
        <w:rPr>
          <w:rStyle w:val="goog-gtc-translatable"/>
          <w:lang w:val="en-US"/>
        </w:rPr>
        <w:t xml:space="preserve"> </w:t>
      </w:r>
      <w:r w:rsidRPr="00E538C1">
        <w:rPr>
          <w:rStyle w:val="goog-gtc-translatable"/>
          <w:lang w:val="en-US"/>
        </w:rPr>
        <w:t xml:space="preserve">The </w:t>
      </w:r>
      <w:r w:rsidR="007F0DBD" w:rsidRPr="00E538C1">
        <w:rPr>
          <w:rStyle w:val="goog-gtc-translatable"/>
          <w:lang w:val="en-US"/>
        </w:rPr>
        <w:t xml:space="preserve">mean values </w:t>
      </w:r>
      <w:r w:rsidRPr="00E538C1">
        <w:rPr>
          <w:rStyle w:val="goog-gtc-translatable"/>
          <w:lang w:val="en-US"/>
        </w:rPr>
        <w:t xml:space="preserve">of the scales are adjusted to </w:t>
      </w:r>
      <w:r w:rsidR="007F0DBD" w:rsidRPr="00E538C1">
        <w:rPr>
          <w:rStyle w:val="goog-gtc-translatable"/>
          <w:lang w:val="en-US"/>
        </w:rPr>
        <w:t xml:space="preserve">the expected values, </w:t>
      </w:r>
      <w:r w:rsidRPr="00E538C1">
        <w:rPr>
          <w:rStyle w:val="goog-gtc-translatable"/>
          <w:lang w:val="en-US"/>
        </w:rPr>
        <w:t xml:space="preserve">and deviations </w:t>
      </w:r>
      <w:r w:rsidR="007F0DBD" w:rsidRPr="00E538C1">
        <w:rPr>
          <w:rStyle w:val="goog-gtc-translatable"/>
          <w:lang w:val="en-US"/>
        </w:rPr>
        <w:t xml:space="preserve">are indicative of </w:t>
      </w:r>
      <w:r w:rsidRPr="00E538C1">
        <w:rPr>
          <w:rStyle w:val="goog-gtc-translatable"/>
          <w:lang w:val="en-US"/>
        </w:rPr>
        <w:t>adequate data variability.</w:t>
      </w:r>
    </w:p>
    <w:p w:rsidR="00714212" w:rsidRPr="00E538C1" w:rsidRDefault="00714212" w:rsidP="00423241">
      <w:pPr>
        <w:pStyle w:val="NormalWeb"/>
        <w:spacing w:line="480" w:lineRule="auto"/>
        <w:rPr>
          <w:b/>
          <w:lang w:val="en-US"/>
        </w:rPr>
      </w:pPr>
      <w:r w:rsidRPr="00E538C1">
        <w:rPr>
          <w:rStyle w:val="goog-gtc-translatable"/>
          <w:b/>
          <w:lang w:val="en-US"/>
        </w:rPr>
        <w:t>Construct validity</w:t>
      </w:r>
    </w:p>
    <w:p w:rsidR="00714212" w:rsidRPr="00E538C1" w:rsidRDefault="00714212" w:rsidP="002739A3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lang w:val="en-US"/>
        </w:rPr>
        <w:lastRenderedPageBreak/>
        <w:t xml:space="preserve">The data show a </w:t>
      </w:r>
      <w:r w:rsidR="00AA2BC6" w:rsidRPr="00E538C1">
        <w:rPr>
          <w:rStyle w:val="goog-gtc-translatable"/>
          <w:lang w:val="en-US"/>
        </w:rPr>
        <w:t>multivariate non-normality</w:t>
      </w:r>
      <w:r w:rsidRPr="00E538C1">
        <w:rPr>
          <w:rStyle w:val="goog-gtc-translatable"/>
          <w:lang w:val="en-US"/>
        </w:rPr>
        <w:t xml:space="preserve"> as </w:t>
      </w:r>
      <w:r w:rsidR="00AA2BC6" w:rsidRPr="00E538C1">
        <w:rPr>
          <w:rStyle w:val="goog-gtc-translatable"/>
          <w:lang w:val="en-US"/>
        </w:rPr>
        <w:t xml:space="preserve">per </w:t>
      </w:r>
      <w:r w:rsidRPr="00E538C1">
        <w:rPr>
          <w:rStyle w:val="goog-gtc-translatable"/>
          <w:lang w:val="en-US"/>
        </w:rPr>
        <w:t>Mardia</w:t>
      </w:r>
      <w:r w:rsidR="00AA2BC6" w:rsidRPr="00E538C1">
        <w:rPr>
          <w:rStyle w:val="goog-gtc-translatable"/>
          <w:lang w:val="en-US"/>
        </w:rPr>
        <w:t>’s</w:t>
      </w:r>
      <w:r w:rsidRPr="00E538C1">
        <w:rPr>
          <w:rStyle w:val="goog-gtc-translatable"/>
          <w:lang w:val="en-US"/>
        </w:rPr>
        <w:t xml:space="preserve"> index (59.58 </w:t>
      </w:r>
      <w:r w:rsidR="00AA2BC6" w:rsidRPr="00E538C1">
        <w:rPr>
          <w:rStyle w:val="goog-gtc-translatable"/>
          <w:lang w:val="en-US"/>
        </w:rPr>
        <w:t xml:space="preserve">for the Colombian version and </w:t>
      </w:r>
      <w:r w:rsidRPr="00E538C1">
        <w:rPr>
          <w:rStyle w:val="goog-gtc-translatable"/>
          <w:lang w:val="en-US"/>
        </w:rPr>
        <w:t>49.64 for the Spanish version).</w:t>
      </w:r>
    </w:p>
    <w:p w:rsidR="00714212" w:rsidRPr="00E538C1" w:rsidRDefault="00EB306C" w:rsidP="002739A3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lang w:val="en-US"/>
        </w:rPr>
        <w:t xml:space="preserve">FI was initiated </w:t>
      </w:r>
      <w:r w:rsidR="00714212" w:rsidRPr="00E538C1">
        <w:rPr>
          <w:rStyle w:val="goog-gtc-translatable"/>
          <w:lang w:val="en-US"/>
        </w:rPr>
        <w:t xml:space="preserve">with configural </w:t>
      </w:r>
      <w:r w:rsidRPr="00E538C1">
        <w:rPr>
          <w:rStyle w:val="goog-gtc-translatable"/>
          <w:lang w:val="en-US"/>
        </w:rPr>
        <w:t>–</w:t>
      </w:r>
      <w:r w:rsidR="00714212" w:rsidRPr="00E538C1">
        <w:rPr>
          <w:rStyle w:val="goog-gtc-translatable"/>
          <w:lang w:val="en-US"/>
        </w:rPr>
        <w:t xml:space="preserve"> unrestricted</w:t>
      </w:r>
      <w:r w:rsidRPr="00E538C1">
        <w:rPr>
          <w:rStyle w:val="goog-gtc-translatable"/>
          <w:lang w:val="en-US"/>
        </w:rPr>
        <w:t xml:space="preserve"> – invariance, and </w:t>
      </w:r>
      <w:r w:rsidR="00714212" w:rsidRPr="00E538C1">
        <w:rPr>
          <w:rStyle w:val="goog-gtc-translatable"/>
          <w:lang w:val="en-US"/>
        </w:rPr>
        <w:t xml:space="preserve">a suitable fit of the data to the theoretical model </w:t>
      </w:r>
      <w:r w:rsidRPr="00E538C1">
        <w:rPr>
          <w:rStyle w:val="goog-gtc-translatable"/>
          <w:lang w:val="en-US"/>
        </w:rPr>
        <w:t xml:space="preserve">was found </w:t>
      </w:r>
      <w:r w:rsidR="00714212" w:rsidRPr="00E538C1">
        <w:rPr>
          <w:rStyle w:val="goog-gtc-translatable"/>
          <w:lang w:val="en-US"/>
        </w:rPr>
        <w:t>(RMSEA = .030; IC</w:t>
      </w:r>
      <w:r w:rsidR="006B5691"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>90% between .022 and .037; S</w:t>
      </w:r>
      <w:r w:rsidR="006B5691" w:rsidRPr="00E538C1">
        <w:rPr>
          <w:rStyle w:val="goog-gtc-translatable"/>
          <w:lang w:val="en-US"/>
        </w:rPr>
        <w:t>-</w:t>
      </w:r>
      <w:r w:rsidR="00714212" w:rsidRPr="00E538C1">
        <w:rPr>
          <w:rStyle w:val="goog-gtc-translatable"/>
          <w:lang w:val="en-US"/>
        </w:rPr>
        <w:t>B χ</w:t>
      </w:r>
      <w:r w:rsidR="00714212" w:rsidRPr="00E538C1">
        <w:rPr>
          <w:rStyle w:val="goog-gtc-translatable"/>
          <w:vertAlign w:val="superscript"/>
          <w:lang w:val="en-US"/>
        </w:rPr>
        <w:t>2</w:t>
      </w:r>
      <w:r w:rsidR="00714212" w:rsidRPr="00E538C1">
        <w:rPr>
          <w:rStyle w:val="goog-gtc-translatable"/>
          <w:lang w:val="en-US"/>
        </w:rPr>
        <w:t xml:space="preserve"> = 256.67, df = 166, </w:t>
      </w:r>
      <w:r w:rsidR="00714212" w:rsidRPr="00E538C1">
        <w:rPr>
          <w:rStyle w:val="goog-gtc-translatable"/>
          <w:i/>
          <w:lang w:val="en-US"/>
        </w:rPr>
        <w:t>p</w:t>
      </w:r>
      <w:r w:rsidR="00714212" w:rsidRPr="00E538C1">
        <w:rPr>
          <w:rStyle w:val="goog-gtc-translatable"/>
          <w:lang w:val="en-US"/>
        </w:rPr>
        <w:t xml:space="preserve"> =. 00 and CFI = .986).</w:t>
      </w:r>
      <w:r w:rsidR="006B5691"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 xml:space="preserve">Given the </w:t>
      </w:r>
      <w:r w:rsidR="008108F5" w:rsidRPr="00E538C1">
        <w:rPr>
          <w:rStyle w:val="goog-gtc-translatable"/>
          <w:lang w:val="en-US"/>
        </w:rPr>
        <w:t xml:space="preserve">adequate fit, </w:t>
      </w:r>
      <w:r w:rsidR="00714212" w:rsidRPr="00E538C1">
        <w:rPr>
          <w:rStyle w:val="goog-gtc-translatable"/>
          <w:lang w:val="en-US"/>
        </w:rPr>
        <w:t xml:space="preserve">metric invariance </w:t>
      </w:r>
      <w:r w:rsidR="00B814D9" w:rsidRPr="00E538C1">
        <w:rPr>
          <w:rStyle w:val="goog-gtc-translatable"/>
          <w:lang w:val="en-US"/>
        </w:rPr>
        <w:t>was subsequently addressed</w:t>
      </w:r>
      <w:r w:rsidR="00714212" w:rsidRPr="00E538C1">
        <w:rPr>
          <w:rStyle w:val="goog-gtc-translatable"/>
          <w:lang w:val="en-US"/>
        </w:rPr>
        <w:t xml:space="preserve"> restricting</w:t>
      </w:r>
      <w:r w:rsidR="00B814D9"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 xml:space="preserve">factor </w:t>
      </w:r>
      <w:r w:rsidR="006372AA">
        <w:rPr>
          <w:rStyle w:val="goog-gtc-translatable"/>
          <w:lang w:val="en-US"/>
        </w:rPr>
        <w:t>loading</w:t>
      </w:r>
      <w:r w:rsidR="00B814D9" w:rsidRPr="00E538C1">
        <w:rPr>
          <w:rStyle w:val="goog-gtc-translatable"/>
          <w:lang w:val="en-US"/>
        </w:rPr>
        <w:t xml:space="preserve">. A clear bias </w:t>
      </w:r>
      <w:r w:rsidR="00714212" w:rsidRPr="00E538C1">
        <w:rPr>
          <w:rStyle w:val="goog-gtc-translatable"/>
          <w:lang w:val="en-US"/>
        </w:rPr>
        <w:t>was observed in the model fit (RMSEA = .079, IC90% between .073 and .085, χ</w:t>
      </w:r>
      <w:r w:rsidR="00714212" w:rsidRPr="00E538C1">
        <w:rPr>
          <w:rStyle w:val="goog-gtc-translatable"/>
          <w:vertAlign w:val="superscript"/>
          <w:lang w:val="en-US"/>
        </w:rPr>
        <w:t>2</w:t>
      </w:r>
      <w:r w:rsidR="00714212" w:rsidRPr="00E538C1">
        <w:rPr>
          <w:rStyle w:val="goog-gtc-translatable"/>
          <w:lang w:val="en-US"/>
        </w:rPr>
        <w:t xml:space="preserve"> = 768.81, df = 166, </w:t>
      </w:r>
      <w:r w:rsidR="00714212" w:rsidRPr="00E538C1">
        <w:rPr>
          <w:rStyle w:val="goog-gtc-translatable"/>
          <w:i/>
          <w:lang w:val="en-US"/>
        </w:rPr>
        <w:t>p</w:t>
      </w:r>
      <w:r w:rsidR="00714212" w:rsidRPr="00E538C1">
        <w:rPr>
          <w:rStyle w:val="goog-gtc-translatable"/>
          <w:lang w:val="en-US"/>
        </w:rPr>
        <w:t xml:space="preserve"> = .00, and CFI = .929)</w:t>
      </w:r>
      <w:r w:rsidR="00B814D9" w:rsidRPr="00E538C1">
        <w:rPr>
          <w:rStyle w:val="goog-gtc-translatable"/>
          <w:lang w:val="en-US"/>
        </w:rPr>
        <w:t xml:space="preserve">; for this reason no progress was made onto </w:t>
      </w:r>
      <w:r w:rsidR="00714212" w:rsidRPr="00E538C1">
        <w:rPr>
          <w:rStyle w:val="goog-gtc-translatable"/>
          <w:lang w:val="en-US"/>
        </w:rPr>
        <w:t xml:space="preserve">progressive </w:t>
      </w:r>
      <w:r w:rsidR="00B814D9" w:rsidRPr="00E538C1">
        <w:rPr>
          <w:rStyle w:val="goog-gtc-translatable"/>
          <w:lang w:val="en-US"/>
        </w:rPr>
        <w:t>evaluation</w:t>
      </w:r>
      <w:r w:rsidR="00714212" w:rsidRPr="00E538C1">
        <w:rPr>
          <w:rStyle w:val="goog-gtc-translatable"/>
          <w:lang w:val="en-US"/>
        </w:rPr>
        <w:t>.</w:t>
      </w:r>
    </w:p>
    <w:p w:rsidR="00714212" w:rsidRPr="00E538C1" w:rsidRDefault="00714212" w:rsidP="002739A3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lang w:val="en-US"/>
        </w:rPr>
        <w:t xml:space="preserve">Table 3 shows the standardized estimates of configural model are observed, noting that the factor </w:t>
      </w:r>
      <w:r w:rsidR="008D3617">
        <w:rPr>
          <w:rStyle w:val="goog-gtc-translatable"/>
          <w:lang w:val="en-US"/>
        </w:rPr>
        <w:t>loadings</w:t>
      </w:r>
      <w:r w:rsidRPr="00E538C1">
        <w:rPr>
          <w:rStyle w:val="goog-gtc-translatable"/>
          <w:lang w:val="en-US"/>
        </w:rPr>
        <w:t xml:space="preserve"> of all items are above .30.</w:t>
      </w:r>
    </w:p>
    <w:p w:rsidR="00714212" w:rsidRPr="00E538C1" w:rsidRDefault="00714212" w:rsidP="00423241">
      <w:pPr>
        <w:pStyle w:val="NormalWeb"/>
        <w:spacing w:line="480" w:lineRule="auto"/>
        <w:rPr>
          <w:lang w:val="en-US"/>
        </w:rPr>
      </w:pPr>
      <w:r w:rsidRPr="00E538C1">
        <w:rPr>
          <w:lang w:val="en-US"/>
        </w:rPr>
        <w:t> </w:t>
      </w:r>
    </w:p>
    <w:p w:rsidR="00714212" w:rsidRPr="00E538C1" w:rsidRDefault="00714212" w:rsidP="00423241">
      <w:pPr>
        <w:pStyle w:val="NormalWeb"/>
        <w:spacing w:line="480" w:lineRule="auto"/>
        <w:rPr>
          <w:b/>
          <w:lang w:val="en-US"/>
        </w:rPr>
      </w:pPr>
      <w:r w:rsidRPr="00E538C1">
        <w:rPr>
          <w:rStyle w:val="goog-gtc-translatable"/>
          <w:b/>
          <w:lang w:val="en-US"/>
        </w:rPr>
        <w:t>External validity</w:t>
      </w:r>
    </w:p>
    <w:p w:rsidR="00714212" w:rsidRPr="00E538C1" w:rsidRDefault="00714212" w:rsidP="002739A3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lang w:val="en-US"/>
        </w:rPr>
        <w:t xml:space="preserve">Table 4 shows the correlations </w:t>
      </w:r>
      <w:r w:rsidR="00E43074" w:rsidRPr="00E538C1">
        <w:rPr>
          <w:rStyle w:val="goog-gtc-translatable"/>
          <w:lang w:val="en-US"/>
        </w:rPr>
        <w:t xml:space="preserve">amongst </w:t>
      </w:r>
      <w:r w:rsidRPr="00E538C1">
        <w:rPr>
          <w:rStyle w:val="goog-gtc-translatable"/>
          <w:lang w:val="en-US"/>
        </w:rPr>
        <w:t>the three subscales</w:t>
      </w:r>
      <w:r w:rsidR="00E43074" w:rsidRPr="00E538C1">
        <w:rPr>
          <w:rStyle w:val="goog-gtc-translatable"/>
          <w:lang w:val="en-US"/>
        </w:rPr>
        <w:t>,</w:t>
      </w:r>
      <w:r w:rsidRPr="00E538C1">
        <w:rPr>
          <w:rStyle w:val="goog-gtc-translatable"/>
          <w:lang w:val="en-US"/>
        </w:rPr>
        <w:t xml:space="preserve"> and between each of them and </w:t>
      </w:r>
      <w:r w:rsidR="00E43074" w:rsidRPr="00E538C1">
        <w:rPr>
          <w:rStyle w:val="goog-gtc-translatable"/>
          <w:lang w:val="en-US"/>
        </w:rPr>
        <w:t xml:space="preserve">the </w:t>
      </w:r>
      <w:r w:rsidRPr="00E538C1">
        <w:rPr>
          <w:rStyle w:val="goog-gtc-translatable"/>
          <w:lang w:val="en-US"/>
        </w:rPr>
        <w:t>test instruments</w:t>
      </w:r>
      <w:r w:rsidR="00E43074" w:rsidRPr="00E538C1">
        <w:rPr>
          <w:rStyle w:val="goog-gtc-translatable"/>
          <w:lang w:val="en-US"/>
        </w:rPr>
        <w:t>,</w:t>
      </w:r>
      <w:r w:rsidRPr="00E538C1">
        <w:rPr>
          <w:rStyle w:val="goog-gtc-translatable"/>
          <w:lang w:val="en-US"/>
        </w:rPr>
        <w:t xml:space="preserve"> </w:t>
      </w:r>
      <w:r w:rsidR="00E43074" w:rsidRPr="00E538C1">
        <w:rPr>
          <w:rStyle w:val="goog-gtc-translatable"/>
          <w:lang w:val="en-US"/>
        </w:rPr>
        <w:t xml:space="preserve">in order to obtain </w:t>
      </w:r>
      <w:r w:rsidRPr="00E538C1">
        <w:rPr>
          <w:rStyle w:val="goog-gtc-translatable"/>
          <w:lang w:val="en-US"/>
        </w:rPr>
        <w:t>external validity indicators.</w:t>
      </w:r>
      <w:r w:rsidRPr="00E538C1">
        <w:rPr>
          <w:rStyle w:val="apple-converted-space"/>
          <w:lang w:val="en-US"/>
        </w:rPr>
        <w:t> </w:t>
      </w:r>
      <w:r w:rsidRPr="00E538C1">
        <w:rPr>
          <w:rStyle w:val="goog-gtc-translatable"/>
          <w:lang w:val="en-US"/>
        </w:rPr>
        <w:t xml:space="preserve">As shown in </w:t>
      </w:r>
      <w:r w:rsidR="00E43074" w:rsidRPr="00E538C1">
        <w:rPr>
          <w:rStyle w:val="goog-gtc-translatable"/>
          <w:lang w:val="en-US"/>
        </w:rPr>
        <w:t>the t</w:t>
      </w:r>
      <w:r w:rsidRPr="00E538C1">
        <w:rPr>
          <w:rStyle w:val="goog-gtc-translatable"/>
          <w:lang w:val="en-US"/>
        </w:rPr>
        <w:t xml:space="preserve">able </w:t>
      </w:r>
      <w:r w:rsidR="00E43074" w:rsidRPr="00E538C1">
        <w:rPr>
          <w:rStyle w:val="goog-gtc-translatable"/>
          <w:lang w:val="en-US"/>
        </w:rPr>
        <w:t xml:space="preserve">below, low and moderate </w:t>
      </w:r>
      <w:r w:rsidRPr="00E538C1">
        <w:rPr>
          <w:rStyle w:val="goog-gtc-translatable"/>
          <w:lang w:val="en-US"/>
        </w:rPr>
        <w:t xml:space="preserve">significant correlations have been observed between </w:t>
      </w:r>
      <w:r w:rsidR="00E43074" w:rsidRPr="00E538C1">
        <w:rPr>
          <w:rStyle w:val="goog-gtc-translatable"/>
          <w:lang w:val="en-US"/>
        </w:rPr>
        <w:t xml:space="preserve">the </w:t>
      </w:r>
      <w:r w:rsidRPr="00E538C1">
        <w:rPr>
          <w:rStyle w:val="goog-gtc-translatable"/>
          <w:lang w:val="en-US"/>
        </w:rPr>
        <w:t>different subscales.</w:t>
      </w:r>
      <w:r w:rsidRPr="00E538C1">
        <w:rPr>
          <w:rStyle w:val="apple-converted-space"/>
          <w:lang w:val="en-US"/>
        </w:rPr>
        <w:t> </w:t>
      </w:r>
      <w:r w:rsidRPr="00E538C1">
        <w:rPr>
          <w:rStyle w:val="goog-gtc-translatable"/>
          <w:lang w:val="en-US"/>
        </w:rPr>
        <w:t xml:space="preserve">Furthermore, </w:t>
      </w:r>
      <w:r w:rsidR="00E43074" w:rsidRPr="00E538C1">
        <w:rPr>
          <w:rStyle w:val="goog-gtc-translatable"/>
          <w:lang w:val="en-US"/>
        </w:rPr>
        <w:t xml:space="preserve">the tendency observed </w:t>
      </w:r>
      <w:r w:rsidRPr="00E538C1">
        <w:rPr>
          <w:rStyle w:val="goog-gtc-translatable"/>
          <w:lang w:val="en-US"/>
        </w:rPr>
        <w:t>is similar for Colombia and Spain.</w:t>
      </w:r>
    </w:p>
    <w:p w:rsidR="00714212" w:rsidRPr="00E538C1" w:rsidRDefault="00714212" w:rsidP="00E43074">
      <w:pPr>
        <w:pStyle w:val="NormalWeb"/>
        <w:spacing w:line="480" w:lineRule="auto"/>
        <w:jc w:val="center"/>
        <w:rPr>
          <w:b/>
          <w:lang w:val="en-US"/>
        </w:rPr>
      </w:pPr>
      <w:r w:rsidRPr="00E538C1">
        <w:rPr>
          <w:rStyle w:val="goog-gtc-translatable"/>
          <w:b/>
          <w:lang w:val="en-US"/>
        </w:rPr>
        <w:t>Discussion</w:t>
      </w:r>
    </w:p>
    <w:p w:rsidR="00714212" w:rsidRPr="00E538C1" w:rsidRDefault="006A6D78" w:rsidP="002739A3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lang w:val="en-US"/>
        </w:rPr>
        <w:t xml:space="preserve">This </w:t>
      </w:r>
      <w:r w:rsidR="00714212" w:rsidRPr="00E538C1">
        <w:rPr>
          <w:rStyle w:val="goog-gtc-translatable"/>
          <w:lang w:val="en-US"/>
        </w:rPr>
        <w:t xml:space="preserve">study </w:t>
      </w:r>
      <w:r w:rsidRPr="00E538C1">
        <w:rPr>
          <w:rStyle w:val="goog-gtc-translatable"/>
          <w:lang w:val="en-US"/>
        </w:rPr>
        <w:t xml:space="preserve">sought </w:t>
      </w:r>
      <w:r w:rsidR="00714212" w:rsidRPr="00E538C1">
        <w:rPr>
          <w:rStyle w:val="goog-gtc-translatable"/>
          <w:lang w:val="en-US"/>
        </w:rPr>
        <w:t xml:space="preserve">to translate, adapt and validate </w:t>
      </w:r>
      <w:r w:rsidRPr="00E538C1">
        <w:rPr>
          <w:rStyle w:val="goog-gtc-translatable"/>
          <w:lang w:val="en-US"/>
        </w:rPr>
        <w:t xml:space="preserve">the </w:t>
      </w:r>
      <w:r w:rsidR="00714212" w:rsidRPr="00E538C1">
        <w:rPr>
          <w:rStyle w:val="goog-gtc-translatable"/>
          <w:lang w:val="en-US"/>
        </w:rPr>
        <w:t xml:space="preserve">Sexuality Scale </w:t>
      </w:r>
      <w:r w:rsidRPr="00E538C1">
        <w:rPr>
          <w:rStyle w:val="goog-gtc-translatable"/>
          <w:lang w:val="en-US"/>
        </w:rPr>
        <w:t xml:space="preserve">by </w:t>
      </w:r>
      <w:r w:rsidR="00714212" w:rsidRPr="00E538C1">
        <w:rPr>
          <w:rStyle w:val="goog-gtc-translatable"/>
          <w:lang w:val="en-US"/>
        </w:rPr>
        <w:t xml:space="preserve">Snell and Papini (1989) in </w:t>
      </w:r>
      <w:r w:rsidRPr="00E538C1">
        <w:rPr>
          <w:rStyle w:val="goog-gtc-translatable"/>
          <w:lang w:val="en-US"/>
        </w:rPr>
        <w:t xml:space="preserve">its </w:t>
      </w:r>
      <w:r w:rsidR="00714212" w:rsidRPr="00E538C1">
        <w:rPr>
          <w:rStyle w:val="goog-gtc-translatable"/>
          <w:lang w:val="en-US"/>
        </w:rPr>
        <w:t xml:space="preserve">brief version </w:t>
      </w:r>
      <w:r w:rsidRPr="00E538C1">
        <w:rPr>
          <w:rStyle w:val="goog-gtc-translatable"/>
          <w:lang w:val="en-US"/>
        </w:rPr>
        <w:t xml:space="preserve">by </w:t>
      </w:r>
      <w:r w:rsidR="00714212" w:rsidRPr="00E538C1">
        <w:rPr>
          <w:rStyle w:val="goog-gtc-translatable"/>
          <w:lang w:val="en-US"/>
        </w:rPr>
        <w:t>Wiedemann and Allgeier (1993)</w:t>
      </w:r>
      <w:r w:rsidRPr="00E538C1">
        <w:rPr>
          <w:rStyle w:val="goog-gtc-translatable"/>
          <w:lang w:val="en-US"/>
        </w:rPr>
        <w:t>, in</w:t>
      </w:r>
      <w:r w:rsidR="00714212" w:rsidRPr="00E538C1">
        <w:rPr>
          <w:rStyle w:val="goog-gtc-translatable"/>
          <w:lang w:val="en-US"/>
        </w:rPr>
        <w:t xml:space="preserve">to Spanish of </w:t>
      </w:r>
      <w:r w:rsidR="00714212" w:rsidRPr="00E538C1">
        <w:rPr>
          <w:rStyle w:val="goog-gtc-translatable"/>
          <w:lang w:val="en-US"/>
        </w:rPr>
        <w:lastRenderedPageBreak/>
        <w:t>Colombia and Spain.</w:t>
      </w:r>
      <w:r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>After the process of translating and adapting the scale</w:t>
      </w:r>
      <w:r w:rsidRPr="00E538C1">
        <w:rPr>
          <w:rStyle w:val="goog-gtc-translatable"/>
          <w:lang w:val="en-US"/>
        </w:rPr>
        <w:t xml:space="preserve">, </w:t>
      </w:r>
      <w:r w:rsidR="00714212" w:rsidRPr="00E538C1">
        <w:rPr>
          <w:rStyle w:val="goog-gtc-translatable"/>
          <w:lang w:val="en-US"/>
        </w:rPr>
        <w:t xml:space="preserve">adequate psychometric properties </w:t>
      </w:r>
      <w:r w:rsidRPr="00E538C1">
        <w:rPr>
          <w:rStyle w:val="goog-gtc-translatable"/>
          <w:lang w:val="en-US"/>
        </w:rPr>
        <w:t xml:space="preserve">were observed, </w:t>
      </w:r>
      <w:r w:rsidR="00714212" w:rsidRPr="00E538C1">
        <w:rPr>
          <w:rStyle w:val="goog-gtc-translatable"/>
          <w:lang w:val="en-US"/>
        </w:rPr>
        <w:t>with good evidence of validity and reliability.</w:t>
      </w:r>
    </w:p>
    <w:p w:rsidR="005B3526" w:rsidRPr="00E538C1" w:rsidRDefault="00714212" w:rsidP="002739A3">
      <w:pPr>
        <w:pStyle w:val="NormalWeb"/>
        <w:spacing w:line="480" w:lineRule="auto"/>
        <w:ind w:firstLine="708"/>
        <w:rPr>
          <w:rStyle w:val="goog-gtc-translatable"/>
          <w:lang w:val="en-US"/>
        </w:rPr>
      </w:pPr>
      <w:r w:rsidRPr="00E538C1">
        <w:rPr>
          <w:rStyle w:val="goog-gtc-translatable"/>
          <w:lang w:val="en-US"/>
        </w:rPr>
        <w:t>The cultural gap between Colombia and Spain explains the differences of the samples in relation to religion and marital status.</w:t>
      </w:r>
      <w:r w:rsidRPr="00E538C1">
        <w:rPr>
          <w:rStyle w:val="apple-converted-space"/>
          <w:lang w:val="en-US"/>
        </w:rPr>
        <w:t> </w:t>
      </w:r>
      <w:r w:rsidR="00892F56" w:rsidRPr="00E538C1">
        <w:rPr>
          <w:rStyle w:val="goog-gtc-translatable"/>
          <w:lang w:val="en-US"/>
        </w:rPr>
        <w:t>H</w:t>
      </w:r>
      <w:r w:rsidR="002739A3">
        <w:rPr>
          <w:rStyle w:val="goog-gtc-translatable"/>
          <w:lang w:val="en-US"/>
        </w:rPr>
        <w:t>igher levels of religiousness</w:t>
      </w:r>
      <w:r w:rsidR="00892F56" w:rsidRPr="00E538C1">
        <w:rPr>
          <w:rStyle w:val="goog-gtc-translatable"/>
          <w:lang w:val="en-US"/>
        </w:rPr>
        <w:t xml:space="preserve">, as well as </w:t>
      </w:r>
      <w:r w:rsidRPr="00E538C1">
        <w:rPr>
          <w:rStyle w:val="goog-gtc-translatable"/>
          <w:lang w:val="en-US"/>
        </w:rPr>
        <w:t>more people belonging to Christianity and Catholicism in Colombia than in Spain</w:t>
      </w:r>
      <w:r w:rsidR="00892F56" w:rsidRPr="00E538C1">
        <w:rPr>
          <w:rStyle w:val="goog-gtc-translatable"/>
          <w:lang w:val="en-US"/>
        </w:rPr>
        <w:t>,</w:t>
      </w:r>
      <w:r w:rsidRPr="00E538C1">
        <w:rPr>
          <w:rStyle w:val="goog-gtc-translatable"/>
          <w:lang w:val="en-US"/>
        </w:rPr>
        <w:t xml:space="preserve"> as well as more frequent involvement in</w:t>
      </w:r>
      <w:r w:rsidR="005B3526" w:rsidRPr="00E538C1">
        <w:rPr>
          <w:rStyle w:val="goog-gtc-translatable"/>
          <w:lang w:val="en-US"/>
        </w:rPr>
        <w:t xml:space="preserve"> common</w:t>
      </w:r>
      <w:r w:rsidR="00046C9B">
        <w:rPr>
          <w:rStyle w:val="goog-gtc-translatable"/>
          <w:lang w:val="en-US"/>
        </w:rPr>
        <w:t>-</w:t>
      </w:r>
      <w:r w:rsidR="005B3526" w:rsidRPr="00E538C1">
        <w:rPr>
          <w:rStyle w:val="goog-gtc-translatable"/>
          <w:lang w:val="en-US"/>
        </w:rPr>
        <w:t xml:space="preserve">law marriage </w:t>
      </w:r>
      <w:r w:rsidRPr="00E538C1">
        <w:rPr>
          <w:rStyle w:val="goog-gtc-translatable"/>
          <w:lang w:val="en-US"/>
        </w:rPr>
        <w:t>relationships</w:t>
      </w:r>
      <w:r w:rsidR="005B3526" w:rsidRPr="00E538C1">
        <w:rPr>
          <w:rStyle w:val="goog-gtc-translatable"/>
          <w:lang w:val="en-US"/>
        </w:rPr>
        <w:t>; nevertheless</w:t>
      </w:r>
      <w:r w:rsidRPr="00E538C1">
        <w:rPr>
          <w:rStyle w:val="goog-gtc-translatable"/>
          <w:lang w:val="en-US"/>
        </w:rPr>
        <w:t xml:space="preserve">, no statistically significant differences were observed between the two countries </w:t>
      </w:r>
      <w:r w:rsidR="005B3526" w:rsidRPr="00E538C1">
        <w:rPr>
          <w:rStyle w:val="goog-gtc-translatable"/>
          <w:lang w:val="en-US"/>
        </w:rPr>
        <w:t>in terms of</w:t>
      </w:r>
      <w:r w:rsidR="00046C9B">
        <w:rPr>
          <w:rStyle w:val="goog-gtc-translatable"/>
          <w:lang w:val="en-US"/>
        </w:rPr>
        <w:t xml:space="preserve"> sex</w:t>
      </w:r>
      <w:r w:rsidRPr="00E538C1">
        <w:rPr>
          <w:rStyle w:val="goog-gtc-translatable"/>
          <w:lang w:val="en-US"/>
        </w:rPr>
        <w:t>, sexual orientation and being involved in a relationship.</w:t>
      </w:r>
      <w:r w:rsidRPr="00E538C1">
        <w:rPr>
          <w:rStyle w:val="apple-converted-space"/>
          <w:lang w:val="en-US"/>
        </w:rPr>
        <w:t> </w:t>
      </w:r>
      <w:r w:rsidRPr="00E538C1">
        <w:rPr>
          <w:rStyle w:val="goog-gtc-translatable"/>
          <w:lang w:val="en-US"/>
        </w:rPr>
        <w:t>However</w:t>
      </w:r>
      <w:r w:rsidR="005B3526" w:rsidRPr="00E538C1">
        <w:rPr>
          <w:rStyle w:val="goog-gtc-translatable"/>
          <w:lang w:val="en-US"/>
        </w:rPr>
        <w:t xml:space="preserve">, </w:t>
      </w:r>
      <w:r w:rsidRPr="00E538C1">
        <w:rPr>
          <w:rStyle w:val="goog-gtc-translatable"/>
          <w:lang w:val="en-US"/>
        </w:rPr>
        <w:t xml:space="preserve">statistically significant differences </w:t>
      </w:r>
      <w:r w:rsidR="005B3526" w:rsidRPr="00E538C1">
        <w:rPr>
          <w:rStyle w:val="goog-gtc-translatable"/>
          <w:lang w:val="en-US"/>
        </w:rPr>
        <w:t xml:space="preserve">were observed </w:t>
      </w:r>
      <w:r w:rsidRPr="00E538C1">
        <w:rPr>
          <w:rStyle w:val="goog-gtc-translatable"/>
          <w:lang w:val="en-US"/>
        </w:rPr>
        <w:t xml:space="preserve">between the two countries </w:t>
      </w:r>
      <w:r w:rsidR="005B3526" w:rsidRPr="00E538C1">
        <w:rPr>
          <w:rStyle w:val="goog-gtc-translatable"/>
          <w:lang w:val="en-US"/>
        </w:rPr>
        <w:t xml:space="preserve">in terms of years of schooling </w:t>
      </w:r>
      <w:r w:rsidRPr="00E538C1">
        <w:rPr>
          <w:rStyle w:val="goog-gtc-translatable"/>
          <w:lang w:val="en-US"/>
        </w:rPr>
        <w:t xml:space="preserve">and age ranges, </w:t>
      </w:r>
      <w:r w:rsidR="005B3526" w:rsidRPr="00E538C1">
        <w:rPr>
          <w:rStyle w:val="goog-gtc-translatable"/>
          <w:lang w:val="en-US"/>
        </w:rPr>
        <w:t xml:space="preserve">albeit said differences are small in terms of </w:t>
      </w:r>
      <w:r w:rsidRPr="00E538C1">
        <w:rPr>
          <w:rStyle w:val="goog-gtc-translatable"/>
          <w:lang w:val="en-US"/>
        </w:rPr>
        <w:t>effect sizes</w:t>
      </w:r>
      <w:r w:rsidR="005B3526" w:rsidRPr="00E538C1">
        <w:rPr>
          <w:rStyle w:val="goog-gtc-translatable"/>
          <w:lang w:val="en-US"/>
        </w:rPr>
        <w:t>.</w:t>
      </w:r>
    </w:p>
    <w:p w:rsidR="00714212" w:rsidRPr="00E538C1" w:rsidRDefault="009354C5" w:rsidP="00046C9B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lang w:val="en-US"/>
        </w:rPr>
        <w:t>The q</w:t>
      </w:r>
      <w:r w:rsidR="00714212" w:rsidRPr="00E538C1">
        <w:rPr>
          <w:rStyle w:val="goog-gtc-translatable"/>
          <w:lang w:val="en-US"/>
        </w:rPr>
        <w:t xml:space="preserve">ualitative </w:t>
      </w:r>
      <w:r w:rsidRPr="00E538C1">
        <w:rPr>
          <w:rStyle w:val="goog-gtc-translatable"/>
          <w:lang w:val="en-US"/>
        </w:rPr>
        <w:t xml:space="preserve">evaluation conducted </w:t>
      </w:r>
      <w:r w:rsidR="00714212" w:rsidRPr="00E538C1">
        <w:rPr>
          <w:rStyle w:val="goog-gtc-translatable"/>
          <w:lang w:val="en-US"/>
        </w:rPr>
        <w:t xml:space="preserve">by experts of the two countries required </w:t>
      </w:r>
      <w:r w:rsidRPr="00E538C1">
        <w:rPr>
          <w:rStyle w:val="goog-gtc-translatable"/>
          <w:lang w:val="en-US"/>
        </w:rPr>
        <w:t xml:space="preserve">an </w:t>
      </w:r>
      <w:r w:rsidR="00714212" w:rsidRPr="00E538C1">
        <w:rPr>
          <w:rStyle w:val="goog-gtc-translatable"/>
          <w:lang w:val="en-US"/>
        </w:rPr>
        <w:t>adjust</w:t>
      </w:r>
      <w:r w:rsidRPr="00E538C1">
        <w:rPr>
          <w:rStyle w:val="goog-gtc-translatable"/>
          <w:lang w:val="en-US"/>
        </w:rPr>
        <w:t>ment</w:t>
      </w:r>
      <w:r w:rsidR="00714212" w:rsidRPr="00E538C1">
        <w:rPr>
          <w:rStyle w:val="goog-gtc-translatable"/>
          <w:lang w:val="en-US"/>
        </w:rPr>
        <w:t xml:space="preserve"> </w:t>
      </w:r>
      <w:r w:rsidRPr="00E538C1">
        <w:rPr>
          <w:rStyle w:val="goog-gtc-translatable"/>
          <w:lang w:val="en-US"/>
        </w:rPr>
        <w:t xml:space="preserve">of </w:t>
      </w:r>
      <w:r w:rsidR="00714212" w:rsidRPr="00E538C1">
        <w:rPr>
          <w:rStyle w:val="goog-gtc-translatable"/>
          <w:lang w:val="en-US"/>
        </w:rPr>
        <w:t xml:space="preserve">some items </w:t>
      </w:r>
      <w:r w:rsidRPr="00E538C1">
        <w:rPr>
          <w:rStyle w:val="goog-gtc-translatable"/>
          <w:lang w:val="en-US"/>
        </w:rPr>
        <w:t xml:space="preserve">so as </w:t>
      </w:r>
      <w:r w:rsidR="00714212" w:rsidRPr="00E538C1">
        <w:rPr>
          <w:rStyle w:val="goog-gtc-translatable"/>
          <w:lang w:val="en-US"/>
        </w:rPr>
        <w:t xml:space="preserve">to enhance </w:t>
      </w:r>
      <w:r w:rsidRPr="00E538C1">
        <w:rPr>
          <w:rStyle w:val="goog-gtc-translatable"/>
          <w:lang w:val="en-US"/>
        </w:rPr>
        <w:t xml:space="preserve">their </w:t>
      </w:r>
      <w:r w:rsidR="00714212" w:rsidRPr="00E538C1">
        <w:rPr>
          <w:rStyle w:val="goog-gtc-translatable"/>
          <w:lang w:val="en-US"/>
        </w:rPr>
        <w:t>representativeness, understanding, interpretation and clarity</w:t>
      </w:r>
      <w:r w:rsidRPr="00E538C1">
        <w:rPr>
          <w:rStyle w:val="goog-gtc-translatable"/>
          <w:lang w:val="en-US"/>
        </w:rPr>
        <w:t>,</w:t>
      </w:r>
      <w:r w:rsidR="00714212" w:rsidRPr="00E538C1">
        <w:rPr>
          <w:rStyle w:val="goog-gtc-translatable"/>
          <w:lang w:val="en-US"/>
        </w:rPr>
        <w:t xml:space="preserve"> in light of the specification table </w:t>
      </w:r>
      <w:r w:rsidRPr="00E538C1">
        <w:rPr>
          <w:rStyle w:val="goog-gtc-translatable"/>
          <w:lang w:val="en-US"/>
        </w:rPr>
        <w:t xml:space="preserve">proposed by </w:t>
      </w:r>
      <w:r w:rsidR="00714212" w:rsidRPr="00E538C1">
        <w:rPr>
          <w:rStyle w:val="goog-gtc-translatable"/>
          <w:lang w:val="en-US"/>
        </w:rPr>
        <w:t>Osterlind (1989).</w:t>
      </w:r>
      <w:r w:rsidR="00714212" w:rsidRPr="00E538C1">
        <w:rPr>
          <w:rStyle w:val="apple-converted-space"/>
          <w:lang w:val="en-US"/>
        </w:rPr>
        <w:t> </w:t>
      </w:r>
      <w:r w:rsidRPr="00E538C1">
        <w:rPr>
          <w:rStyle w:val="goog-gtc-translatable"/>
          <w:lang w:val="en-US"/>
        </w:rPr>
        <w:t xml:space="preserve">Along these lines of thought, </w:t>
      </w:r>
      <w:r w:rsidR="00714212" w:rsidRPr="00E538C1">
        <w:rPr>
          <w:rStyle w:val="goog-gtc-translatable"/>
          <w:lang w:val="en-US"/>
        </w:rPr>
        <w:t xml:space="preserve">linguistic corrections were adapted to the culture of the two countries </w:t>
      </w:r>
      <w:r w:rsidRPr="00E538C1">
        <w:rPr>
          <w:rStyle w:val="goog-gtc-translatable"/>
          <w:lang w:val="en-US"/>
        </w:rPr>
        <w:t xml:space="preserve">in a </w:t>
      </w:r>
      <w:r w:rsidR="00714212" w:rsidRPr="00E538C1">
        <w:rPr>
          <w:rStyle w:val="goog-gtc-translatable"/>
          <w:lang w:val="en-US"/>
        </w:rPr>
        <w:t xml:space="preserve">consistent </w:t>
      </w:r>
      <w:r w:rsidRPr="00E538C1">
        <w:rPr>
          <w:rStyle w:val="goog-gtc-translatable"/>
          <w:lang w:val="en-US"/>
        </w:rPr>
        <w:t xml:space="preserve">manner </w:t>
      </w:r>
      <w:r w:rsidR="00714212" w:rsidRPr="00E538C1">
        <w:rPr>
          <w:rStyle w:val="goog-gtc-translatable"/>
          <w:lang w:val="en-US"/>
        </w:rPr>
        <w:t>with the syntactic and semantic definitions of the constructs evaluated</w:t>
      </w:r>
      <w:r w:rsidR="003F1613" w:rsidRPr="00E538C1">
        <w:rPr>
          <w:rStyle w:val="goog-gtc-translatable"/>
          <w:lang w:val="en-US"/>
        </w:rPr>
        <w:t xml:space="preserve">; this </w:t>
      </w:r>
      <w:r w:rsidR="00714212" w:rsidRPr="00E538C1">
        <w:rPr>
          <w:rStyle w:val="goog-gtc-translatable"/>
          <w:lang w:val="en-US"/>
        </w:rPr>
        <w:t xml:space="preserve">contributed to </w:t>
      </w:r>
      <w:r w:rsidR="003F1613" w:rsidRPr="00E538C1">
        <w:rPr>
          <w:rStyle w:val="goog-gtc-translatable"/>
          <w:lang w:val="en-US"/>
        </w:rPr>
        <w:t xml:space="preserve">the </w:t>
      </w:r>
      <w:r w:rsidR="00714212" w:rsidRPr="00E538C1">
        <w:rPr>
          <w:rStyle w:val="goog-gtc-translatable"/>
          <w:lang w:val="en-US"/>
        </w:rPr>
        <w:t>improve</w:t>
      </w:r>
      <w:r w:rsidR="003F1613" w:rsidRPr="00E538C1">
        <w:rPr>
          <w:rStyle w:val="goog-gtc-translatable"/>
          <w:lang w:val="en-US"/>
        </w:rPr>
        <w:t xml:space="preserve">ment of </w:t>
      </w:r>
      <w:r w:rsidR="00714212" w:rsidRPr="00E538C1">
        <w:rPr>
          <w:rStyle w:val="goog-gtc-translatable"/>
          <w:lang w:val="en-US"/>
        </w:rPr>
        <w:t xml:space="preserve">content validity </w:t>
      </w:r>
      <w:r w:rsidR="003F1613" w:rsidRPr="00E538C1">
        <w:rPr>
          <w:rStyle w:val="goog-gtc-translatable"/>
          <w:lang w:val="en-US"/>
        </w:rPr>
        <w:t xml:space="preserve">in </w:t>
      </w:r>
      <w:r w:rsidR="00046C9B">
        <w:rPr>
          <w:rStyle w:val="goog-gtc-translatable"/>
          <w:lang w:val="en-US"/>
        </w:rPr>
        <w:t>the scales (Muñ</w:t>
      </w:r>
      <w:r w:rsidR="00714212" w:rsidRPr="00E538C1">
        <w:rPr>
          <w:rStyle w:val="goog-gtc-translatable"/>
          <w:lang w:val="en-US"/>
        </w:rPr>
        <w:t>iz et al., 2013).</w:t>
      </w:r>
    </w:p>
    <w:p w:rsidR="00714212" w:rsidRPr="00E538C1" w:rsidRDefault="003F1613" w:rsidP="00046C9B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lang w:val="en-US"/>
        </w:rPr>
        <w:t>H</w:t>
      </w:r>
      <w:r w:rsidR="00714212" w:rsidRPr="00E538C1">
        <w:rPr>
          <w:rStyle w:val="goog-gtc-translatable"/>
          <w:lang w:val="en-US"/>
        </w:rPr>
        <w:t xml:space="preserve">igh levels of reliability were observed in the two versions of the scales with </w:t>
      </w:r>
      <w:r w:rsidRPr="00E538C1">
        <w:rPr>
          <w:rStyle w:val="goog-gtc-translatable"/>
          <w:lang w:val="en-US"/>
        </w:rPr>
        <w:t xml:space="preserve">a </w:t>
      </w:r>
      <w:r w:rsidR="00714212" w:rsidRPr="00E538C1">
        <w:rPr>
          <w:rStyle w:val="goog-gtc-translatable"/>
          <w:lang w:val="en-US"/>
        </w:rPr>
        <w:t>Cronbach α</w:t>
      </w:r>
      <w:r w:rsidRPr="00E538C1">
        <w:rPr>
          <w:rStyle w:val="goog-gtc-translatable"/>
          <w:lang w:val="en-US"/>
        </w:rPr>
        <w:t xml:space="preserve"> between .83 and .87, i.e. </w:t>
      </w:r>
      <w:r w:rsidR="00714212" w:rsidRPr="00E538C1">
        <w:rPr>
          <w:rStyle w:val="goog-gtc-translatable"/>
          <w:lang w:val="en-US"/>
        </w:rPr>
        <w:t>in the same line of Snell et al. (2001) or Snell and Papini (1989)</w:t>
      </w:r>
      <w:r w:rsidRPr="00E538C1">
        <w:rPr>
          <w:rStyle w:val="goog-gtc-translatable"/>
          <w:lang w:val="en-US"/>
        </w:rPr>
        <w:t xml:space="preserve">, thereby </w:t>
      </w:r>
      <w:r w:rsidR="00714212" w:rsidRPr="00E538C1">
        <w:rPr>
          <w:rStyle w:val="goog-gtc-translatable"/>
          <w:lang w:val="en-US"/>
        </w:rPr>
        <w:t>indicating high internal consistency.</w:t>
      </w:r>
      <w:r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>These rates exceed those of other scales</w:t>
      </w:r>
      <w:r w:rsidR="00ED1CE1" w:rsidRPr="00E538C1">
        <w:rPr>
          <w:rStyle w:val="goog-gtc-translatable"/>
          <w:lang w:val="en-US"/>
        </w:rPr>
        <w:t xml:space="preserve"> such</w:t>
      </w:r>
      <w:r w:rsidR="00714212" w:rsidRPr="00E538C1">
        <w:rPr>
          <w:rStyle w:val="goog-gtc-translatable"/>
          <w:lang w:val="en-US"/>
        </w:rPr>
        <w:t xml:space="preserve"> as Finkelhor's Sexual Self-Esteem Scale (Finkelhor, 1981) with α = .54; </w:t>
      </w:r>
      <w:r w:rsidR="00ED1CE1" w:rsidRPr="00E538C1">
        <w:rPr>
          <w:rStyle w:val="goog-gtc-translatable"/>
          <w:lang w:val="en-US"/>
        </w:rPr>
        <w:t xml:space="preserve">the </w:t>
      </w:r>
      <w:r w:rsidR="00714212" w:rsidRPr="00E538C1">
        <w:rPr>
          <w:rStyle w:val="goog-gtc-translatable"/>
          <w:lang w:val="en-US"/>
        </w:rPr>
        <w:t xml:space="preserve">Sexual Self-Esteem Scale, Form B (Gaynor &amp; Underwood, 1995), in which the </w:t>
      </w:r>
      <w:r w:rsidR="00714212" w:rsidRPr="00E538C1">
        <w:rPr>
          <w:rStyle w:val="goog-gtc-translatable"/>
          <w:lang w:val="en-US"/>
        </w:rPr>
        <w:lastRenderedPageBreak/>
        <w:t xml:space="preserve">subscales show </w:t>
      </w:r>
      <w:r w:rsidR="00ED1CE1" w:rsidRPr="00E538C1">
        <w:rPr>
          <w:rStyle w:val="goog-gtc-translatable"/>
          <w:lang w:val="en-US"/>
        </w:rPr>
        <w:t xml:space="preserve">ranging </w:t>
      </w:r>
      <w:r w:rsidR="00714212" w:rsidRPr="00E538C1">
        <w:rPr>
          <w:rStyle w:val="goog-gtc-translatable"/>
          <w:lang w:val="en-US"/>
        </w:rPr>
        <w:t xml:space="preserve">alphas the least of </w:t>
      </w:r>
      <w:r w:rsidR="00ED1CE1" w:rsidRPr="00E538C1">
        <w:rPr>
          <w:rStyle w:val="goog-gtc-translatable"/>
          <w:lang w:val="en-US"/>
        </w:rPr>
        <w:t xml:space="preserve">which is </w:t>
      </w:r>
      <w:r w:rsidR="00714212" w:rsidRPr="00E538C1">
        <w:rPr>
          <w:rStyle w:val="goog-gtc-translatable"/>
          <w:lang w:val="en-US"/>
        </w:rPr>
        <w:t>.70</w:t>
      </w:r>
      <w:r w:rsidR="00ED1CE1" w:rsidRPr="00E538C1">
        <w:rPr>
          <w:rStyle w:val="goog-gtc-translatable"/>
          <w:lang w:val="en-US"/>
        </w:rPr>
        <w:t>;</w:t>
      </w:r>
      <w:r w:rsidR="00714212" w:rsidRPr="00E538C1">
        <w:rPr>
          <w:rStyle w:val="goog-gtc-translatable"/>
          <w:lang w:val="en-US"/>
        </w:rPr>
        <w:t xml:space="preserve"> or </w:t>
      </w:r>
      <w:r w:rsidR="00ED1CE1" w:rsidRPr="00E538C1">
        <w:rPr>
          <w:rStyle w:val="goog-gtc-translatable"/>
          <w:lang w:val="en-US"/>
        </w:rPr>
        <w:t xml:space="preserve">Rosenthal’s </w:t>
      </w:r>
      <w:r w:rsidR="00714212" w:rsidRPr="00E538C1">
        <w:rPr>
          <w:rStyle w:val="goog-gtc-translatable"/>
          <w:lang w:val="en-US"/>
        </w:rPr>
        <w:t>Sexual Self-</w:t>
      </w:r>
      <w:r w:rsidR="00ED1CE1" w:rsidRPr="00E538C1">
        <w:rPr>
          <w:rStyle w:val="goog-gtc-translatable"/>
          <w:lang w:val="en-US"/>
        </w:rPr>
        <w:t xml:space="preserve">Esteem </w:t>
      </w:r>
      <w:r w:rsidR="00714212" w:rsidRPr="00E538C1">
        <w:rPr>
          <w:rStyle w:val="goog-gtc-translatable"/>
          <w:lang w:val="en-US"/>
        </w:rPr>
        <w:t xml:space="preserve">Scale (SSES; Rosenthal, 1991) with α = .69 in </w:t>
      </w:r>
      <w:r w:rsidR="00ED1CE1" w:rsidRPr="00E538C1">
        <w:rPr>
          <w:rStyle w:val="goog-gtc-translatable"/>
          <w:lang w:val="en-US"/>
        </w:rPr>
        <w:t xml:space="preserve">the </w:t>
      </w:r>
      <w:r w:rsidR="00ED1CE1" w:rsidRPr="00E538C1">
        <w:rPr>
          <w:rStyle w:val="goog-gtc-translatable"/>
          <w:i/>
          <w:lang w:val="en-US"/>
        </w:rPr>
        <w:t>Relationship</w:t>
      </w:r>
      <w:r w:rsidR="00714212" w:rsidRPr="00E538C1">
        <w:rPr>
          <w:rStyle w:val="goog-gtc-translatable"/>
          <w:i/>
          <w:lang w:val="en-US"/>
        </w:rPr>
        <w:t xml:space="preserve"> to </w:t>
      </w:r>
      <w:r w:rsidR="00ED1CE1" w:rsidRPr="00E538C1">
        <w:rPr>
          <w:rStyle w:val="goog-gtc-translatable"/>
          <w:i/>
          <w:lang w:val="en-US"/>
        </w:rPr>
        <w:t>O</w:t>
      </w:r>
      <w:r w:rsidR="00714212" w:rsidRPr="00E538C1">
        <w:rPr>
          <w:rStyle w:val="goog-gtc-translatable"/>
          <w:i/>
          <w:lang w:val="en-US"/>
        </w:rPr>
        <w:t>thers</w:t>
      </w:r>
      <w:r w:rsidR="00ED1CE1" w:rsidRPr="00E538C1">
        <w:rPr>
          <w:rStyle w:val="goog-gtc-translatable"/>
          <w:lang w:val="en-US"/>
        </w:rPr>
        <w:t xml:space="preserve"> scale</w:t>
      </w:r>
      <w:r w:rsidR="00714212" w:rsidRPr="00E538C1">
        <w:rPr>
          <w:rStyle w:val="goog-gtc-translatable"/>
          <w:lang w:val="en-US"/>
        </w:rPr>
        <w:t>.</w:t>
      </w:r>
      <w:r w:rsidR="00ED1CE1" w:rsidRPr="00E538C1">
        <w:rPr>
          <w:rStyle w:val="goog-gtc-translatable"/>
          <w:lang w:val="en-US"/>
        </w:rPr>
        <w:t xml:space="preserve"> </w:t>
      </w:r>
      <w:r w:rsidR="001E3DB8" w:rsidRPr="00E538C1">
        <w:rPr>
          <w:rStyle w:val="goog-gtc-translatable"/>
          <w:lang w:val="en-US"/>
        </w:rPr>
        <w:t>The Sexuality Scale’s i</w:t>
      </w:r>
      <w:r w:rsidR="00714212" w:rsidRPr="00E538C1">
        <w:rPr>
          <w:rStyle w:val="goog-gtc-translatable"/>
          <w:lang w:val="en-US"/>
        </w:rPr>
        <w:t xml:space="preserve">nternal consistency coefficients make </w:t>
      </w:r>
      <w:r w:rsidR="001E3DB8" w:rsidRPr="00E538C1">
        <w:rPr>
          <w:rStyle w:val="goog-gtc-translatable"/>
          <w:lang w:val="en-US"/>
        </w:rPr>
        <w:t xml:space="preserve">it </w:t>
      </w:r>
      <w:r w:rsidR="00714212" w:rsidRPr="00E538C1">
        <w:rPr>
          <w:rStyle w:val="goog-gtc-translatable"/>
          <w:lang w:val="en-US"/>
        </w:rPr>
        <w:t xml:space="preserve">a </w:t>
      </w:r>
      <w:r w:rsidR="001E3DB8" w:rsidRPr="00E538C1">
        <w:rPr>
          <w:rStyle w:val="goog-gtc-translatable"/>
          <w:lang w:val="en-US"/>
        </w:rPr>
        <w:t xml:space="preserve">reliable instrument for </w:t>
      </w:r>
      <w:r w:rsidR="00714212" w:rsidRPr="00E538C1">
        <w:rPr>
          <w:rStyle w:val="goog-gtc-translatable"/>
          <w:lang w:val="en-US"/>
        </w:rPr>
        <w:t>measuring sexual self-esteem</w:t>
      </w:r>
      <w:r w:rsidR="00E32247">
        <w:rPr>
          <w:rStyle w:val="goog-gtc-translatable"/>
          <w:lang w:val="en-US"/>
        </w:rPr>
        <w:t xml:space="preserve">, and it can be </w:t>
      </w:r>
      <w:r w:rsidR="001E3DB8" w:rsidRPr="00E538C1">
        <w:rPr>
          <w:rStyle w:val="goog-gtc-translatable"/>
          <w:lang w:val="en-US"/>
        </w:rPr>
        <w:t>u</w:t>
      </w:r>
      <w:r w:rsidR="00E32247">
        <w:rPr>
          <w:rStyle w:val="goog-gtc-translatable"/>
          <w:lang w:val="en-US"/>
        </w:rPr>
        <w:t>s</w:t>
      </w:r>
      <w:r w:rsidR="001E3DB8" w:rsidRPr="00E538C1">
        <w:rPr>
          <w:rStyle w:val="goog-gtc-translatable"/>
          <w:lang w:val="en-US"/>
        </w:rPr>
        <w:t xml:space="preserve">ed with both </w:t>
      </w:r>
      <w:r w:rsidR="00714212" w:rsidRPr="00E538C1">
        <w:rPr>
          <w:rStyle w:val="goog-gtc-translatable"/>
          <w:lang w:val="en-US"/>
        </w:rPr>
        <w:t>clinical and research purposes (Giordano &amp; Rush, 2010; Mayers, Heller &amp; Heller, 2003; Nunnally &amp; Bernstein, 1995).</w:t>
      </w:r>
      <w:r w:rsidR="001E3DB8"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>All items have shown adequate psychometric properties.</w:t>
      </w:r>
      <w:r w:rsidR="00714212" w:rsidRPr="00E538C1">
        <w:rPr>
          <w:rStyle w:val="apple-converted-space"/>
          <w:lang w:val="en-US"/>
        </w:rPr>
        <w:t> </w:t>
      </w:r>
      <w:r w:rsidR="00714212" w:rsidRPr="00E538C1">
        <w:rPr>
          <w:rStyle w:val="goog-gtc-translatable"/>
          <w:lang w:val="en-US"/>
        </w:rPr>
        <w:t xml:space="preserve">Both </w:t>
      </w:r>
      <w:r w:rsidR="001E3DB8" w:rsidRPr="00E538C1">
        <w:rPr>
          <w:rStyle w:val="goog-gtc-translatable"/>
          <w:lang w:val="en-US"/>
        </w:rPr>
        <w:t xml:space="preserve">the </w:t>
      </w:r>
      <w:r w:rsidR="00714212" w:rsidRPr="00E538C1">
        <w:rPr>
          <w:rStyle w:val="goog-gtc-translatable"/>
          <w:lang w:val="en-US"/>
        </w:rPr>
        <w:t xml:space="preserve">version </w:t>
      </w:r>
      <w:r w:rsidR="001E3DB8" w:rsidRPr="00E538C1">
        <w:rPr>
          <w:rStyle w:val="goog-gtc-translatable"/>
          <w:lang w:val="en-US"/>
        </w:rPr>
        <w:t xml:space="preserve">for Spain and the version for </w:t>
      </w:r>
      <w:r w:rsidR="00714212" w:rsidRPr="00E538C1">
        <w:rPr>
          <w:rStyle w:val="goog-gtc-translatable"/>
          <w:lang w:val="en-US"/>
        </w:rPr>
        <w:t xml:space="preserve">Colombia </w:t>
      </w:r>
      <w:r w:rsidR="001E3DB8" w:rsidRPr="00E538C1">
        <w:rPr>
          <w:rStyle w:val="goog-gtc-translatable"/>
          <w:lang w:val="en-US"/>
        </w:rPr>
        <w:t xml:space="preserve">have no </w:t>
      </w:r>
      <w:r w:rsidR="00714212" w:rsidRPr="00E538C1">
        <w:rPr>
          <w:rStyle w:val="goog-gtc-translatable"/>
          <w:lang w:val="en-US"/>
        </w:rPr>
        <w:t>item</w:t>
      </w:r>
      <w:r w:rsidR="001E3DB8" w:rsidRPr="00E538C1">
        <w:rPr>
          <w:rStyle w:val="goog-gtc-translatable"/>
          <w:lang w:val="en-US"/>
        </w:rPr>
        <w:t>s</w:t>
      </w:r>
      <w:r w:rsidR="00714212" w:rsidRPr="00E538C1">
        <w:rPr>
          <w:rStyle w:val="goog-gtc-translatable"/>
          <w:lang w:val="en-US"/>
        </w:rPr>
        <w:t xml:space="preserve"> </w:t>
      </w:r>
      <w:r w:rsidR="001E3DB8" w:rsidRPr="00E538C1">
        <w:rPr>
          <w:rStyle w:val="goog-gtc-translatable"/>
          <w:lang w:val="en-US"/>
        </w:rPr>
        <w:t xml:space="preserve">with a </w:t>
      </w:r>
      <w:r w:rsidR="00714212" w:rsidRPr="00E538C1">
        <w:rPr>
          <w:rStyle w:val="goog-gtc-translatable"/>
          <w:lang w:val="en-US"/>
        </w:rPr>
        <w:t xml:space="preserve">total </w:t>
      </w:r>
      <w:r w:rsidR="001E3DB8" w:rsidRPr="00E538C1">
        <w:rPr>
          <w:rStyle w:val="goog-gtc-translatable"/>
          <w:lang w:val="en-US"/>
        </w:rPr>
        <w:t xml:space="preserve">item </w:t>
      </w:r>
      <w:r w:rsidR="00714212" w:rsidRPr="00E538C1">
        <w:rPr>
          <w:rStyle w:val="goog-gtc-translatable"/>
          <w:lang w:val="en-US"/>
        </w:rPr>
        <w:t xml:space="preserve">correlation below </w:t>
      </w:r>
      <w:r w:rsidR="001E3DB8" w:rsidRPr="00E538C1">
        <w:rPr>
          <w:rStyle w:val="goog-gtc-translatable"/>
          <w:lang w:val="en-US"/>
        </w:rPr>
        <w:t>.</w:t>
      </w:r>
      <w:r w:rsidR="00714212" w:rsidRPr="00E538C1">
        <w:rPr>
          <w:rStyle w:val="goog-gtc-translatable"/>
          <w:lang w:val="en-US"/>
        </w:rPr>
        <w:t xml:space="preserve">30 as recommended (Stevens, 2009). In addition, only </w:t>
      </w:r>
      <w:r w:rsidR="001E3DB8" w:rsidRPr="00E538C1">
        <w:rPr>
          <w:rStyle w:val="goog-gtc-translatable"/>
          <w:lang w:val="en-US"/>
        </w:rPr>
        <w:t xml:space="preserve">by removing </w:t>
      </w:r>
      <w:r w:rsidR="00714212" w:rsidRPr="00E538C1">
        <w:rPr>
          <w:rStyle w:val="goog-gtc-translatable"/>
          <w:lang w:val="en-US"/>
        </w:rPr>
        <w:t xml:space="preserve">item 3 of the SP </w:t>
      </w:r>
      <w:r w:rsidR="001E3DB8" w:rsidRPr="00E538C1">
        <w:rPr>
          <w:rStyle w:val="goog-gtc-translatable"/>
          <w:lang w:val="en-US"/>
        </w:rPr>
        <w:t xml:space="preserve">scale </w:t>
      </w:r>
      <w:r w:rsidR="00714212" w:rsidRPr="00E538C1">
        <w:rPr>
          <w:rStyle w:val="goog-gtc-translatable"/>
          <w:lang w:val="en-US"/>
        </w:rPr>
        <w:t>(</w:t>
      </w:r>
      <w:r w:rsidR="001E3DB8" w:rsidRPr="00E538C1">
        <w:rPr>
          <w:rStyle w:val="goog-gtc-translatable"/>
          <w:lang w:val="en-US"/>
        </w:rPr>
        <w:t>“</w:t>
      </w:r>
      <w:r w:rsidR="00714212" w:rsidRPr="00E538C1">
        <w:rPr>
          <w:rStyle w:val="goog-gtc-translatable"/>
          <w:lang w:val="en-US"/>
        </w:rPr>
        <w:t>I tend to be concerned with sexual matters</w:t>
      </w:r>
      <w:r w:rsidR="001E3DB8" w:rsidRPr="00E538C1">
        <w:rPr>
          <w:rStyle w:val="goog-gtc-translatable"/>
          <w:lang w:val="en-US"/>
        </w:rPr>
        <w:t>”</w:t>
      </w:r>
      <w:r w:rsidR="00714212" w:rsidRPr="00E538C1">
        <w:rPr>
          <w:rStyle w:val="goog-gtc-translatable"/>
          <w:lang w:val="en-US"/>
        </w:rPr>
        <w:t xml:space="preserve">) </w:t>
      </w:r>
      <w:r w:rsidR="001E3DB8" w:rsidRPr="00E538C1">
        <w:rPr>
          <w:rStyle w:val="goog-gtc-translatable"/>
          <w:lang w:val="en-US"/>
        </w:rPr>
        <w:t xml:space="preserve">can </w:t>
      </w:r>
      <w:r w:rsidR="00714212" w:rsidRPr="00E538C1">
        <w:rPr>
          <w:rStyle w:val="goog-gtc-translatable"/>
          <w:lang w:val="en-US"/>
        </w:rPr>
        <w:t xml:space="preserve">a slight improvement </w:t>
      </w:r>
      <w:r w:rsidR="001E3DB8" w:rsidRPr="00E538C1">
        <w:rPr>
          <w:rStyle w:val="goog-gtc-translatable"/>
          <w:lang w:val="en-US"/>
        </w:rPr>
        <w:t xml:space="preserve">of </w:t>
      </w:r>
      <w:r w:rsidR="00714212" w:rsidRPr="00E538C1">
        <w:rPr>
          <w:rStyle w:val="goog-gtc-translatable"/>
          <w:lang w:val="en-US"/>
        </w:rPr>
        <w:t xml:space="preserve">Cronbach's alpha </w:t>
      </w:r>
      <w:r w:rsidR="001E3DB8" w:rsidRPr="00E538C1">
        <w:rPr>
          <w:rStyle w:val="goog-gtc-translatable"/>
          <w:lang w:val="en-US"/>
        </w:rPr>
        <w:t xml:space="preserve">be observed </w:t>
      </w:r>
      <w:r w:rsidR="00714212" w:rsidRPr="00E538C1">
        <w:rPr>
          <w:rStyle w:val="goog-gtc-translatable"/>
          <w:lang w:val="en-US"/>
        </w:rPr>
        <w:t xml:space="preserve">for this subscale both </w:t>
      </w:r>
      <w:r w:rsidR="00047908" w:rsidRPr="00E538C1">
        <w:rPr>
          <w:rStyle w:val="goog-gtc-translatable"/>
          <w:lang w:val="en-US"/>
        </w:rPr>
        <w:t xml:space="preserve">in </w:t>
      </w:r>
      <w:r w:rsidR="00714212" w:rsidRPr="00E538C1">
        <w:rPr>
          <w:rStyle w:val="goog-gtc-translatable"/>
          <w:lang w:val="en-US"/>
        </w:rPr>
        <w:t>Colombia and Spain.</w:t>
      </w:r>
      <w:r w:rsidR="00047908"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 xml:space="preserve">However, their level of fitness is good and we do not </w:t>
      </w:r>
      <w:r w:rsidR="00047908" w:rsidRPr="00E538C1">
        <w:rPr>
          <w:rStyle w:val="goog-gtc-translatable"/>
          <w:lang w:val="en-US"/>
        </w:rPr>
        <w:t xml:space="preserve">deem its removal </w:t>
      </w:r>
      <w:r w:rsidR="00714212" w:rsidRPr="00E538C1">
        <w:rPr>
          <w:rStyle w:val="goog-gtc-translatable"/>
          <w:lang w:val="en-US"/>
        </w:rPr>
        <w:t>appropriate.</w:t>
      </w:r>
      <w:r w:rsidR="00714212" w:rsidRPr="00E538C1">
        <w:rPr>
          <w:rStyle w:val="apple-converted-space"/>
          <w:lang w:val="en-US"/>
        </w:rPr>
        <w:t> </w:t>
      </w:r>
      <w:r w:rsidR="00714212" w:rsidRPr="00E538C1">
        <w:rPr>
          <w:rStyle w:val="goog-gtc-translatable"/>
          <w:lang w:val="en-US"/>
        </w:rPr>
        <w:t>Another good indicator is the distribution of the items where the scores</w:t>
      </w:r>
      <w:r w:rsidR="003D759A" w:rsidRPr="00E538C1">
        <w:rPr>
          <w:rStyle w:val="goog-gtc-translatable"/>
          <w:lang w:val="en-US"/>
        </w:rPr>
        <w:t xml:space="preserve"> – </w:t>
      </w:r>
      <w:r w:rsidR="00714212" w:rsidRPr="00E538C1">
        <w:rPr>
          <w:rStyle w:val="goog-gtc-translatable"/>
          <w:lang w:val="en-US"/>
        </w:rPr>
        <w:t>as</w:t>
      </w:r>
      <w:r w:rsidR="003D759A"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 xml:space="preserve">expected for </w:t>
      </w:r>
      <w:r w:rsidR="003D759A" w:rsidRPr="00E538C1">
        <w:rPr>
          <w:rStyle w:val="goog-gtc-translatable"/>
          <w:lang w:val="en-US"/>
        </w:rPr>
        <w:t xml:space="preserve">the </w:t>
      </w:r>
      <w:r w:rsidR="00714212" w:rsidRPr="00E538C1">
        <w:rPr>
          <w:rStyle w:val="goog-gtc-translatable"/>
          <w:lang w:val="en-US"/>
        </w:rPr>
        <w:t>population</w:t>
      </w:r>
      <w:r w:rsidR="003D759A" w:rsidRPr="00E538C1">
        <w:rPr>
          <w:rStyle w:val="goog-gtc-translatable"/>
          <w:lang w:val="en-US"/>
        </w:rPr>
        <w:t xml:space="preserve"> – </w:t>
      </w:r>
      <w:r w:rsidR="00714212" w:rsidRPr="00E538C1">
        <w:rPr>
          <w:rStyle w:val="goog-gtc-translatable"/>
          <w:lang w:val="en-US"/>
        </w:rPr>
        <w:t>have</w:t>
      </w:r>
      <w:r w:rsidR="003D759A"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>been higher than the theoretical mean for SSE and lower for SD and SP. Furthermore</w:t>
      </w:r>
      <w:r w:rsidR="003D759A" w:rsidRPr="00E538C1">
        <w:rPr>
          <w:rStyle w:val="goog-gtc-translatable"/>
          <w:lang w:val="en-US"/>
        </w:rPr>
        <w:t>,</w:t>
      </w:r>
      <w:r w:rsidR="00714212" w:rsidRPr="00E538C1">
        <w:rPr>
          <w:rStyle w:val="goog-gtc-translatable"/>
          <w:lang w:val="en-US"/>
        </w:rPr>
        <w:t xml:space="preserve"> deviations are close to 1</w:t>
      </w:r>
      <w:r w:rsidR="003D759A" w:rsidRPr="00E538C1">
        <w:rPr>
          <w:rStyle w:val="goog-gtc-translatable"/>
          <w:lang w:val="en-US"/>
        </w:rPr>
        <w:t>, thereby</w:t>
      </w:r>
      <w:r w:rsidR="00714212" w:rsidRPr="00E538C1">
        <w:rPr>
          <w:rStyle w:val="goog-gtc-translatable"/>
          <w:lang w:val="en-US"/>
        </w:rPr>
        <w:t xml:space="preserve"> indicating adequate variability (Carretero-Dios &amp; Pérez, 2007).</w:t>
      </w:r>
    </w:p>
    <w:p w:rsidR="00714212" w:rsidRPr="00E538C1" w:rsidRDefault="00714212" w:rsidP="00046C9B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lang w:val="en-US"/>
        </w:rPr>
        <w:t xml:space="preserve">An important aspect of this study has been </w:t>
      </w:r>
      <w:r w:rsidR="009F69A2" w:rsidRPr="00E538C1">
        <w:rPr>
          <w:rStyle w:val="goog-gtc-translatable"/>
          <w:lang w:val="en-US"/>
        </w:rPr>
        <w:t xml:space="preserve">the </w:t>
      </w:r>
      <w:r w:rsidRPr="00E538C1">
        <w:rPr>
          <w:rStyle w:val="goog-gtc-translatable"/>
          <w:lang w:val="en-US"/>
        </w:rPr>
        <w:t>confirm</w:t>
      </w:r>
      <w:r w:rsidR="009F69A2" w:rsidRPr="00E538C1">
        <w:rPr>
          <w:rStyle w:val="goog-gtc-translatable"/>
          <w:lang w:val="en-US"/>
        </w:rPr>
        <w:t>ation of</w:t>
      </w:r>
      <w:r w:rsidRPr="00E538C1">
        <w:rPr>
          <w:rStyle w:val="goog-gtc-translatable"/>
          <w:lang w:val="en-US"/>
        </w:rPr>
        <w:t xml:space="preserve"> the configural dimensionality of the scale.</w:t>
      </w:r>
      <w:r w:rsidRPr="00E538C1">
        <w:rPr>
          <w:rStyle w:val="apple-converted-space"/>
          <w:lang w:val="en-US"/>
        </w:rPr>
        <w:t> </w:t>
      </w:r>
      <w:r w:rsidRPr="00E538C1">
        <w:rPr>
          <w:rStyle w:val="goog-gtc-translatable"/>
          <w:lang w:val="en-US"/>
        </w:rPr>
        <w:t>So far</w:t>
      </w:r>
      <w:r w:rsidR="009F69A2" w:rsidRPr="00E538C1">
        <w:rPr>
          <w:rStyle w:val="goog-gtc-translatable"/>
          <w:lang w:val="en-US"/>
        </w:rPr>
        <w:t xml:space="preserve"> – </w:t>
      </w:r>
      <w:r w:rsidRPr="00E538C1">
        <w:rPr>
          <w:rStyle w:val="goog-gtc-translatable"/>
          <w:lang w:val="en-US"/>
        </w:rPr>
        <w:t>to</w:t>
      </w:r>
      <w:r w:rsidR="009F69A2" w:rsidRPr="00E538C1">
        <w:rPr>
          <w:rStyle w:val="goog-gtc-translatable"/>
          <w:lang w:val="en-US"/>
        </w:rPr>
        <w:t xml:space="preserve"> the best of </w:t>
      </w:r>
      <w:r w:rsidRPr="00E538C1">
        <w:rPr>
          <w:rStyle w:val="goog-gtc-translatable"/>
          <w:lang w:val="en-US"/>
        </w:rPr>
        <w:t>our knowledge</w:t>
      </w:r>
      <w:r w:rsidR="009F69A2" w:rsidRPr="00E538C1">
        <w:rPr>
          <w:rStyle w:val="goog-gtc-translatable"/>
          <w:lang w:val="en-US"/>
        </w:rPr>
        <w:t xml:space="preserve"> – </w:t>
      </w:r>
      <w:r w:rsidRPr="00E538C1">
        <w:rPr>
          <w:rStyle w:val="goog-gtc-translatable"/>
          <w:lang w:val="en-US"/>
        </w:rPr>
        <w:t>only</w:t>
      </w:r>
      <w:r w:rsidR="009F69A2" w:rsidRPr="00E538C1">
        <w:rPr>
          <w:rStyle w:val="goog-gtc-translatable"/>
          <w:lang w:val="en-US"/>
        </w:rPr>
        <w:t xml:space="preserve"> </w:t>
      </w:r>
      <w:r w:rsidRPr="00E538C1">
        <w:rPr>
          <w:rStyle w:val="goog-gtc-translatable"/>
          <w:lang w:val="en-US"/>
        </w:rPr>
        <w:t xml:space="preserve">Wiedemann and Allgeier (1993) had tried to confirm its dimensionality, </w:t>
      </w:r>
      <w:r w:rsidR="009F69A2" w:rsidRPr="00E538C1">
        <w:rPr>
          <w:rStyle w:val="goog-gtc-translatable"/>
          <w:lang w:val="en-US"/>
        </w:rPr>
        <w:t xml:space="preserve">yet </w:t>
      </w:r>
      <w:r w:rsidRPr="00E538C1">
        <w:rPr>
          <w:rStyle w:val="goog-gtc-translatable"/>
          <w:lang w:val="en-US"/>
        </w:rPr>
        <w:t>with little success.</w:t>
      </w:r>
      <w:r w:rsidR="008B7F1C" w:rsidRPr="00E538C1">
        <w:rPr>
          <w:rStyle w:val="goog-gtc-translatable"/>
          <w:lang w:val="en-US"/>
        </w:rPr>
        <w:t xml:space="preserve"> </w:t>
      </w:r>
      <w:r w:rsidRPr="00E538C1">
        <w:rPr>
          <w:rStyle w:val="goog-gtc-translatable"/>
          <w:lang w:val="en-US"/>
        </w:rPr>
        <w:t>This study has reached a minimum level of invariance</w:t>
      </w:r>
      <w:r w:rsidR="008B7F1C" w:rsidRPr="00E538C1">
        <w:rPr>
          <w:rStyle w:val="goog-gtc-translatable"/>
          <w:lang w:val="en-US"/>
        </w:rPr>
        <w:t xml:space="preserve"> (</w:t>
      </w:r>
      <w:r w:rsidRPr="00E538C1">
        <w:rPr>
          <w:rStyle w:val="goog-gtc-translatable"/>
          <w:lang w:val="en-US"/>
        </w:rPr>
        <w:t>configural</w:t>
      </w:r>
      <w:r w:rsidR="008B7F1C" w:rsidRPr="00E538C1">
        <w:rPr>
          <w:rStyle w:val="goog-gtc-translatable"/>
          <w:lang w:val="en-US"/>
        </w:rPr>
        <w:t xml:space="preserve"> invariance). While it is true that configural invariance would </w:t>
      </w:r>
      <w:r w:rsidRPr="00E538C1">
        <w:rPr>
          <w:rStyle w:val="goog-gtc-translatable"/>
          <w:lang w:val="en-US"/>
        </w:rPr>
        <w:t xml:space="preserve">not allow comparisons between the two countries without bias, </w:t>
      </w:r>
      <w:r w:rsidR="008B7F1C" w:rsidRPr="00E538C1">
        <w:rPr>
          <w:rStyle w:val="goog-gtc-translatable"/>
          <w:lang w:val="en-US"/>
        </w:rPr>
        <w:t xml:space="preserve">it does allow us to state that </w:t>
      </w:r>
      <w:r w:rsidRPr="00E538C1">
        <w:rPr>
          <w:rStyle w:val="goog-gtc-translatable"/>
          <w:lang w:val="en-US"/>
        </w:rPr>
        <w:t xml:space="preserve">the scale is three-dimensional </w:t>
      </w:r>
      <w:r w:rsidR="008B7F1C" w:rsidRPr="00E538C1">
        <w:rPr>
          <w:rStyle w:val="goog-gtc-translatable"/>
          <w:lang w:val="en-US"/>
        </w:rPr>
        <w:t xml:space="preserve">both </w:t>
      </w:r>
      <w:r w:rsidRPr="00E538C1">
        <w:rPr>
          <w:rStyle w:val="goog-gtc-translatable"/>
          <w:lang w:val="en-US"/>
        </w:rPr>
        <w:t>in Colombia and Spain</w:t>
      </w:r>
      <w:r w:rsidR="008B7F1C" w:rsidRPr="00E538C1">
        <w:rPr>
          <w:rStyle w:val="goog-gtc-translatable"/>
          <w:lang w:val="en-US"/>
        </w:rPr>
        <w:t>. In fact,</w:t>
      </w:r>
      <w:r w:rsidR="00B04A5A" w:rsidRPr="00E538C1">
        <w:rPr>
          <w:rStyle w:val="goog-gtc-translatable"/>
          <w:lang w:val="en-US"/>
        </w:rPr>
        <w:t xml:space="preserve"> t</w:t>
      </w:r>
      <w:r w:rsidRPr="00E538C1">
        <w:rPr>
          <w:rStyle w:val="goog-gtc-translatable"/>
          <w:lang w:val="en-US"/>
        </w:rPr>
        <w:t xml:space="preserve">his basic </w:t>
      </w:r>
      <w:r w:rsidR="00B04A5A" w:rsidRPr="00E538C1">
        <w:rPr>
          <w:rStyle w:val="goog-gtc-translatable"/>
          <w:lang w:val="en-US"/>
        </w:rPr>
        <w:t xml:space="preserve">fit of this </w:t>
      </w:r>
      <w:r w:rsidRPr="00E538C1">
        <w:rPr>
          <w:rStyle w:val="goog-gtc-translatable"/>
          <w:lang w:val="en-US"/>
        </w:rPr>
        <w:t>dimensional structure</w:t>
      </w:r>
      <w:r w:rsidR="00B04A5A" w:rsidRPr="00E538C1">
        <w:rPr>
          <w:rStyle w:val="goog-gtc-translatable"/>
          <w:lang w:val="en-US"/>
        </w:rPr>
        <w:t xml:space="preserve"> is excellent</w:t>
      </w:r>
      <w:r w:rsidRPr="00E538C1">
        <w:rPr>
          <w:rStyle w:val="goog-gtc-translatable"/>
          <w:lang w:val="en-US"/>
        </w:rPr>
        <w:t>.</w:t>
      </w:r>
      <w:r w:rsidR="00B04A5A" w:rsidRPr="00E538C1">
        <w:rPr>
          <w:rStyle w:val="goog-gtc-translatable"/>
          <w:lang w:val="en-US"/>
        </w:rPr>
        <w:t xml:space="preserve"> </w:t>
      </w:r>
      <w:r w:rsidRPr="00E538C1">
        <w:rPr>
          <w:rStyle w:val="goog-gtc-translatable"/>
          <w:lang w:val="en-US"/>
        </w:rPr>
        <w:t xml:space="preserve">The factor </w:t>
      </w:r>
      <w:r w:rsidR="008D3617">
        <w:rPr>
          <w:rStyle w:val="goog-gtc-translatable"/>
          <w:lang w:val="en-US"/>
        </w:rPr>
        <w:t>loadings</w:t>
      </w:r>
      <w:r w:rsidR="00B04A5A" w:rsidRPr="00E538C1">
        <w:rPr>
          <w:rStyle w:val="goog-gtc-translatable"/>
          <w:lang w:val="en-US"/>
        </w:rPr>
        <w:t xml:space="preserve"> </w:t>
      </w:r>
      <w:r w:rsidRPr="00E538C1">
        <w:rPr>
          <w:rStyle w:val="goog-gtc-translatable"/>
          <w:lang w:val="en-US"/>
        </w:rPr>
        <w:t xml:space="preserve">are remarkably </w:t>
      </w:r>
      <w:r w:rsidR="00E67053" w:rsidRPr="00E538C1">
        <w:rPr>
          <w:rStyle w:val="goog-gtc-translatable"/>
          <w:lang w:val="en-US"/>
        </w:rPr>
        <w:t>higher than</w:t>
      </w:r>
      <w:r w:rsidR="008D3617">
        <w:rPr>
          <w:rStyle w:val="goog-gtc-translatable"/>
          <w:lang w:val="en-US"/>
        </w:rPr>
        <w:t xml:space="preserve"> </w:t>
      </w:r>
      <w:r w:rsidRPr="00E538C1">
        <w:rPr>
          <w:rStyle w:val="goog-gtc-translatable"/>
          <w:lang w:val="en-US"/>
        </w:rPr>
        <w:t xml:space="preserve">.30 in both versions (except </w:t>
      </w:r>
      <w:r w:rsidR="00E67053" w:rsidRPr="00E538C1">
        <w:rPr>
          <w:rStyle w:val="goog-gtc-translatable"/>
          <w:lang w:val="en-US"/>
        </w:rPr>
        <w:t xml:space="preserve">for item </w:t>
      </w:r>
      <w:r w:rsidRPr="00E538C1">
        <w:rPr>
          <w:rStyle w:val="goog-gtc-translatable"/>
          <w:lang w:val="en-US"/>
        </w:rPr>
        <w:t>SP3</w:t>
      </w:r>
      <w:r w:rsidR="00E67053" w:rsidRPr="00E538C1">
        <w:rPr>
          <w:rStyle w:val="goog-gtc-translatable"/>
          <w:lang w:val="en-US"/>
        </w:rPr>
        <w:t xml:space="preserve">, </w:t>
      </w:r>
      <w:r w:rsidRPr="00E538C1">
        <w:rPr>
          <w:rStyle w:val="goog-gtc-translatable"/>
          <w:lang w:val="en-US"/>
        </w:rPr>
        <w:t xml:space="preserve">with </w:t>
      </w:r>
      <w:r w:rsidR="00E67053" w:rsidRPr="00E538C1">
        <w:rPr>
          <w:rStyle w:val="goog-gtc-translatable"/>
          <w:lang w:val="en-US"/>
        </w:rPr>
        <w:t xml:space="preserve">the following </w:t>
      </w:r>
      <w:r w:rsidR="00E67053" w:rsidRPr="00E538C1">
        <w:rPr>
          <w:rStyle w:val="goog-gtc-translatable"/>
          <w:lang w:val="en-US"/>
        </w:rPr>
        <w:lastRenderedPageBreak/>
        <w:t xml:space="preserve">values: </w:t>
      </w:r>
      <w:r w:rsidRPr="00E538C1">
        <w:rPr>
          <w:rStyle w:val="goog-gtc-translatable"/>
          <w:lang w:val="en-US"/>
        </w:rPr>
        <w:t xml:space="preserve">.39 </w:t>
      </w:r>
      <w:r w:rsidR="00E67053" w:rsidRPr="00E538C1">
        <w:rPr>
          <w:rStyle w:val="goog-gtc-translatable"/>
          <w:lang w:val="en-US"/>
        </w:rPr>
        <w:t xml:space="preserve">in the Colombian </w:t>
      </w:r>
      <w:r w:rsidRPr="00E538C1">
        <w:rPr>
          <w:rStyle w:val="goog-gtc-translatable"/>
          <w:lang w:val="en-US"/>
        </w:rPr>
        <w:t xml:space="preserve">and .41 in the Spanish version), </w:t>
      </w:r>
      <w:r w:rsidR="00E67053" w:rsidRPr="00E538C1">
        <w:rPr>
          <w:rStyle w:val="goog-gtc-translatable"/>
          <w:lang w:val="en-US"/>
        </w:rPr>
        <w:t xml:space="preserve">thereby </w:t>
      </w:r>
      <w:r w:rsidRPr="00E538C1">
        <w:rPr>
          <w:rStyle w:val="goog-gtc-translatable"/>
          <w:lang w:val="en-US"/>
        </w:rPr>
        <w:t>indicating adequate construct validity again.</w:t>
      </w:r>
    </w:p>
    <w:p w:rsidR="00046C9B" w:rsidRDefault="00E67053" w:rsidP="00046C9B">
      <w:pPr>
        <w:pStyle w:val="NormalWeb"/>
        <w:spacing w:line="480" w:lineRule="auto"/>
        <w:ind w:firstLine="708"/>
        <w:rPr>
          <w:rStyle w:val="apple-converted-space"/>
          <w:lang w:val="en-US"/>
        </w:rPr>
      </w:pPr>
      <w:r w:rsidRPr="00E538C1">
        <w:rPr>
          <w:rStyle w:val="goog-gtc-translatable"/>
          <w:lang w:val="en-US"/>
        </w:rPr>
        <w:t>C</w:t>
      </w:r>
      <w:r w:rsidR="00714212" w:rsidRPr="00E538C1">
        <w:rPr>
          <w:rStyle w:val="goog-gtc-translatable"/>
          <w:lang w:val="en-US"/>
        </w:rPr>
        <w:t xml:space="preserve">oncurrent validity is adequate to moderate and would find significant correlations with scales </w:t>
      </w:r>
      <w:r w:rsidRPr="00E538C1">
        <w:rPr>
          <w:rStyle w:val="goog-gtc-translatable"/>
          <w:lang w:val="en-US"/>
        </w:rPr>
        <w:t xml:space="preserve">which evaluate </w:t>
      </w:r>
      <w:r w:rsidR="00714212" w:rsidRPr="00E538C1">
        <w:rPr>
          <w:rStyle w:val="goog-gtc-translatable"/>
          <w:lang w:val="en-US"/>
        </w:rPr>
        <w:t xml:space="preserve">other components of sexuality and self-esteem. </w:t>
      </w:r>
      <w:r w:rsidRPr="00E538C1">
        <w:rPr>
          <w:rStyle w:val="goog-gtc-translatable"/>
          <w:lang w:val="en-US"/>
        </w:rPr>
        <w:t>C</w:t>
      </w:r>
      <w:r w:rsidR="00714212" w:rsidRPr="00E538C1">
        <w:rPr>
          <w:rStyle w:val="goog-gtc-translatable"/>
          <w:lang w:val="en-US"/>
        </w:rPr>
        <w:t>orrelations between the SS components are consistent with other findings.</w:t>
      </w:r>
      <w:r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>The SSE subscale correlated negatively with SD as already observed (Snell et al., 2001; Snell &amp; Papini, 1989; Wiedemann &amp; Allgeier, 1993).</w:t>
      </w:r>
      <w:r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 xml:space="preserve">These negative correlations suggest that sexual self-esteem and sexual depression are two opposite points of a continuum, so </w:t>
      </w:r>
      <w:r w:rsidRPr="00E538C1">
        <w:rPr>
          <w:rStyle w:val="goog-gtc-translatable"/>
          <w:lang w:val="en-US"/>
        </w:rPr>
        <w:t xml:space="preserve">they are </w:t>
      </w:r>
      <w:r w:rsidR="00714212" w:rsidRPr="00E538C1">
        <w:rPr>
          <w:rStyle w:val="goog-gtc-translatable"/>
          <w:lang w:val="en-US"/>
        </w:rPr>
        <w:t>not really two different psychological dimensions of human sexuality (Snell &amp; Papini, 1989).</w:t>
      </w:r>
      <w:r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 xml:space="preserve">It </w:t>
      </w:r>
      <w:r w:rsidRPr="00E538C1">
        <w:rPr>
          <w:rStyle w:val="goog-gtc-translatable"/>
          <w:lang w:val="en-US"/>
        </w:rPr>
        <w:t xml:space="preserve">is logical to think </w:t>
      </w:r>
      <w:r w:rsidR="00714212" w:rsidRPr="00E538C1">
        <w:rPr>
          <w:rStyle w:val="goog-gtc-translatable"/>
          <w:lang w:val="en-US"/>
        </w:rPr>
        <w:t xml:space="preserve">that people with high levels of sexual self-esteem are less likely to negatively evaluate aspects of their sex life, </w:t>
      </w:r>
      <w:r w:rsidRPr="00E538C1">
        <w:rPr>
          <w:rStyle w:val="goog-gtc-translatable"/>
          <w:lang w:val="en-US"/>
        </w:rPr>
        <w:t xml:space="preserve">and to </w:t>
      </w:r>
      <w:r w:rsidR="00714212" w:rsidRPr="00E538C1">
        <w:rPr>
          <w:rStyle w:val="goog-gtc-translatable"/>
          <w:lang w:val="en-US"/>
        </w:rPr>
        <w:t>feel dissatisfied and unhappy with their sexuality (Snell et al., 2001; Sanchez-Fuentes et al, 2014.).</w:t>
      </w:r>
      <w:r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 xml:space="preserve">As expected (Wiedemann &amp; Allgeier, 1993), SSE correlates positively with the </w:t>
      </w:r>
      <w:r w:rsidRPr="00E538C1">
        <w:rPr>
          <w:rStyle w:val="goog-gtc-translatable"/>
          <w:lang w:val="en-US"/>
        </w:rPr>
        <w:t>overall self-</w:t>
      </w:r>
      <w:r w:rsidR="00714212" w:rsidRPr="00E538C1">
        <w:rPr>
          <w:rStyle w:val="goog-gtc-translatable"/>
          <w:lang w:val="en-US"/>
        </w:rPr>
        <w:t xml:space="preserve">esteem </w:t>
      </w:r>
      <w:r w:rsidRPr="00E538C1">
        <w:rPr>
          <w:rStyle w:val="goog-gtc-translatable"/>
          <w:lang w:val="en-US"/>
        </w:rPr>
        <w:t xml:space="preserve">thus </w:t>
      </w:r>
      <w:r w:rsidR="00714212" w:rsidRPr="00E538C1">
        <w:rPr>
          <w:rStyle w:val="goog-gtc-translatable"/>
          <w:lang w:val="en-US"/>
        </w:rPr>
        <w:t xml:space="preserve">demonstrating the </w:t>
      </w:r>
      <w:r w:rsidRPr="00E538C1">
        <w:rPr>
          <w:rStyle w:val="goog-gtc-translatable"/>
          <w:lang w:val="en-US"/>
        </w:rPr>
        <w:t xml:space="preserve">usefulness </w:t>
      </w:r>
      <w:r w:rsidR="00714212" w:rsidRPr="00E538C1">
        <w:rPr>
          <w:rStyle w:val="goog-gtc-translatable"/>
          <w:lang w:val="en-US"/>
        </w:rPr>
        <w:t>of the test as a specific indicator of self-esteem, but not interchangeabl</w:t>
      </w:r>
      <w:r w:rsidRPr="00E538C1">
        <w:rPr>
          <w:rStyle w:val="goog-gtc-translatable"/>
          <w:lang w:val="en-US"/>
        </w:rPr>
        <w:t>y</w:t>
      </w:r>
      <w:r w:rsidR="00714212" w:rsidRPr="00E538C1">
        <w:rPr>
          <w:rStyle w:val="goog-gtc-translatable"/>
          <w:lang w:val="en-US"/>
        </w:rPr>
        <w:t xml:space="preserve"> with </w:t>
      </w:r>
      <w:r w:rsidRPr="00E538C1">
        <w:rPr>
          <w:rStyle w:val="goog-gtc-translatable"/>
          <w:lang w:val="en-US"/>
        </w:rPr>
        <w:t xml:space="preserve">overall </w:t>
      </w:r>
      <w:r w:rsidR="00714212" w:rsidRPr="00E538C1">
        <w:rPr>
          <w:rStyle w:val="goog-gtc-translatable"/>
          <w:lang w:val="en-US"/>
        </w:rPr>
        <w:t>self-esteem (Rosenberg, Schooler, Schoenbach, &amp; Rosenberg, 1995; Swenson, Houck, Barker, Zeanah, &amp; Brown, 2012).</w:t>
      </w:r>
      <w:r w:rsidRPr="00E538C1">
        <w:rPr>
          <w:rStyle w:val="goog-gtc-translatable"/>
          <w:lang w:val="en-US"/>
        </w:rPr>
        <w:t xml:space="preserve"> </w:t>
      </w:r>
      <w:r w:rsidR="00A21ECB" w:rsidRPr="00E538C1">
        <w:rPr>
          <w:rStyle w:val="goog-gtc-translatable"/>
          <w:lang w:val="en-US"/>
        </w:rPr>
        <w:t xml:space="preserve">Because </w:t>
      </w:r>
      <w:r w:rsidR="00714212" w:rsidRPr="00E538C1">
        <w:rPr>
          <w:rStyle w:val="goog-gtc-translatable"/>
          <w:lang w:val="en-US"/>
        </w:rPr>
        <w:t xml:space="preserve">people tend to differently </w:t>
      </w:r>
      <w:r w:rsidR="00A21ECB" w:rsidRPr="00E538C1">
        <w:rPr>
          <w:rStyle w:val="goog-gtc-translatable"/>
          <w:lang w:val="en-US"/>
        </w:rPr>
        <w:t xml:space="preserve">evaluate </w:t>
      </w:r>
      <w:r w:rsidR="00714212" w:rsidRPr="00E538C1">
        <w:rPr>
          <w:rStyle w:val="goog-gtc-translatable"/>
          <w:lang w:val="en-US"/>
        </w:rPr>
        <w:t xml:space="preserve">different aspects of the self (Harter, 1982; Markus &amp; Wurf, 1987), it is logical </w:t>
      </w:r>
      <w:r w:rsidR="00A21ECB" w:rsidRPr="00E538C1">
        <w:rPr>
          <w:rStyle w:val="goog-gtc-translatable"/>
          <w:lang w:val="en-US"/>
        </w:rPr>
        <w:t xml:space="preserve">for </w:t>
      </w:r>
      <w:r w:rsidR="00714212" w:rsidRPr="00E538C1">
        <w:rPr>
          <w:rStyle w:val="goog-gtc-translatable"/>
          <w:lang w:val="en-US"/>
        </w:rPr>
        <w:t xml:space="preserve">a person </w:t>
      </w:r>
      <w:r w:rsidR="00A21ECB" w:rsidRPr="00E538C1">
        <w:rPr>
          <w:rStyle w:val="goog-gtc-translatable"/>
          <w:lang w:val="en-US"/>
        </w:rPr>
        <w:t xml:space="preserve">to have a </w:t>
      </w:r>
      <w:r w:rsidR="00714212" w:rsidRPr="00E538C1">
        <w:rPr>
          <w:rStyle w:val="goog-gtc-translatable"/>
          <w:lang w:val="en-US"/>
        </w:rPr>
        <w:t xml:space="preserve">sense of </w:t>
      </w:r>
      <w:r w:rsidR="00A21ECB" w:rsidRPr="00E538C1">
        <w:rPr>
          <w:rStyle w:val="goog-gtc-translatable"/>
          <w:lang w:val="en-US"/>
        </w:rPr>
        <w:t xml:space="preserve">the </w:t>
      </w:r>
      <w:r w:rsidR="00714212" w:rsidRPr="00E538C1">
        <w:rPr>
          <w:rStyle w:val="goog-gtc-translatable"/>
          <w:lang w:val="en-US"/>
        </w:rPr>
        <w:t>sexual self</w:t>
      </w:r>
      <w:r w:rsidR="00A21ECB" w:rsidRPr="00E538C1">
        <w:rPr>
          <w:rStyle w:val="goog-gtc-translatable"/>
          <w:lang w:val="en-US"/>
        </w:rPr>
        <w:t xml:space="preserve"> which differs from – though it contributes to – the </w:t>
      </w:r>
      <w:r w:rsidR="00714212" w:rsidRPr="00E538C1">
        <w:rPr>
          <w:rStyle w:val="goog-gtc-translatable"/>
          <w:lang w:val="en-US"/>
        </w:rPr>
        <w:t xml:space="preserve">overall sense of self (Zeanah &amp; Schwarz, 1996). </w:t>
      </w:r>
      <w:r w:rsidR="00A21ECB" w:rsidRPr="00E538C1">
        <w:rPr>
          <w:rStyle w:val="goog-gtc-translatable"/>
          <w:lang w:val="en-US"/>
        </w:rPr>
        <w:t xml:space="preserve">In turn, </w:t>
      </w:r>
      <w:r w:rsidR="00714212" w:rsidRPr="00E538C1">
        <w:rPr>
          <w:rStyle w:val="goog-gtc-translatable"/>
          <w:lang w:val="en-US"/>
        </w:rPr>
        <w:t xml:space="preserve">the negative correlation between </w:t>
      </w:r>
      <w:r w:rsidR="00DD331F" w:rsidRPr="00E538C1">
        <w:rPr>
          <w:rStyle w:val="goog-gtc-translatable"/>
          <w:lang w:val="en-US"/>
        </w:rPr>
        <w:t xml:space="preserve">overall </w:t>
      </w:r>
      <w:r w:rsidR="00714212" w:rsidRPr="00E538C1">
        <w:rPr>
          <w:rStyle w:val="goog-gtc-translatable"/>
          <w:lang w:val="en-US"/>
        </w:rPr>
        <w:t xml:space="preserve">self-esteem with SD is consistent with the idea that this may be an indicator of </w:t>
      </w:r>
      <w:r w:rsidR="00DD331F" w:rsidRPr="00E538C1">
        <w:rPr>
          <w:rStyle w:val="goog-gtc-translatable"/>
          <w:lang w:val="en-US"/>
        </w:rPr>
        <w:t xml:space="preserve">an instance of clinical </w:t>
      </w:r>
      <w:r w:rsidR="00714212" w:rsidRPr="00E538C1">
        <w:rPr>
          <w:rStyle w:val="goog-gtc-translatable"/>
          <w:lang w:val="en-US"/>
        </w:rPr>
        <w:t xml:space="preserve">depression in which low sexual interest and desire are a result </w:t>
      </w:r>
      <w:r w:rsidR="00DD331F" w:rsidRPr="00E538C1">
        <w:rPr>
          <w:rStyle w:val="goog-gtc-translatable"/>
          <w:lang w:val="en-US"/>
        </w:rPr>
        <w:t>there</w:t>
      </w:r>
      <w:r w:rsidR="00714212" w:rsidRPr="00E538C1">
        <w:rPr>
          <w:rStyle w:val="goog-gtc-translatable"/>
          <w:lang w:val="en-US"/>
        </w:rPr>
        <w:t>of (Wiedemann &amp; Allgeier, 1993).</w:t>
      </w:r>
      <w:r w:rsidR="00714212" w:rsidRPr="00E538C1">
        <w:rPr>
          <w:rStyle w:val="apple-converted-space"/>
          <w:lang w:val="en-US"/>
        </w:rPr>
        <w:t> </w:t>
      </w:r>
    </w:p>
    <w:p w:rsidR="00714212" w:rsidRPr="00E538C1" w:rsidRDefault="00DD331F" w:rsidP="00046C9B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apple-converted-space"/>
          <w:lang w:val="en-US"/>
        </w:rPr>
        <w:lastRenderedPageBreak/>
        <w:t xml:space="preserve">Positive correlations of </w:t>
      </w:r>
      <w:r w:rsidR="00714212" w:rsidRPr="00E538C1">
        <w:rPr>
          <w:rStyle w:val="goog-gtc-translatable"/>
          <w:lang w:val="en-US"/>
        </w:rPr>
        <w:t xml:space="preserve">SSE and negative correlations </w:t>
      </w:r>
      <w:r w:rsidRPr="00E538C1">
        <w:rPr>
          <w:rStyle w:val="goog-gtc-translatable"/>
          <w:lang w:val="en-US"/>
        </w:rPr>
        <w:t xml:space="preserve">of </w:t>
      </w:r>
      <w:r w:rsidR="00714212" w:rsidRPr="00E538C1">
        <w:rPr>
          <w:rStyle w:val="goog-gtc-translatable"/>
          <w:lang w:val="en-US"/>
        </w:rPr>
        <w:t xml:space="preserve">SD </w:t>
      </w:r>
      <w:r w:rsidRPr="00E538C1">
        <w:rPr>
          <w:rStyle w:val="goog-gtc-translatable"/>
          <w:lang w:val="en-US"/>
        </w:rPr>
        <w:t xml:space="preserve">with </w:t>
      </w:r>
      <w:r w:rsidR="00714212" w:rsidRPr="00E538C1">
        <w:rPr>
          <w:rStyle w:val="goog-gtc-translatable"/>
          <w:lang w:val="en-US"/>
        </w:rPr>
        <w:t xml:space="preserve">MGH-SFQ and </w:t>
      </w:r>
      <w:r w:rsidRPr="00E538C1">
        <w:rPr>
          <w:rStyle w:val="goog-gtc-translatable"/>
          <w:lang w:val="en-US"/>
        </w:rPr>
        <w:t xml:space="preserve">Initiation </w:t>
      </w:r>
      <w:r w:rsidR="00714212" w:rsidRPr="00E538C1">
        <w:rPr>
          <w:rStyle w:val="goog-gtc-translatable"/>
          <w:lang w:val="en-US"/>
        </w:rPr>
        <w:t>scales indicate good properties of the scale as a predictor of sexual functioning</w:t>
      </w:r>
      <w:r w:rsidRPr="00E538C1">
        <w:rPr>
          <w:rStyle w:val="goog-gtc-translatable"/>
          <w:lang w:val="en-US"/>
        </w:rPr>
        <w:t>,</w:t>
      </w:r>
      <w:r w:rsidR="00714212" w:rsidRPr="00E538C1">
        <w:rPr>
          <w:rStyle w:val="goog-gtc-translatable"/>
          <w:lang w:val="en-US"/>
        </w:rPr>
        <w:t xml:space="preserve"> as evidenced in other studies </w:t>
      </w:r>
      <w:r w:rsidRPr="00E538C1">
        <w:rPr>
          <w:rStyle w:val="goog-gtc-translatable"/>
          <w:lang w:val="en-US"/>
        </w:rPr>
        <w:t xml:space="preserve">(Dove &amp; Wiederman, 2000; Mezones-Holguin et al., 2011; Wentland et al., 2009) </w:t>
      </w:r>
      <w:r w:rsidR="00714212" w:rsidRPr="00E538C1">
        <w:rPr>
          <w:rStyle w:val="goog-gtc-translatable"/>
          <w:lang w:val="en-US"/>
        </w:rPr>
        <w:t>and sexual assertiveness (Ménard &amp; Offman, 2009)</w:t>
      </w:r>
      <w:r w:rsidRPr="00E538C1">
        <w:rPr>
          <w:rStyle w:val="goog-gtc-translatable"/>
          <w:lang w:val="en-US"/>
        </w:rPr>
        <w:t xml:space="preserve">. In addition, this </w:t>
      </w:r>
      <w:r w:rsidR="00714212" w:rsidRPr="00E538C1">
        <w:rPr>
          <w:rStyle w:val="goog-gtc-translatable"/>
          <w:lang w:val="en-US"/>
        </w:rPr>
        <w:t>confirms the consistency of these constructs as opposed to each other.</w:t>
      </w:r>
      <w:r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 xml:space="preserve">In other words, </w:t>
      </w:r>
      <w:r w:rsidR="00773832" w:rsidRPr="00E538C1">
        <w:rPr>
          <w:rStyle w:val="goog-gtc-translatable"/>
          <w:lang w:val="en-US"/>
        </w:rPr>
        <w:t xml:space="preserve">this </w:t>
      </w:r>
      <w:r w:rsidR="00714212" w:rsidRPr="00E538C1">
        <w:rPr>
          <w:rStyle w:val="goog-gtc-translatable"/>
          <w:lang w:val="en-US"/>
        </w:rPr>
        <w:t>reinforces the idea that people with high levels of SSE</w:t>
      </w:r>
      <w:r w:rsidR="00773832" w:rsidRPr="00E538C1">
        <w:rPr>
          <w:rStyle w:val="goog-gtc-translatable"/>
          <w:lang w:val="en-US"/>
        </w:rPr>
        <w:t xml:space="preserve"> </w:t>
      </w:r>
      <w:r w:rsidR="00714212" w:rsidRPr="00E538C1">
        <w:rPr>
          <w:rStyle w:val="goog-gtc-translatable"/>
          <w:lang w:val="en-US"/>
        </w:rPr>
        <w:t>have higher levels of sexual assertiveness and sexual performance</w:t>
      </w:r>
      <w:r w:rsidR="00773832" w:rsidRPr="00E538C1">
        <w:rPr>
          <w:rStyle w:val="goog-gtc-translatable"/>
          <w:lang w:val="en-US"/>
        </w:rPr>
        <w:t>,</w:t>
      </w:r>
      <w:r w:rsidR="00714212" w:rsidRPr="00E538C1">
        <w:rPr>
          <w:rStyle w:val="goog-gtc-translatable"/>
          <w:lang w:val="en-US"/>
        </w:rPr>
        <w:t xml:space="preserve"> and high levels of SD </w:t>
      </w:r>
      <w:r w:rsidR="00773832" w:rsidRPr="00E538C1">
        <w:rPr>
          <w:rStyle w:val="goog-gtc-translatable"/>
          <w:lang w:val="en-US"/>
        </w:rPr>
        <w:t xml:space="preserve">would </w:t>
      </w:r>
      <w:r w:rsidR="00714212" w:rsidRPr="00E538C1">
        <w:rPr>
          <w:rStyle w:val="goog-gtc-translatable"/>
          <w:lang w:val="en-US"/>
        </w:rPr>
        <w:t xml:space="preserve">indicate </w:t>
      </w:r>
      <w:r w:rsidR="00773832" w:rsidRPr="00E538C1">
        <w:rPr>
          <w:rStyle w:val="goog-gtc-translatable"/>
          <w:lang w:val="en-US"/>
        </w:rPr>
        <w:t>contrariwise</w:t>
      </w:r>
      <w:r w:rsidR="00714212" w:rsidRPr="00E538C1">
        <w:rPr>
          <w:rStyle w:val="goog-gtc-translatable"/>
          <w:lang w:val="en-US"/>
        </w:rPr>
        <w:t>.</w:t>
      </w:r>
      <w:r w:rsidR="00714212" w:rsidRPr="00E538C1">
        <w:rPr>
          <w:rStyle w:val="apple-converted-space"/>
          <w:lang w:val="en-US"/>
        </w:rPr>
        <w:t> </w:t>
      </w:r>
      <w:r w:rsidR="00773832" w:rsidRPr="00E538C1">
        <w:rPr>
          <w:rStyle w:val="goog-gtc-translatable"/>
          <w:lang w:val="en-US"/>
        </w:rPr>
        <w:t xml:space="preserve">Correlations </w:t>
      </w:r>
      <w:r w:rsidR="00714212" w:rsidRPr="00E538C1">
        <w:rPr>
          <w:rStyle w:val="goog-gtc-translatable"/>
          <w:lang w:val="en-US"/>
        </w:rPr>
        <w:t xml:space="preserve">of greater magnitude </w:t>
      </w:r>
      <w:r w:rsidR="00773832" w:rsidRPr="00E538C1">
        <w:rPr>
          <w:rStyle w:val="goog-gtc-translatable"/>
          <w:lang w:val="en-US"/>
        </w:rPr>
        <w:t xml:space="preserve">have been observed in this sample of men and women </w:t>
      </w:r>
      <w:r w:rsidR="00714212" w:rsidRPr="00E538C1">
        <w:rPr>
          <w:rStyle w:val="goog-gtc-translatable"/>
          <w:lang w:val="en-US"/>
        </w:rPr>
        <w:t xml:space="preserve">between attitudes towards sexuality with </w:t>
      </w:r>
      <w:r w:rsidR="00773832" w:rsidRPr="00E538C1">
        <w:rPr>
          <w:rStyle w:val="goog-gtc-translatable"/>
          <w:lang w:val="en-US"/>
        </w:rPr>
        <w:t>S</w:t>
      </w:r>
      <w:r w:rsidR="00714212" w:rsidRPr="00E538C1">
        <w:rPr>
          <w:rStyle w:val="goog-gtc-translatable"/>
          <w:lang w:val="en-US"/>
        </w:rPr>
        <w:t>SE and SP</w:t>
      </w:r>
      <w:r w:rsidR="00774530" w:rsidRPr="00E538C1">
        <w:rPr>
          <w:rStyle w:val="goog-gtc-translatable"/>
          <w:lang w:val="en-US"/>
        </w:rPr>
        <w:t xml:space="preserve"> than those </w:t>
      </w:r>
      <w:r w:rsidR="00714212" w:rsidRPr="00E538C1">
        <w:rPr>
          <w:rStyle w:val="goog-gtc-translatable"/>
          <w:lang w:val="en-US"/>
        </w:rPr>
        <w:t xml:space="preserve">observed only </w:t>
      </w:r>
      <w:r w:rsidR="00774530" w:rsidRPr="00E538C1">
        <w:rPr>
          <w:rStyle w:val="goog-gtc-translatable"/>
          <w:lang w:val="en-US"/>
        </w:rPr>
        <w:t xml:space="preserve">in </w:t>
      </w:r>
      <w:r w:rsidR="00714212" w:rsidRPr="00E538C1">
        <w:rPr>
          <w:rStyle w:val="goog-gtc-translatable"/>
          <w:lang w:val="en-US"/>
        </w:rPr>
        <w:t>women in previous studies (Kelley, 2012).</w:t>
      </w:r>
    </w:p>
    <w:p w:rsidR="00714212" w:rsidRPr="00E538C1" w:rsidRDefault="00714212" w:rsidP="00046C9B">
      <w:pPr>
        <w:pStyle w:val="NormalWeb"/>
        <w:spacing w:line="480" w:lineRule="auto"/>
        <w:ind w:firstLine="708"/>
        <w:rPr>
          <w:lang w:val="en-US"/>
        </w:rPr>
      </w:pPr>
      <w:r w:rsidRPr="00E538C1">
        <w:rPr>
          <w:rStyle w:val="goog-gtc-translatable"/>
          <w:lang w:val="en-US"/>
        </w:rPr>
        <w:t xml:space="preserve">Since </w:t>
      </w:r>
      <w:r w:rsidR="007814D6" w:rsidRPr="00E538C1">
        <w:rPr>
          <w:rStyle w:val="goog-gtc-translatable"/>
          <w:lang w:val="en-US"/>
        </w:rPr>
        <w:t xml:space="preserve">FI </w:t>
      </w:r>
      <w:r w:rsidRPr="00E538C1">
        <w:rPr>
          <w:rStyle w:val="goog-gtc-translatable"/>
          <w:lang w:val="en-US"/>
        </w:rPr>
        <w:t>showed that the scales are not equivalent between the two cultures, no such comparisons</w:t>
      </w:r>
      <w:r w:rsidR="007814D6" w:rsidRPr="00E538C1">
        <w:rPr>
          <w:rStyle w:val="goog-gtc-translatable"/>
          <w:lang w:val="en-US"/>
        </w:rPr>
        <w:t xml:space="preserve"> have been made</w:t>
      </w:r>
      <w:r w:rsidRPr="00E538C1">
        <w:rPr>
          <w:rStyle w:val="goog-gtc-translatable"/>
          <w:lang w:val="en-US"/>
        </w:rPr>
        <w:t>.</w:t>
      </w:r>
      <w:r w:rsidRPr="00E538C1">
        <w:rPr>
          <w:rStyle w:val="apple-converted-space"/>
          <w:lang w:val="en-US"/>
        </w:rPr>
        <w:t> </w:t>
      </w:r>
      <w:r w:rsidR="007814D6" w:rsidRPr="00E538C1">
        <w:rPr>
          <w:rStyle w:val="goog-gtc-translatable"/>
          <w:lang w:val="en-US"/>
        </w:rPr>
        <w:t xml:space="preserve">However, </w:t>
      </w:r>
      <w:r w:rsidRPr="00E538C1">
        <w:rPr>
          <w:rStyle w:val="goog-gtc-translatable"/>
          <w:lang w:val="en-US"/>
        </w:rPr>
        <w:t>statistically significant difference</w:t>
      </w:r>
      <w:r w:rsidR="007814D6" w:rsidRPr="00E538C1">
        <w:rPr>
          <w:rStyle w:val="goog-gtc-translatable"/>
          <w:lang w:val="en-US"/>
        </w:rPr>
        <w:t xml:space="preserve">s have been observed </w:t>
      </w:r>
      <w:r w:rsidRPr="00E538C1">
        <w:rPr>
          <w:rStyle w:val="goog-gtc-translatable"/>
          <w:lang w:val="en-US"/>
        </w:rPr>
        <w:t xml:space="preserve">in SP between men and women, but not </w:t>
      </w:r>
      <w:r w:rsidR="007814D6" w:rsidRPr="00E538C1">
        <w:rPr>
          <w:rStyle w:val="goog-gtc-translatable"/>
          <w:lang w:val="en-US"/>
        </w:rPr>
        <w:t xml:space="preserve">so </w:t>
      </w:r>
      <w:r w:rsidRPr="00E538C1">
        <w:rPr>
          <w:rStyle w:val="goog-gtc-translatable"/>
          <w:lang w:val="en-US"/>
        </w:rPr>
        <w:t>between SSE and SD on the same line of Snell et al., (2001), Snell and Papini (1989) and Wiedemann and Allgeier (1993).</w:t>
      </w:r>
      <w:r w:rsidR="00E07528" w:rsidRPr="00E538C1">
        <w:rPr>
          <w:rStyle w:val="goog-gtc-translatable"/>
          <w:lang w:val="en-US"/>
        </w:rPr>
        <w:t xml:space="preserve"> There are </w:t>
      </w:r>
      <w:r w:rsidRPr="00E538C1">
        <w:rPr>
          <w:rStyle w:val="goog-gtc-translatable"/>
          <w:lang w:val="en-US"/>
        </w:rPr>
        <w:t>difference</w:t>
      </w:r>
      <w:r w:rsidR="00E07528" w:rsidRPr="00E538C1">
        <w:rPr>
          <w:rStyle w:val="goog-gtc-translatable"/>
          <w:lang w:val="en-US"/>
        </w:rPr>
        <w:t>s</w:t>
      </w:r>
      <w:r w:rsidRPr="00E538C1">
        <w:rPr>
          <w:rStyle w:val="goog-gtc-translatable"/>
          <w:lang w:val="en-US"/>
        </w:rPr>
        <w:t xml:space="preserve"> in </w:t>
      </w:r>
      <w:r w:rsidR="00E07528" w:rsidRPr="00E538C1">
        <w:rPr>
          <w:rStyle w:val="goog-gtc-translatable"/>
          <w:lang w:val="en-US"/>
        </w:rPr>
        <w:t xml:space="preserve">the SSE </w:t>
      </w:r>
      <w:r w:rsidRPr="00E538C1">
        <w:rPr>
          <w:rStyle w:val="goog-gtc-translatable"/>
          <w:lang w:val="en-US"/>
        </w:rPr>
        <w:t xml:space="preserve">scale </w:t>
      </w:r>
      <w:r w:rsidR="00E07528" w:rsidRPr="00E538C1">
        <w:rPr>
          <w:rStyle w:val="goog-gtc-translatable"/>
          <w:lang w:val="en-US"/>
        </w:rPr>
        <w:t>in the Colombian sample, between those who have</w:t>
      </w:r>
      <w:r w:rsidR="00F17B41" w:rsidRPr="00E538C1">
        <w:rPr>
          <w:rStyle w:val="goog-gtc-translatable"/>
          <w:lang w:val="en-US"/>
        </w:rPr>
        <w:t xml:space="preserve"> </w:t>
      </w:r>
      <w:r w:rsidRPr="00E538C1">
        <w:rPr>
          <w:rStyle w:val="goog-gtc-translatable"/>
          <w:lang w:val="en-US"/>
        </w:rPr>
        <w:t xml:space="preserve">a relationship and those who do not, </w:t>
      </w:r>
      <w:r w:rsidR="00891030" w:rsidRPr="00E538C1">
        <w:rPr>
          <w:rStyle w:val="goog-gtc-translatable"/>
          <w:lang w:val="en-US"/>
        </w:rPr>
        <w:t xml:space="preserve">which leads to </w:t>
      </w:r>
      <w:r w:rsidRPr="00E538C1">
        <w:rPr>
          <w:rStyle w:val="goog-gtc-translatable"/>
          <w:lang w:val="en-US"/>
        </w:rPr>
        <w:t xml:space="preserve">positive correlations with </w:t>
      </w:r>
      <w:r w:rsidR="00891030" w:rsidRPr="00E538C1">
        <w:rPr>
          <w:rStyle w:val="goog-gtc-translatable"/>
          <w:lang w:val="en-US"/>
        </w:rPr>
        <w:t xml:space="preserve">sexual function </w:t>
      </w:r>
      <w:r w:rsidRPr="00E538C1">
        <w:rPr>
          <w:rStyle w:val="goog-gtc-translatable"/>
          <w:lang w:val="en-US"/>
        </w:rPr>
        <w:t>and assertiveness</w:t>
      </w:r>
      <w:r w:rsidR="00891030" w:rsidRPr="00E538C1">
        <w:rPr>
          <w:rStyle w:val="goog-gtc-translatable"/>
          <w:lang w:val="en-US"/>
        </w:rPr>
        <w:t>. Similarly, the idea of e</w:t>
      </w:r>
      <w:r w:rsidRPr="00E538C1">
        <w:rPr>
          <w:rStyle w:val="goog-gtc-translatable"/>
          <w:lang w:val="en-US"/>
        </w:rPr>
        <w:t xml:space="preserve">valuations that people make </w:t>
      </w:r>
      <w:r w:rsidR="00891030" w:rsidRPr="00E538C1">
        <w:rPr>
          <w:rStyle w:val="goog-gtc-translatable"/>
          <w:lang w:val="en-US"/>
        </w:rPr>
        <w:t xml:space="preserve">of </w:t>
      </w:r>
      <w:r w:rsidRPr="00E538C1">
        <w:rPr>
          <w:rStyle w:val="goog-gtc-translatable"/>
          <w:lang w:val="en-US"/>
        </w:rPr>
        <w:t>their se</w:t>
      </w:r>
      <w:r w:rsidR="00891030" w:rsidRPr="00E538C1">
        <w:rPr>
          <w:rStyle w:val="goog-gtc-translatable"/>
          <w:lang w:val="en-US"/>
        </w:rPr>
        <w:t xml:space="preserve">xuality </w:t>
      </w:r>
      <w:r w:rsidRPr="00E538C1">
        <w:rPr>
          <w:rStyle w:val="goog-gtc-translatable"/>
          <w:lang w:val="en-US"/>
        </w:rPr>
        <w:t xml:space="preserve">are associated with sexual satisfaction (Carrobles et al., 2011) and sexual </w:t>
      </w:r>
      <w:r w:rsidR="00891030" w:rsidRPr="00E538C1">
        <w:rPr>
          <w:rStyle w:val="goog-gtc-translatable"/>
          <w:lang w:val="en-US"/>
        </w:rPr>
        <w:t>well</w:t>
      </w:r>
      <w:r w:rsidRPr="00E538C1">
        <w:rPr>
          <w:rStyle w:val="goog-gtc-translatable"/>
          <w:lang w:val="en-US"/>
        </w:rPr>
        <w:t>being (Muise et al., 2010)</w:t>
      </w:r>
      <w:r w:rsidR="00891030" w:rsidRPr="00E538C1">
        <w:rPr>
          <w:rStyle w:val="goog-gtc-translatable"/>
          <w:lang w:val="en-US"/>
        </w:rPr>
        <w:t>, which</w:t>
      </w:r>
      <w:r w:rsidRPr="00E538C1">
        <w:rPr>
          <w:rStyle w:val="goog-gtc-translatable"/>
          <w:lang w:val="en-US"/>
        </w:rPr>
        <w:t xml:space="preserve"> is achieved in relationships. </w:t>
      </w:r>
      <w:r w:rsidR="00891030" w:rsidRPr="00E538C1">
        <w:rPr>
          <w:rStyle w:val="goog-gtc-translatable"/>
          <w:lang w:val="en-US"/>
        </w:rPr>
        <w:t xml:space="preserve">No such differences are found in the Spanish sample, which </w:t>
      </w:r>
      <w:r w:rsidRPr="00E538C1">
        <w:rPr>
          <w:rStyle w:val="goog-gtc-translatable"/>
          <w:lang w:val="en-US"/>
        </w:rPr>
        <w:t>could be explained by cultural differences in relation to marital status and the varia</w:t>
      </w:r>
      <w:r w:rsidR="002739A3">
        <w:rPr>
          <w:rStyle w:val="goog-gtc-translatable"/>
          <w:lang w:val="en-US"/>
        </w:rPr>
        <w:t>bles associated with religiousness</w:t>
      </w:r>
      <w:r w:rsidRPr="00E538C1">
        <w:rPr>
          <w:rStyle w:val="goog-gtc-translatable"/>
          <w:lang w:val="en-US"/>
        </w:rPr>
        <w:t>.</w:t>
      </w:r>
      <w:r w:rsidRPr="00E538C1">
        <w:rPr>
          <w:lang w:val="en-US"/>
        </w:rPr>
        <w:t> </w:t>
      </w:r>
    </w:p>
    <w:p w:rsidR="002379F7" w:rsidRDefault="00714212" w:rsidP="00CB7996">
      <w:pPr>
        <w:pStyle w:val="NormalWeb"/>
        <w:spacing w:line="480" w:lineRule="auto"/>
        <w:ind w:firstLine="708"/>
        <w:rPr>
          <w:rStyle w:val="goog-gtc-translatable"/>
          <w:lang w:val="en-US"/>
        </w:rPr>
      </w:pPr>
      <w:r w:rsidRPr="00E538C1">
        <w:rPr>
          <w:rStyle w:val="goog-gtc-translatable"/>
          <w:lang w:val="en-US"/>
        </w:rPr>
        <w:t>In conclusion, the psychometric properties of the scales in the two versions</w:t>
      </w:r>
      <w:r w:rsidR="00E77958" w:rsidRPr="00E538C1">
        <w:rPr>
          <w:rStyle w:val="goog-gtc-translatable"/>
          <w:lang w:val="en-US"/>
        </w:rPr>
        <w:t>,</w:t>
      </w:r>
      <w:r w:rsidRPr="00E538C1">
        <w:rPr>
          <w:rStyle w:val="goog-gtc-translatable"/>
          <w:lang w:val="en-US"/>
        </w:rPr>
        <w:t xml:space="preserve"> regarding reliability and validity</w:t>
      </w:r>
      <w:r w:rsidR="00E77958" w:rsidRPr="00E538C1">
        <w:rPr>
          <w:rStyle w:val="goog-gtc-translatable"/>
          <w:lang w:val="en-US"/>
        </w:rPr>
        <w:t>,</w:t>
      </w:r>
      <w:r w:rsidRPr="00E538C1">
        <w:rPr>
          <w:rStyle w:val="goog-gtc-translatable"/>
          <w:lang w:val="en-US"/>
        </w:rPr>
        <w:t xml:space="preserve"> show that </w:t>
      </w:r>
      <w:r w:rsidR="00E77958" w:rsidRPr="00E538C1">
        <w:rPr>
          <w:rStyle w:val="goog-gtc-translatable"/>
          <w:lang w:val="en-US"/>
        </w:rPr>
        <w:t xml:space="preserve">these scales </w:t>
      </w:r>
      <w:r w:rsidRPr="00E538C1">
        <w:rPr>
          <w:rStyle w:val="goog-gtc-translatable"/>
          <w:lang w:val="en-US"/>
        </w:rPr>
        <w:t xml:space="preserve">can be useful tools to strengthen </w:t>
      </w:r>
      <w:r w:rsidR="00E77958" w:rsidRPr="00E538C1">
        <w:rPr>
          <w:rStyle w:val="goog-gtc-translatable"/>
          <w:lang w:val="en-US"/>
        </w:rPr>
        <w:lastRenderedPageBreak/>
        <w:t xml:space="preserve">clinical </w:t>
      </w:r>
      <w:r w:rsidRPr="00E538C1">
        <w:rPr>
          <w:rStyle w:val="goog-gtc-translatable"/>
          <w:lang w:val="en-US"/>
        </w:rPr>
        <w:t>and health</w:t>
      </w:r>
      <w:r w:rsidR="00E77958" w:rsidRPr="00E538C1">
        <w:rPr>
          <w:rStyle w:val="goog-gtc-translatable"/>
          <w:lang w:val="en-US"/>
        </w:rPr>
        <w:t>care – related work</w:t>
      </w:r>
      <w:r w:rsidRPr="00E538C1">
        <w:rPr>
          <w:rStyle w:val="goog-gtc-translatable"/>
          <w:lang w:val="en-US"/>
        </w:rPr>
        <w:t xml:space="preserve"> in both countries.</w:t>
      </w:r>
      <w:r w:rsidRPr="00E538C1">
        <w:rPr>
          <w:rStyle w:val="apple-converted-space"/>
          <w:lang w:val="en-US"/>
        </w:rPr>
        <w:t> </w:t>
      </w:r>
      <w:r w:rsidR="00E77958" w:rsidRPr="00E538C1">
        <w:rPr>
          <w:rStyle w:val="goog-gtc-translatable"/>
          <w:lang w:val="en-US"/>
        </w:rPr>
        <w:t xml:space="preserve">Their </w:t>
      </w:r>
      <w:r w:rsidRPr="00E538C1">
        <w:rPr>
          <w:rStyle w:val="goog-gtc-translatable"/>
          <w:lang w:val="en-US"/>
        </w:rPr>
        <w:t xml:space="preserve">impact </w:t>
      </w:r>
      <w:r w:rsidR="00E77958" w:rsidRPr="00E538C1">
        <w:rPr>
          <w:rStyle w:val="goog-gtc-translatable"/>
          <w:lang w:val="en-US"/>
        </w:rPr>
        <w:t xml:space="preserve">is </w:t>
      </w:r>
      <w:r w:rsidRPr="00E538C1">
        <w:rPr>
          <w:rStyle w:val="goog-gtc-translatable"/>
          <w:lang w:val="en-US"/>
        </w:rPr>
        <w:t>demonstrated in relation to psychosocial functioning (Syme, Delaney, Schuster, Gosian, &amp; Moye, 2013), with adolescent sexuality (Harden, 2014), with anxiety and sexual satisfaction (Brassard, Dupuy, Bergeron, &amp; Shaver, 2015), with body and sexual satisfaction (Blodgett &amp; Benson, 2013; La Rocque &amp; Cioe, 2011; Van Den Brink et al</w:t>
      </w:r>
      <w:r w:rsidR="00E77958" w:rsidRPr="00E538C1">
        <w:rPr>
          <w:rStyle w:val="goog-gtc-translatable"/>
          <w:lang w:val="en-US"/>
        </w:rPr>
        <w:t>.</w:t>
      </w:r>
      <w:r w:rsidRPr="00E538C1">
        <w:rPr>
          <w:rStyle w:val="goog-gtc-translatable"/>
          <w:lang w:val="en-US"/>
        </w:rPr>
        <w:t>, 2013)</w:t>
      </w:r>
      <w:r w:rsidR="00C70F51" w:rsidRPr="00E538C1">
        <w:rPr>
          <w:rStyle w:val="goog-gtc-translatable"/>
          <w:lang w:val="en-US"/>
        </w:rPr>
        <w:t xml:space="preserve">. This makes these scales </w:t>
      </w:r>
      <w:r w:rsidRPr="00E538C1">
        <w:rPr>
          <w:rStyle w:val="goog-gtc-translatable"/>
          <w:lang w:val="en-US"/>
        </w:rPr>
        <w:t xml:space="preserve">useful tools </w:t>
      </w:r>
      <w:r w:rsidR="00C70F51" w:rsidRPr="00E538C1">
        <w:rPr>
          <w:rStyle w:val="goog-gtc-translatable"/>
          <w:lang w:val="en-US"/>
        </w:rPr>
        <w:t xml:space="preserve">for evaluation </w:t>
      </w:r>
      <w:r w:rsidRPr="00E538C1">
        <w:rPr>
          <w:rStyle w:val="goog-gtc-translatable"/>
          <w:lang w:val="en-US"/>
        </w:rPr>
        <w:t>and intervention.</w:t>
      </w:r>
      <w:r w:rsidR="00C70F51" w:rsidRPr="00E538C1">
        <w:rPr>
          <w:rStyle w:val="goog-gtc-translatable"/>
          <w:lang w:val="en-US"/>
        </w:rPr>
        <w:t xml:space="preserve"> </w:t>
      </w:r>
    </w:p>
    <w:p w:rsidR="00714212" w:rsidRPr="00E538C1" w:rsidRDefault="00714212" w:rsidP="00046C9B">
      <w:pPr>
        <w:pStyle w:val="NormalWeb"/>
        <w:spacing w:line="480" w:lineRule="auto"/>
        <w:ind w:firstLine="708"/>
        <w:rPr>
          <w:rStyle w:val="goog-gtc-translatable"/>
          <w:lang w:val="en-US"/>
        </w:rPr>
      </w:pPr>
      <w:r w:rsidRPr="00E538C1">
        <w:rPr>
          <w:rStyle w:val="goog-gtc-translatable"/>
          <w:lang w:val="en-US"/>
        </w:rPr>
        <w:t>Finally, some limitations encountered should be considered in future studies</w:t>
      </w:r>
      <w:r w:rsidR="00577559" w:rsidRPr="00E538C1">
        <w:rPr>
          <w:rStyle w:val="goog-gtc-translatable"/>
          <w:lang w:val="en-US"/>
        </w:rPr>
        <w:t>, as follows; t</w:t>
      </w:r>
      <w:r w:rsidRPr="00E538C1">
        <w:rPr>
          <w:rStyle w:val="goog-gtc-translatable"/>
          <w:lang w:val="en-US"/>
        </w:rPr>
        <w:t xml:space="preserve">he type of incidental sampling does not allow </w:t>
      </w:r>
      <w:r w:rsidR="00577559" w:rsidRPr="00E538C1">
        <w:rPr>
          <w:rStyle w:val="goog-gtc-translatable"/>
          <w:lang w:val="en-US"/>
        </w:rPr>
        <w:t xml:space="preserve">for </w:t>
      </w:r>
      <w:r w:rsidRPr="00E538C1">
        <w:rPr>
          <w:rStyle w:val="goog-gtc-translatable"/>
          <w:lang w:val="en-US"/>
        </w:rPr>
        <w:t xml:space="preserve">generalization of data </w:t>
      </w:r>
      <w:r w:rsidR="00DE3F82" w:rsidRPr="00E538C1">
        <w:rPr>
          <w:rStyle w:val="goog-gtc-translatable"/>
          <w:lang w:val="en-US"/>
        </w:rPr>
        <w:t xml:space="preserve">to </w:t>
      </w:r>
      <w:r w:rsidRPr="00E538C1">
        <w:rPr>
          <w:rStyle w:val="goog-gtc-translatable"/>
          <w:lang w:val="en-US"/>
        </w:rPr>
        <w:t>the population of the two countries.</w:t>
      </w:r>
      <w:r w:rsidRPr="00E538C1">
        <w:rPr>
          <w:rStyle w:val="apple-converted-space"/>
          <w:lang w:val="en-US"/>
        </w:rPr>
        <w:t> </w:t>
      </w:r>
      <w:r w:rsidRPr="00E538C1">
        <w:rPr>
          <w:rStyle w:val="goog-gtc-translatable"/>
          <w:lang w:val="en-US"/>
        </w:rPr>
        <w:t xml:space="preserve">The mechanism used for data collection is limited </w:t>
      </w:r>
      <w:r w:rsidR="00DE3F82" w:rsidRPr="00E538C1">
        <w:rPr>
          <w:rStyle w:val="goog-gtc-translatable"/>
          <w:lang w:val="en-US"/>
        </w:rPr>
        <w:t xml:space="preserve">as </w:t>
      </w:r>
      <w:r w:rsidRPr="00E538C1">
        <w:rPr>
          <w:rStyle w:val="goog-gtc-translatable"/>
          <w:lang w:val="en-US"/>
        </w:rPr>
        <w:t>there is no easy access to technological resources by certain sectors of the population</w:t>
      </w:r>
      <w:r w:rsidR="00DE3F82" w:rsidRPr="00E538C1">
        <w:rPr>
          <w:rStyle w:val="goog-gtc-translatable"/>
          <w:lang w:val="en-US"/>
        </w:rPr>
        <w:t xml:space="preserve">; this </w:t>
      </w:r>
      <w:r w:rsidRPr="00E538C1">
        <w:rPr>
          <w:rStyle w:val="goog-gtc-translatable"/>
          <w:lang w:val="en-US"/>
        </w:rPr>
        <w:t>implies an exclusion of data that could be significant and impact</w:t>
      </w:r>
      <w:r w:rsidR="00DE3F82" w:rsidRPr="00E538C1">
        <w:rPr>
          <w:rStyle w:val="goog-gtc-translatable"/>
          <w:lang w:val="en-US"/>
        </w:rPr>
        <w:t>ful</w:t>
      </w:r>
      <w:r w:rsidRPr="00E538C1">
        <w:rPr>
          <w:rStyle w:val="goog-gtc-translatable"/>
          <w:lang w:val="en-US"/>
        </w:rPr>
        <w:t>.</w:t>
      </w:r>
      <w:r w:rsidRPr="00E538C1">
        <w:rPr>
          <w:rStyle w:val="apple-converted-space"/>
          <w:lang w:val="en-US"/>
        </w:rPr>
        <w:t> </w:t>
      </w:r>
      <w:r w:rsidRPr="00E538C1">
        <w:rPr>
          <w:rStyle w:val="goog-gtc-translatable"/>
          <w:lang w:val="en-US"/>
        </w:rPr>
        <w:t xml:space="preserve">It is suggested </w:t>
      </w:r>
      <w:r w:rsidR="00491C04" w:rsidRPr="00E538C1">
        <w:rPr>
          <w:rStyle w:val="goog-gtc-translatable"/>
          <w:lang w:val="en-US"/>
        </w:rPr>
        <w:t xml:space="preserve">to review </w:t>
      </w:r>
      <w:r w:rsidRPr="00E538C1">
        <w:rPr>
          <w:rStyle w:val="goog-gtc-translatable"/>
          <w:lang w:val="en-US"/>
        </w:rPr>
        <w:t>item 3 of the SD scale</w:t>
      </w:r>
      <w:r w:rsidR="00491C04" w:rsidRPr="00E538C1">
        <w:rPr>
          <w:rStyle w:val="goog-gtc-translatable"/>
          <w:lang w:val="en-US"/>
        </w:rPr>
        <w:t xml:space="preserve">, so as to more appropriately adjust to </w:t>
      </w:r>
      <w:r w:rsidRPr="00E538C1">
        <w:rPr>
          <w:rStyle w:val="goog-gtc-translatable"/>
          <w:lang w:val="en-US"/>
        </w:rPr>
        <w:t>the theoretical parameters of the scale.</w:t>
      </w:r>
      <w:r w:rsidRPr="00E538C1">
        <w:rPr>
          <w:rStyle w:val="apple-converted-space"/>
          <w:lang w:val="en-US"/>
        </w:rPr>
        <w:t> </w:t>
      </w:r>
      <w:r w:rsidRPr="00E538C1">
        <w:rPr>
          <w:rStyle w:val="goog-gtc-translatable"/>
          <w:lang w:val="en-US"/>
        </w:rPr>
        <w:t xml:space="preserve">Though its effect had no implications in this study, its appropriateness </w:t>
      </w:r>
      <w:r w:rsidR="00491C04" w:rsidRPr="00E538C1">
        <w:rPr>
          <w:rStyle w:val="goog-gtc-translatable"/>
          <w:lang w:val="en-US"/>
        </w:rPr>
        <w:t xml:space="preserve">may </w:t>
      </w:r>
      <w:r w:rsidRPr="00E538C1">
        <w:rPr>
          <w:rStyle w:val="goog-gtc-translatable"/>
          <w:lang w:val="en-US"/>
        </w:rPr>
        <w:t>improve the properties of the scale.</w:t>
      </w:r>
      <w:r w:rsidRPr="00E538C1">
        <w:rPr>
          <w:rStyle w:val="apple-converted-space"/>
          <w:lang w:val="en-US"/>
        </w:rPr>
        <w:t> </w:t>
      </w:r>
      <w:r w:rsidRPr="00E538C1">
        <w:rPr>
          <w:rStyle w:val="goog-gtc-translatable"/>
          <w:lang w:val="en-US"/>
        </w:rPr>
        <w:t>One aspect to be evaluated in future research is the relationship of SP and SD with other components of human sexuality</w:t>
      </w:r>
      <w:r w:rsidR="00713C63" w:rsidRPr="00E538C1">
        <w:rPr>
          <w:rStyle w:val="goog-gtc-translatable"/>
          <w:lang w:val="en-US"/>
        </w:rPr>
        <w:t xml:space="preserve"> such as </w:t>
      </w:r>
      <w:r w:rsidRPr="00E538C1">
        <w:rPr>
          <w:rStyle w:val="goog-gtc-translatable"/>
          <w:lang w:val="en-US"/>
        </w:rPr>
        <w:t xml:space="preserve">sexual abuse </w:t>
      </w:r>
      <w:r w:rsidR="00713C63" w:rsidRPr="00E538C1">
        <w:rPr>
          <w:rStyle w:val="goog-gtc-translatable"/>
          <w:lang w:val="en-US"/>
        </w:rPr>
        <w:t xml:space="preserve">and </w:t>
      </w:r>
      <w:r w:rsidRPr="00E538C1">
        <w:rPr>
          <w:rStyle w:val="goog-gtc-translatable"/>
          <w:lang w:val="en-US"/>
        </w:rPr>
        <w:t>victimization, physical</w:t>
      </w:r>
      <w:r w:rsidR="00713C63" w:rsidRPr="00E538C1">
        <w:rPr>
          <w:rStyle w:val="goog-gtc-translatable"/>
          <w:lang w:val="en-US"/>
        </w:rPr>
        <w:t xml:space="preserve"> attractiveness and sexual well</w:t>
      </w:r>
      <w:r w:rsidRPr="00E538C1">
        <w:rPr>
          <w:rStyle w:val="goog-gtc-translatable"/>
          <w:lang w:val="en-US"/>
        </w:rPr>
        <w:t>being, among others.</w:t>
      </w:r>
    </w:p>
    <w:p w:rsidR="00072AA8" w:rsidRPr="00E538C1" w:rsidRDefault="00072AA8" w:rsidP="00423241">
      <w:pPr>
        <w:pStyle w:val="NormalWeb"/>
        <w:spacing w:line="480" w:lineRule="auto"/>
        <w:rPr>
          <w:lang w:val="en-US"/>
        </w:rPr>
      </w:pPr>
    </w:p>
    <w:p w:rsidR="00072AA8" w:rsidRPr="00E538C1" w:rsidRDefault="00072AA8" w:rsidP="00423241">
      <w:pPr>
        <w:pStyle w:val="NormalWeb"/>
        <w:spacing w:line="480" w:lineRule="auto"/>
        <w:rPr>
          <w:lang w:val="en-US"/>
        </w:rPr>
      </w:pPr>
    </w:p>
    <w:p w:rsidR="00072AA8" w:rsidRPr="00491DA7" w:rsidRDefault="00072AA8" w:rsidP="00072AA8">
      <w:pPr>
        <w:spacing w:after="120" w:line="480" w:lineRule="auto"/>
        <w:jc w:val="center"/>
        <w:rPr>
          <w:b/>
          <w:lang w:val="es-CO"/>
        </w:rPr>
      </w:pPr>
      <w:r w:rsidRPr="00CB2935">
        <w:rPr>
          <w:lang w:val="es-CO"/>
        </w:rPr>
        <w:br w:type="page"/>
      </w:r>
      <w:r w:rsidRPr="00491DA7">
        <w:rPr>
          <w:b/>
          <w:lang w:val="es-CO"/>
        </w:rPr>
        <w:lastRenderedPageBreak/>
        <w:t>Referenc</w:t>
      </w:r>
      <w:r w:rsidR="00CD62CA" w:rsidRPr="00491DA7">
        <w:rPr>
          <w:b/>
          <w:lang w:val="es-CO"/>
        </w:rPr>
        <w:t>e</w:t>
      </w:r>
      <w:r w:rsidRPr="00491DA7">
        <w:rPr>
          <w:b/>
          <w:lang w:val="es-CO"/>
        </w:rPr>
        <w:t>s</w:t>
      </w:r>
    </w:p>
    <w:p w:rsidR="00072AA8" w:rsidRPr="00E538C1" w:rsidRDefault="00072AA8" w:rsidP="00072AA8">
      <w:pPr>
        <w:tabs>
          <w:tab w:val="left" w:pos="709"/>
        </w:tabs>
        <w:spacing w:after="120" w:line="480" w:lineRule="auto"/>
        <w:ind w:left="709" w:hanging="709"/>
        <w:rPr>
          <w:lang w:val="en-US"/>
        </w:rPr>
      </w:pPr>
      <w:r w:rsidRPr="00491DA7">
        <w:rPr>
          <w:lang w:val="es-CO"/>
        </w:rPr>
        <w:t xml:space="preserve">AERA, APA y NCME. </w:t>
      </w:r>
      <w:r w:rsidRPr="00E538C1">
        <w:rPr>
          <w:lang w:val="en-US"/>
        </w:rPr>
        <w:t xml:space="preserve">(2014). </w:t>
      </w:r>
      <w:r w:rsidRPr="00E538C1">
        <w:rPr>
          <w:i/>
          <w:lang w:val="en-US"/>
        </w:rPr>
        <w:t xml:space="preserve">Standards for educational and psychological tests. </w:t>
      </w:r>
      <w:r w:rsidRPr="00E538C1">
        <w:rPr>
          <w:lang w:val="en-US"/>
        </w:rPr>
        <w:t>Washington DC: American Educational Research Association.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 w:eastAsia="es-CO"/>
        </w:rPr>
      </w:pPr>
      <w:r w:rsidRPr="00E538C1">
        <w:rPr>
          <w:lang w:val="en-US" w:eastAsia="es-CO"/>
        </w:rPr>
        <w:t xml:space="preserve">Aiken, L. R. (1980). Content validity and reliability of single items or questionnaires. </w:t>
      </w:r>
      <w:r w:rsidRPr="00E538C1">
        <w:rPr>
          <w:i/>
          <w:lang w:val="en-US" w:eastAsia="es-CO"/>
        </w:rPr>
        <w:t>Educational and Psychological Measurement</w:t>
      </w:r>
      <w:r w:rsidRPr="00E538C1">
        <w:rPr>
          <w:lang w:val="en-US" w:eastAsia="es-CO"/>
        </w:rPr>
        <w:t xml:space="preserve">, </w:t>
      </w:r>
      <w:r w:rsidRPr="00E538C1">
        <w:rPr>
          <w:i/>
          <w:lang w:val="en-US" w:eastAsia="es-CO"/>
        </w:rPr>
        <w:t>40</w:t>
      </w:r>
      <w:r w:rsidRPr="00E538C1">
        <w:rPr>
          <w:lang w:val="en-US" w:eastAsia="es-CO"/>
        </w:rPr>
        <w:t xml:space="preserve">, 955–959. </w:t>
      </w:r>
      <w:r w:rsidRPr="00E538C1">
        <w:rPr>
          <w:lang w:val="en-US"/>
        </w:rPr>
        <w:t xml:space="preserve">doi: </w:t>
      </w:r>
      <w:r w:rsidRPr="00E538C1">
        <w:rPr>
          <w:rStyle w:val="slug-doi"/>
          <w:lang w:val="en-US"/>
        </w:rPr>
        <w:t>10.1177/001316448004000419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 w:eastAsia="es-CO"/>
        </w:rPr>
      </w:pPr>
      <w:r w:rsidRPr="00E538C1">
        <w:rPr>
          <w:lang w:val="en-US" w:eastAsia="es-CO"/>
        </w:rPr>
        <w:t xml:space="preserve">Aiken, L. R. (1985). Three coefficients for analyzing the reliability and validity of ratings. </w:t>
      </w:r>
      <w:r w:rsidRPr="00E538C1">
        <w:rPr>
          <w:i/>
          <w:lang w:val="en-US" w:eastAsia="es-CO"/>
        </w:rPr>
        <w:t>Educational and Psychological Measurement, 45</w:t>
      </w:r>
      <w:r w:rsidRPr="00E538C1">
        <w:rPr>
          <w:lang w:val="en-US" w:eastAsia="es-CO"/>
        </w:rPr>
        <w:t xml:space="preserve">, 131-142. </w:t>
      </w:r>
      <w:r w:rsidRPr="00E538C1">
        <w:rPr>
          <w:lang w:val="en-US"/>
        </w:rPr>
        <w:t xml:space="preserve">doi: </w:t>
      </w:r>
      <w:r w:rsidRPr="00E538C1">
        <w:rPr>
          <w:rStyle w:val="slug-doi"/>
          <w:lang w:val="en-US"/>
        </w:rPr>
        <w:t>10.1177/0013164485451012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 w:eastAsia="es-CO"/>
        </w:rPr>
      </w:pPr>
      <w:r w:rsidRPr="00E538C1">
        <w:rPr>
          <w:lang w:val="en-US" w:eastAsia="es-CO"/>
        </w:rPr>
        <w:t xml:space="preserve">Andersen, B. L. (1999). Surviving Cancer: The importance of sexual self-concept. </w:t>
      </w:r>
      <w:r w:rsidRPr="00E538C1">
        <w:rPr>
          <w:i/>
          <w:lang w:val="en-US" w:eastAsia="es-CO"/>
        </w:rPr>
        <w:t>Medical and Pediatric Oncology 33</w:t>
      </w:r>
      <w:r w:rsidRPr="00E538C1">
        <w:rPr>
          <w:lang w:val="en-US" w:eastAsia="es-CO"/>
        </w:rPr>
        <w:t xml:space="preserve">, 15–23. doi: </w:t>
      </w:r>
      <w:r w:rsidRPr="00E538C1">
        <w:rPr>
          <w:lang w:val="en-US"/>
        </w:rPr>
        <w:t>10.1002/(SICI)1096-911X(199907)33:1&lt;15::AID-MPO4&gt;3.0.CO;2-L</w:t>
      </w:r>
    </w:p>
    <w:p w:rsidR="00072AA8" w:rsidRPr="00E538C1" w:rsidRDefault="00072AA8" w:rsidP="00072AA8">
      <w:pPr>
        <w:spacing w:after="120" w:line="480" w:lineRule="auto"/>
        <w:ind w:left="709" w:hanging="709"/>
        <w:rPr>
          <w:lang w:val="en-US"/>
        </w:rPr>
      </w:pPr>
      <w:r w:rsidRPr="00E538C1">
        <w:rPr>
          <w:lang w:val="en-US"/>
        </w:rPr>
        <w:t xml:space="preserve">Bentler, P. M. (1990). Comparative fit indexes in structural models. </w:t>
      </w:r>
      <w:r w:rsidRPr="00E538C1">
        <w:rPr>
          <w:i/>
          <w:lang w:val="en-US"/>
        </w:rPr>
        <w:t>Psychological Bulletin, 107,</w:t>
      </w:r>
      <w:r w:rsidRPr="00E538C1">
        <w:rPr>
          <w:lang w:val="en-US"/>
        </w:rPr>
        <w:t xml:space="preserve"> 238-246. doi: 10.1037/0033-2909.107.2.238</w:t>
      </w:r>
    </w:p>
    <w:p w:rsidR="00072AA8" w:rsidRPr="00E538C1" w:rsidRDefault="00072AA8" w:rsidP="00072AA8">
      <w:pPr>
        <w:spacing w:after="120" w:line="480" w:lineRule="auto"/>
        <w:ind w:left="708" w:hanging="708"/>
        <w:rPr>
          <w:lang w:val="en-US"/>
        </w:rPr>
      </w:pPr>
      <w:r w:rsidRPr="00E538C1">
        <w:rPr>
          <w:lang w:val="en-US"/>
        </w:rPr>
        <w:t>Blodgett, E. H.</w:t>
      </w:r>
      <w:r w:rsidRPr="00E538C1">
        <w:rPr>
          <w:rStyle w:val="Hipervnculo"/>
          <w:color w:val="auto"/>
          <w:lang w:val="en-US"/>
        </w:rPr>
        <w:t>,</w:t>
      </w:r>
      <w:r w:rsidRPr="00E538C1">
        <w:rPr>
          <w:lang w:val="en-US"/>
        </w:rPr>
        <w:t xml:space="preserve"> &amp; Benson, K. E. (2013) Differences in emerging-adult women's body image and sexuality outcomes according to BMI and dating status. </w:t>
      </w:r>
      <w:r w:rsidRPr="00E538C1">
        <w:rPr>
          <w:bCs/>
          <w:i/>
          <w:lang w:val="en-US"/>
        </w:rPr>
        <w:t>International Journal of Sexual Health</w:t>
      </w:r>
      <w:r w:rsidRPr="00E538C1">
        <w:rPr>
          <w:i/>
          <w:lang w:val="en-US"/>
        </w:rPr>
        <w:t xml:space="preserve">, 25, </w:t>
      </w:r>
      <w:r w:rsidRPr="00E538C1">
        <w:rPr>
          <w:lang w:val="en-US"/>
        </w:rPr>
        <w:t>225-239. doi: 10.1080/19317611.2013.801932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rFonts w:eastAsia="Calibri"/>
          <w:lang w:val="en-US" w:eastAsia="en-US"/>
        </w:rPr>
      </w:pPr>
      <w:r w:rsidRPr="00E538C1">
        <w:rPr>
          <w:rFonts w:eastAsia="Calibri"/>
          <w:lang w:val="en-US" w:eastAsia="en-US"/>
        </w:rPr>
        <w:t xml:space="preserve">Brassard, A., Dupuy, E., Bergeron, S., &amp; Shaver, P. (2015). Attachment insecurities and women’s sexual function and satisfaction: The mediating roles of sexual self-esteem, sexual anxiety, and sexual assertiveness. </w:t>
      </w:r>
      <w:r w:rsidRPr="00E538C1">
        <w:rPr>
          <w:rFonts w:eastAsia="Calibri"/>
          <w:i/>
          <w:lang w:val="en-US" w:eastAsia="en-US"/>
        </w:rPr>
        <w:t>Journal of Sex Research</w:t>
      </w:r>
      <w:r w:rsidRPr="00E538C1">
        <w:rPr>
          <w:rFonts w:eastAsia="Calibri"/>
          <w:lang w:val="en-US" w:eastAsia="en-US"/>
        </w:rPr>
        <w:t xml:space="preserve">, </w:t>
      </w:r>
      <w:r w:rsidRPr="00E538C1">
        <w:rPr>
          <w:rFonts w:eastAsia="Calibri"/>
          <w:i/>
          <w:lang w:val="en-US" w:eastAsia="en-US"/>
        </w:rPr>
        <w:t>52</w:t>
      </w:r>
      <w:r w:rsidRPr="00E538C1">
        <w:rPr>
          <w:rFonts w:eastAsia="Calibri"/>
          <w:lang w:val="en-US" w:eastAsia="en-US"/>
        </w:rPr>
        <w:t>, 110–119. doi: 10.1080/00224499.2013.838744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 w:eastAsia="es-CO"/>
        </w:rPr>
      </w:pPr>
      <w:r w:rsidRPr="00E538C1">
        <w:rPr>
          <w:lang w:val="en-US" w:eastAsia="es-CO"/>
        </w:rPr>
        <w:lastRenderedPageBreak/>
        <w:t xml:space="preserve">Calogero, R. M., &amp; Thompson, J. K. (2009a) Potential implications of the objectification of women’s bodies for women’s sexual satisfaction. </w:t>
      </w:r>
      <w:r w:rsidRPr="00E538C1">
        <w:rPr>
          <w:i/>
          <w:lang w:val="en-US" w:eastAsia="es-CO"/>
        </w:rPr>
        <w:t xml:space="preserve">Body Image, 6, </w:t>
      </w:r>
      <w:r w:rsidRPr="00E538C1">
        <w:rPr>
          <w:lang w:val="en-US" w:eastAsia="es-CO"/>
        </w:rPr>
        <w:t xml:space="preserve">145-148. </w:t>
      </w:r>
      <w:r w:rsidRPr="00E538C1">
        <w:rPr>
          <w:rFonts w:eastAsia="Arial Unicode MS"/>
          <w:bdr w:val="none" w:sz="0" w:space="0" w:color="auto" w:frame="1"/>
          <w:shd w:val="clear" w:color="auto" w:fill="FFFFFF"/>
          <w:lang w:val="en-US"/>
        </w:rPr>
        <w:t>doi:10.1016/j.bodyim.2009.01.001</w:t>
      </w:r>
    </w:p>
    <w:p w:rsidR="00072AA8" w:rsidRPr="00E538C1" w:rsidRDefault="00072AA8" w:rsidP="00072AA8">
      <w:pPr>
        <w:shd w:val="clear" w:color="auto" w:fill="FFFFFF"/>
        <w:spacing w:after="120" w:line="480" w:lineRule="auto"/>
        <w:ind w:left="708" w:hanging="708"/>
        <w:textAlignment w:val="baseline"/>
        <w:rPr>
          <w:lang w:val="en-US"/>
        </w:rPr>
      </w:pPr>
      <w:r w:rsidRPr="00CB2935">
        <w:rPr>
          <w:lang w:val="es-CO" w:eastAsia="es-CO"/>
        </w:rPr>
        <w:t>Calogero, R. M., &amp; Thompson, J. K. (2009b)</w:t>
      </w:r>
      <w:r w:rsidRPr="00CB2935">
        <w:rPr>
          <w:lang w:val="es-CO"/>
        </w:rPr>
        <w:t xml:space="preserve">. </w:t>
      </w:r>
      <w:r w:rsidRPr="00E538C1">
        <w:rPr>
          <w:lang w:val="en-US"/>
        </w:rPr>
        <w:t>S</w:t>
      </w:r>
      <w:r w:rsidRPr="00E538C1">
        <w:rPr>
          <w:bCs/>
          <w:spacing w:val="5"/>
          <w:lang w:val="en-US"/>
        </w:rPr>
        <w:t xml:space="preserve">exual self-esteem in </w:t>
      </w:r>
      <w:r w:rsidR="00CD62CA" w:rsidRPr="00E538C1">
        <w:rPr>
          <w:bCs/>
          <w:spacing w:val="5"/>
          <w:lang w:val="en-US"/>
        </w:rPr>
        <w:t>American</w:t>
      </w:r>
      <w:r w:rsidRPr="00E538C1">
        <w:rPr>
          <w:bCs/>
          <w:spacing w:val="5"/>
          <w:lang w:val="en-US"/>
        </w:rPr>
        <w:t xml:space="preserve"> and </w:t>
      </w:r>
      <w:r w:rsidR="00CD62CA" w:rsidRPr="00E538C1">
        <w:rPr>
          <w:bCs/>
          <w:spacing w:val="5"/>
          <w:lang w:val="en-US"/>
        </w:rPr>
        <w:t>British</w:t>
      </w:r>
      <w:r w:rsidRPr="00E538C1">
        <w:rPr>
          <w:bCs/>
          <w:spacing w:val="5"/>
          <w:lang w:val="en-US"/>
        </w:rPr>
        <w:t xml:space="preserve"> college women: relations with self-objectification and eating problems. </w:t>
      </w:r>
      <w:r w:rsidRPr="00E538C1">
        <w:rPr>
          <w:i/>
          <w:bdr w:val="none" w:sz="0" w:space="0" w:color="auto" w:frame="1"/>
          <w:lang w:val="en-US"/>
        </w:rPr>
        <w:t>Sex Roles</w:t>
      </w:r>
      <w:r w:rsidRPr="00E538C1">
        <w:rPr>
          <w:i/>
          <w:lang w:val="en-US"/>
        </w:rPr>
        <w:t xml:space="preserve">, </w:t>
      </w:r>
      <w:r w:rsidRPr="00E538C1">
        <w:rPr>
          <w:i/>
          <w:bdr w:val="none" w:sz="0" w:space="0" w:color="auto" w:frame="1"/>
          <w:lang w:val="en-US"/>
        </w:rPr>
        <w:t>60</w:t>
      </w:r>
      <w:r w:rsidRPr="00E538C1">
        <w:rPr>
          <w:lang w:val="en-US"/>
        </w:rPr>
        <w:t>,</w:t>
      </w:r>
      <w:r w:rsidRPr="00E538C1">
        <w:rPr>
          <w:rStyle w:val="apple-converted-space"/>
          <w:lang w:val="en-US"/>
        </w:rPr>
        <w:t> </w:t>
      </w:r>
      <w:hyperlink r:id="rId12" w:history="1"/>
      <w:r w:rsidRPr="00E538C1">
        <w:rPr>
          <w:lang w:val="en-US"/>
        </w:rPr>
        <w:t>1</w:t>
      </w:r>
      <w:r w:rsidRPr="00E538C1">
        <w:rPr>
          <w:bdr w:val="none" w:sz="0" w:space="0" w:color="auto" w:frame="1"/>
          <w:lang w:val="en-US"/>
        </w:rPr>
        <w:t xml:space="preserve">60-173. doi: </w:t>
      </w:r>
      <w:r w:rsidRPr="00E538C1">
        <w:rPr>
          <w:shd w:val="clear" w:color="auto" w:fill="FFFFFF"/>
          <w:lang w:val="en-US"/>
        </w:rPr>
        <w:t>10.1007/s11199-008-9517-0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 w:eastAsia="es-CO"/>
        </w:rPr>
      </w:pPr>
      <w:r w:rsidRPr="00E538C1">
        <w:rPr>
          <w:lang w:val="en-US" w:eastAsia="es-CO"/>
        </w:rPr>
        <w:t xml:space="preserve">Carretero-Dios, H., &amp; Pérez, C. (2007). Standards for the development and review of instrumental studies: Considerations about test selection in psychological research. </w:t>
      </w:r>
      <w:r w:rsidRPr="00E538C1">
        <w:rPr>
          <w:i/>
          <w:lang w:val="en-US" w:eastAsia="es-CO"/>
        </w:rPr>
        <w:t>International Journal of Clinical and Health Psychology, 7,</w:t>
      </w:r>
      <w:r w:rsidRPr="00E538C1">
        <w:rPr>
          <w:lang w:val="en-US" w:eastAsia="es-CO"/>
        </w:rPr>
        <w:t xml:space="preserve"> 863-882.  </w:t>
      </w:r>
    </w:p>
    <w:p w:rsidR="00072AA8" w:rsidRPr="00E538C1" w:rsidRDefault="00072AA8" w:rsidP="00072AA8">
      <w:pPr>
        <w:spacing w:after="120" w:line="480" w:lineRule="auto"/>
        <w:ind w:left="709" w:hanging="709"/>
        <w:rPr>
          <w:lang w:val="en-US"/>
        </w:rPr>
      </w:pPr>
      <w:r w:rsidRPr="00E538C1">
        <w:rPr>
          <w:lang w:val="en-US"/>
        </w:rPr>
        <w:t xml:space="preserve">Carrobles, J. A., Gámez-Guadix, M., &amp; Almendros, C. (2011).  </w:t>
      </w:r>
      <w:r w:rsidRPr="00491DA7">
        <w:rPr>
          <w:lang w:val="es-CO"/>
        </w:rPr>
        <w:t xml:space="preserve">Funcionamiento sexual, satisfacción sexual y bienestar psicológico y subjetivo en una muestra de mujeres españolas. </w:t>
      </w:r>
      <w:r w:rsidRPr="00E538C1">
        <w:rPr>
          <w:i/>
          <w:lang w:val="en-US"/>
        </w:rPr>
        <w:t>Anales de psicología</w:t>
      </w:r>
      <w:r w:rsidRPr="00E538C1">
        <w:rPr>
          <w:lang w:val="en-US"/>
        </w:rPr>
        <w:t xml:space="preserve">, </w:t>
      </w:r>
      <w:r w:rsidRPr="00E538C1">
        <w:rPr>
          <w:i/>
          <w:lang w:val="en-US"/>
        </w:rPr>
        <w:t>27</w:t>
      </w:r>
      <w:r w:rsidRPr="00E538C1">
        <w:rPr>
          <w:lang w:val="en-US"/>
        </w:rPr>
        <w:t xml:space="preserve">(1), 27-34.  </w:t>
      </w:r>
    </w:p>
    <w:p w:rsidR="00072AA8" w:rsidRPr="00E538C1" w:rsidRDefault="00072AA8" w:rsidP="00072AA8">
      <w:pPr>
        <w:pStyle w:val="Ttulo1"/>
        <w:shd w:val="clear" w:color="auto" w:fill="FFFFFF"/>
        <w:spacing w:before="0" w:beforeAutospacing="0" w:after="120" w:afterAutospacing="0" w:line="480" w:lineRule="auto"/>
        <w:ind w:left="709" w:hanging="709"/>
        <w:rPr>
          <w:b w:val="0"/>
          <w:sz w:val="24"/>
          <w:szCs w:val="24"/>
          <w:lang w:val="en-US" w:eastAsia="es-ES"/>
        </w:rPr>
      </w:pPr>
      <w:r w:rsidRPr="00E538C1">
        <w:rPr>
          <w:b w:val="0"/>
          <w:sz w:val="24"/>
          <w:szCs w:val="24"/>
          <w:lang w:val="en-US" w:eastAsia="es-ES"/>
        </w:rPr>
        <w:t xml:space="preserve">Cheung, G. W., &amp; Rensvold, R. B. (2002). Evaluating goodness-of-fit indexes for testing measurement invariance. </w:t>
      </w:r>
      <w:r w:rsidRPr="00E538C1">
        <w:rPr>
          <w:b w:val="0"/>
          <w:i/>
          <w:iCs/>
          <w:sz w:val="24"/>
          <w:szCs w:val="24"/>
          <w:lang w:val="en-US" w:eastAsia="es-ES"/>
        </w:rPr>
        <w:t>Structural Equation Modeling</w:t>
      </w:r>
      <w:r w:rsidRPr="00E538C1">
        <w:rPr>
          <w:b w:val="0"/>
          <w:sz w:val="24"/>
          <w:szCs w:val="24"/>
          <w:lang w:val="en-US" w:eastAsia="es-ES"/>
        </w:rPr>
        <w:t xml:space="preserve">, </w:t>
      </w:r>
      <w:r w:rsidRPr="00E538C1">
        <w:rPr>
          <w:b w:val="0"/>
          <w:i/>
          <w:iCs/>
          <w:sz w:val="24"/>
          <w:szCs w:val="24"/>
          <w:lang w:val="en-US" w:eastAsia="es-ES"/>
        </w:rPr>
        <w:t>9,</w:t>
      </w:r>
      <w:r w:rsidRPr="00E538C1">
        <w:rPr>
          <w:b w:val="0"/>
          <w:sz w:val="24"/>
          <w:szCs w:val="24"/>
          <w:lang w:val="en-US" w:eastAsia="es-ES"/>
        </w:rPr>
        <w:t xml:space="preserve"> 233-255. doi: 10.1207/S15328007SEM0902_5</w:t>
      </w:r>
    </w:p>
    <w:p w:rsidR="00072AA8" w:rsidRPr="00491DA7" w:rsidRDefault="00072AA8" w:rsidP="00072AA8">
      <w:pPr>
        <w:spacing w:after="120" w:line="480" w:lineRule="auto"/>
        <w:ind w:left="708" w:hanging="708"/>
        <w:rPr>
          <w:iCs/>
          <w:lang w:val="es-CO"/>
        </w:rPr>
      </w:pPr>
      <w:r w:rsidRPr="00E538C1">
        <w:rPr>
          <w:lang w:val="en-US"/>
        </w:rPr>
        <w:t xml:space="preserve">Cleary, V., Hegarty, J., &amp; McCarthy, G. (2011). Sexuality in irish women with gynecologic cancer. </w:t>
      </w:r>
      <w:r w:rsidRPr="00491DA7">
        <w:rPr>
          <w:i/>
          <w:lang w:val="es-CO"/>
        </w:rPr>
        <w:t xml:space="preserve">Oncology Nursing Forum, 38, </w:t>
      </w:r>
      <w:r w:rsidRPr="00491DA7">
        <w:rPr>
          <w:lang w:val="es-CO"/>
        </w:rPr>
        <w:t xml:space="preserve">E87-E96. doi: </w:t>
      </w:r>
      <w:r w:rsidRPr="00491DA7">
        <w:rPr>
          <w:iCs/>
          <w:lang w:val="es-CO"/>
        </w:rPr>
        <w:t>10.1188/11.ONF.</w:t>
      </w:r>
    </w:p>
    <w:p w:rsidR="00072AA8" w:rsidRPr="00491DA7" w:rsidRDefault="00072AA8" w:rsidP="00072AA8">
      <w:pPr>
        <w:spacing w:after="120" w:line="480" w:lineRule="auto"/>
        <w:ind w:left="709" w:hanging="709"/>
        <w:rPr>
          <w:lang w:val="es-CO"/>
        </w:rPr>
      </w:pPr>
      <w:r w:rsidRPr="00491DA7">
        <w:rPr>
          <w:lang w:val="es-CO"/>
        </w:rPr>
        <w:t>Declaración de Helsinki de la Asociación médica mundial. (1964). Principios éticos para las investigaciones médicas en seres humanos.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/>
        </w:rPr>
      </w:pPr>
      <w:r w:rsidRPr="00491DA7">
        <w:rPr>
          <w:rStyle w:val="singlehighlightclass"/>
          <w:lang w:val="it-IT"/>
        </w:rPr>
        <w:t>Dove</w:t>
      </w:r>
      <w:r w:rsidRPr="00491DA7">
        <w:rPr>
          <w:lang w:val="it-IT"/>
        </w:rPr>
        <w:t xml:space="preserve">, N. L., &amp; </w:t>
      </w:r>
      <w:r w:rsidRPr="00491DA7">
        <w:rPr>
          <w:rStyle w:val="singlehighlightclass"/>
          <w:lang w:val="it-IT"/>
        </w:rPr>
        <w:t>Wiederman</w:t>
      </w:r>
      <w:r w:rsidRPr="00491DA7">
        <w:rPr>
          <w:lang w:val="it-IT"/>
        </w:rPr>
        <w:t xml:space="preserve">, M. W. (2000). </w:t>
      </w:r>
      <w:r w:rsidRPr="00E538C1">
        <w:rPr>
          <w:lang w:val="en-US"/>
        </w:rPr>
        <w:t xml:space="preserve">Cognitive distraction and women's sexual functioning. </w:t>
      </w:r>
      <w:r w:rsidRPr="00E538C1">
        <w:rPr>
          <w:i/>
          <w:lang w:val="en-US"/>
        </w:rPr>
        <w:t>Journal of Sex &amp; Marital Therapy, 26</w:t>
      </w:r>
      <w:r w:rsidRPr="00E538C1">
        <w:rPr>
          <w:lang w:val="en-US"/>
        </w:rPr>
        <w:t>, 67-78. doi: 10.1080/009262300278650</w:t>
      </w:r>
    </w:p>
    <w:p w:rsidR="00072AA8" w:rsidRPr="00491DA7" w:rsidRDefault="00072AA8" w:rsidP="00072AA8">
      <w:pPr>
        <w:spacing w:after="120" w:line="480" w:lineRule="auto"/>
        <w:ind w:left="709" w:hanging="709"/>
        <w:rPr>
          <w:lang w:val="pt-BR"/>
        </w:rPr>
      </w:pPr>
      <w:r w:rsidRPr="00E538C1">
        <w:rPr>
          <w:lang w:val="en-US"/>
        </w:rPr>
        <w:lastRenderedPageBreak/>
        <w:t xml:space="preserve">Elosua, P., Mujika, J., Almeida, L. S., &amp; Hermosilla, D. (2014). </w:t>
      </w:r>
      <w:r w:rsidRPr="00491DA7">
        <w:rPr>
          <w:lang w:val="es-CO"/>
        </w:rPr>
        <w:t xml:space="preserve">Procedimientos analítico-racionales en la adaptación de test. Adaptación al español de la batería de pruebas de razonamiento. </w:t>
      </w:r>
      <w:r w:rsidRPr="00491DA7">
        <w:rPr>
          <w:i/>
          <w:lang w:val="pt-BR"/>
        </w:rPr>
        <w:t>Revista Latinoamericana de Psicologia, 46</w:t>
      </w:r>
      <w:r w:rsidRPr="00491DA7">
        <w:rPr>
          <w:lang w:val="pt-BR"/>
        </w:rPr>
        <w:t>,</w:t>
      </w:r>
      <w:r w:rsidRPr="00491DA7">
        <w:rPr>
          <w:i/>
          <w:lang w:val="pt-BR"/>
        </w:rPr>
        <w:t xml:space="preserve"> </w:t>
      </w:r>
      <w:r w:rsidRPr="00491DA7">
        <w:rPr>
          <w:lang w:val="pt-BR"/>
        </w:rPr>
        <w:t>117- 126. doi:10.1016/S0120-0534(14)70015-9</w:t>
      </w:r>
    </w:p>
    <w:p w:rsidR="00072AA8" w:rsidRPr="00E538C1" w:rsidRDefault="00072AA8" w:rsidP="00072AA8">
      <w:pPr>
        <w:spacing w:after="120" w:line="480" w:lineRule="auto"/>
        <w:ind w:left="709" w:hanging="709"/>
        <w:rPr>
          <w:lang w:val="en-US"/>
        </w:rPr>
      </w:pPr>
      <w:r w:rsidRPr="00491DA7">
        <w:rPr>
          <w:lang w:val="pt-BR"/>
        </w:rPr>
        <w:t>Finkelhor, D. (1981). The sexual abuse of boys.</w:t>
      </w:r>
      <w:r w:rsidRPr="00491DA7">
        <w:rPr>
          <w:i/>
          <w:lang w:val="pt-BR"/>
        </w:rPr>
        <w:t xml:space="preserve"> </w:t>
      </w:r>
      <w:r w:rsidRPr="00E538C1">
        <w:rPr>
          <w:i/>
          <w:lang w:val="en-US"/>
        </w:rPr>
        <w:t>Victimology, 6,</w:t>
      </w:r>
      <w:r w:rsidRPr="00E538C1">
        <w:rPr>
          <w:lang w:val="en-US"/>
        </w:rPr>
        <w:t xml:space="preserve"> 76–84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 w:eastAsia="es-CO"/>
        </w:rPr>
      </w:pPr>
      <w:r w:rsidRPr="00E538C1">
        <w:rPr>
          <w:lang w:val="en-US" w:eastAsia="es-CO"/>
        </w:rPr>
        <w:t>Fisher, W. A., White, L. A., Byrne, D., &amp; Kelley, K. (1988): Erotophobia</w:t>
      </w:r>
      <w:r w:rsidRPr="00E538C1">
        <w:rPr>
          <w:rFonts w:ascii="Cambria Math" w:hAnsi="Cambria Math" w:cs="Cambria Math"/>
          <w:lang w:val="en-US" w:eastAsia="es-CO"/>
        </w:rPr>
        <w:t>‐</w:t>
      </w:r>
      <w:r w:rsidRPr="00E538C1">
        <w:rPr>
          <w:lang w:val="en-US" w:eastAsia="es-CO"/>
        </w:rPr>
        <w:t xml:space="preserve">erotophilia as a dimension of personality. </w:t>
      </w:r>
      <w:r w:rsidRPr="00E538C1">
        <w:rPr>
          <w:i/>
          <w:lang w:val="en-US" w:eastAsia="es-CO"/>
        </w:rPr>
        <w:t>The</w:t>
      </w:r>
      <w:r w:rsidRPr="00E538C1">
        <w:rPr>
          <w:lang w:val="en-US" w:eastAsia="es-CO"/>
        </w:rPr>
        <w:t xml:space="preserve"> </w:t>
      </w:r>
      <w:r w:rsidRPr="00E538C1">
        <w:rPr>
          <w:i/>
          <w:lang w:val="en-US" w:eastAsia="es-CO"/>
        </w:rPr>
        <w:t>Journal of Sex Research</w:t>
      </w:r>
      <w:r w:rsidRPr="00E538C1">
        <w:rPr>
          <w:lang w:val="en-US" w:eastAsia="es-CO"/>
        </w:rPr>
        <w:t xml:space="preserve">, </w:t>
      </w:r>
      <w:r w:rsidRPr="00E538C1">
        <w:rPr>
          <w:i/>
          <w:lang w:val="en-US" w:eastAsia="es-CO"/>
        </w:rPr>
        <w:t>25</w:t>
      </w:r>
      <w:r w:rsidRPr="00E538C1">
        <w:rPr>
          <w:lang w:val="en-US" w:eastAsia="es-CO"/>
        </w:rPr>
        <w:t>, 123-151. doi: 10.1080/00224498809551448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 w:eastAsia="es-CO"/>
        </w:rPr>
      </w:pPr>
      <w:r w:rsidRPr="00E538C1">
        <w:rPr>
          <w:lang w:val="en-US" w:eastAsia="es-CO"/>
        </w:rPr>
        <w:t xml:space="preserve">Gaynor, P., &amp; Underwood, J. (1995). Conceptualizing and measuring sexual self-esteem. In: P. Shrout &amp; S. Fiske (Eds.) </w:t>
      </w:r>
      <w:r w:rsidRPr="00E538C1">
        <w:rPr>
          <w:i/>
          <w:lang w:val="en-US" w:eastAsia="es-CO"/>
        </w:rPr>
        <w:t>Personality Research, Methods and Theory</w:t>
      </w:r>
      <w:r w:rsidRPr="00E538C1">
        <w:rPr>
          <w:lang w:val="en-US" w:eastAsia="es-CO"/>
        </w:rPr>
        <w:t>: A Festschrift Honoring Donald W. Fiske. Hillsdale, NJ: Erlbaum.</w:t>
      </w:r>
    </w:p>
    <w:p w:rsidR="00072AA8" w:rsidRPr="00491DA7" w:rsidRDefault="00072AA8" w:rsidP="00072AA8">
      <w:pPr>
        <w:autoSpaceDE w:val="0"/>
        <w:autoSpaceDN w:val="0"/>
        <w:adjustRightInd w:val="0"/>
        <w:spacing w:line="480" w:lineRule="auto"/>
        <w:ind w:left="709" w:hanging="709"/>
        <w:rPr>
          <w:highlight w:val="yellow"/>
          <w:lang w:val="es-CO"/>
        </w:rPr>
      </w:pPr>
      <w:r w:rsidRPr="00E538C1">
        <w:rPr>
          <w:rFonts w:eastAsia="Calibri"/>
          <w:lang w:val="en-US" w:eastAsia="en-US"/>
        </w:rPr>
        <w:t xml:space="preserve">Giordano, F. G., &amp; Rush, C. L. (2010). Self-esteem and sexuality: An exploration of differentiation and attachment. In M. H. Guindon (Ed.), </w:t>
      </w:r>
      <w:r w:rsidRPr="00E538C1">
        <w:rPr>
          <w:rFonts w:eastAsia="Calibri"/>
          <w:i/>
          <w:lang w:val="en-US" w:eastAsia="en-US"/>
        </w:rPr>
        <w:t>Self-esteem across the lifespan: Issues and interventions</w:t>
      </w:r>
      <w:r w:rsidRPr="00E538C1">
        <w:rPr>
          <w:rFonts w:eastAsia="Calibri"/>
          <w:lang w:val="en-US" w:eastAsia="en-US"/>
        </w:rPr>
        <w:t xml:space="preserve"> (pp. 205–218). </w:t>
      </w:r>
      <w:r w:rsidRPr="00491DA7">
        <w:rPr>
          <w:rFonts w:eastAsia="Calibri"/>
          <w:lang w:val="es-CO" w:eastAsia="en-US"/>
        </w:rPr>
        <w:t>New York, NY: Routledge.</w:t>
      </w:r>
    </w:p>
    <w:p w:rsidR="00072AA8" w:rsidRPr="00491DA7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s-CO"/>
        </w:rPr>
      </w:pPr>
      <w:r w:rsidRPr="00CB7996">
        <w:rPr>
          <w:lang w:val="es-CO"/>
        </w:rPr>
        <w:t>Gómez-Lugo, M., Espada, J., Morales, A., Marchal-Bertrand, L., Soler, F. y</w:t>
      </w:r>
      <w:r w:rsidR="00CB7996" w:rsidRPr="00CB7996">
        <w:rPr>
          <w:lang w:val="es-CO"/>
        </w:rPr>
        <w:t xml:space="preserve"> Vallejo-Medina, P. (2015</w:t>
      </w:r>
      <w:r w:rsidRPr="00CB7996">
        <w:rPr>
          <w:lang w:val="es-CO"/>
        </w:rPr>
        <w:t>). Adaptación, validación, fiabilidad y equivalencia factorial de la escala de autoestima de Rosenberg en población colombiana.</w:t>
      </w:r>
      <w:r w:rsidR="00CB7996" w:rsidRPr="00CB7996">
        <w:rPr>
          <w:lang w:val="es-CO"/>
        </w:rPr>
        <w:t xml:space="preserve"> Paper under r</w:t>
      </w:r>
      <w:r w:rsidR="00CB7996">
        <w:rPr>
          <w:lang w:val="es-CO"/>
        </w:rPr>
        <w:t>evisión.</w:t>
      </w:r>
      <w:r w:rsidRPr="00491DA7">
        <w:rPr>
          <w:lang w:val="es-CO"/>
        </w:rPr>
        <w:t xml:space="preserve"> 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 w:eastAsia="es-CO"/>
        </w:rPr>
      </w:pPr>
      <w:r w:rsidRPr="00E538C1">
        <w:rPr>
          <w:rFonts w:eastAsia="Calibri"/>
          <w:lang w:val="en-US" w:eastAsia="en-US"/>
        </w:rPr>
        <w:t xml:space="preserve">Harden, P. (2014). A Sex-Positive Framework for Research on Adolescent Sexuality. </w:t>
      </w:r>
      <w:r w:rsidRPr="00E538C1">
        <w:rPr>
          <w:rFonts w:eastAsia="Calibri"/>
          <w:i/>
          <w:lang w:val="en-US" w:eastAsia="en-US"/>
        </w:rPr>
        <w:t>Perspectives on Psychological Science, 9</w:t>
      </w:r>
      <w:r w:rsidRPr="00E538C1">
        <w:rPr>
          <w:rFonts w:eastAsia="Calibri"/>
          <w:lang w:val="en-US" w:eastAsia="en-US"/>
        </w:rPr>
        <w:t>, 455-469. doi: 10.1177/1745691614535934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/>
        </w:rPr>
      </w:pPr>
      <w:r w:rsidRPr="00E538C1">
        <w:rPr>
          <w:lang w:val="en-US" w:eastAsia="es-CO"/>
        </w:rPr>
        <w:t xml:space="preserve">Harter, S. (1982). The perceived competence scale for children. </w:t>
      </w:r>
      <w:r w:rsidRPr="00E538C1">
        <w:rPr>
          <w:i/>
          <w:lang w:val="en-US" w:eastAsia="es-CO"/>
        </w:rPr>
        <w:t>Child Development, 53</w:t>
      </w:r>
      <w:r w:rsidRPr="00E538C1">
        <w:rPr>
          <w:lang w:val="en-US" w:eastAsia="es-CO"/>
        </w:rPr>
        <w:t xml:space="preserve">, 87-97. </w:t>
      </w:r>
      <w:r w:rsidRPr="00E538C1">
        <w:rPr>
          <w:lang w:val="en-US"/>
        </w:rPr>
        <w:t>doi: 10.2307/1129640</w:t>
      </w:r>
    </w:p>
    <w:p w:rsidR="00072AA8" w:rsidRPr="00E538C1" w:rsidRDefault="00072AA8" w:rsidP="00072AA8">
      <w:pPr>
        <w:spacing w:after="120" w:line="480" w:lineRule="auto"/>
        <w:ind w:left="708" w:hanging="708"/>
        <w:rPr>
          <w:lang w:val="en-US"/>
        </w:rPr>
      </w:pPr>
      <w:r w:rsidRPr="00E538C1">
        <w:rPr>
          <w:lang w:val="en-US"/>
        </w:rPr>
        <w:lastRenderedPageBreak/>
        <w:t>Heinrichs, K. D., MacKnee, C., Auton-Cuff, F.</w:t>
      </w:r>
      <w:r w:rsidRPr="00E538C1">
        <w:rPr>
          <w:rStyle w:val="Hipervnculo"/>
          <w:color w:val="auto"/>
          <w:lang w:val="en-US"/>
        </w:rPr>
        <w:t>,</w:t>
      </w:r>
      <w:r w:rsidRPr="00E538C1">
        <w:rPr>
          <w:lang w:val="en-US"/>
        </w:rPr>
        <w:t xml:space="preserve"> &amp; Domene, J. F. (2009). Factors affecting sexual</w:t>
      </w:r>
      <w:r w:rsidR="00CD62CA" w:rsidRPr="00E538C1">
        <w:rPr>
          <w:lang w:val="en-US"/>
        </w:rPr>
        <w:t xml:space="preserve"> self-esteem</w:t>
      </w:r>
      <w:r w:rsidRPr="00E538C1">
        <w:rPr>
          <w:lang w:val="en-US"/>
        </w:rPr>
        <w:t xml:space="preserve"> among young adult women in long-term heterosexual relationships</w:t>
      </w:r>
      <w:r w:rsidRPr="00E538C1">
        <w:rPr>
          <w:rStyle w:val="documenttype"/>
          <w:bCs/>
          <w:lang w:val="en-US"/>
        </w:rPr>
        <w:t xml:space="preserve">. </w:t>
      </w:r>
      <w:r w:rsidRPr="00E538C1">
        <w:rPr>
          <w:bCs/>
          <w:i/>
          <w:lang w:val="en-US"/>
        </w:rPr>
        <w:t>Canadian Journal of Human Sexuality</w:t>
      </w:r>
      <w:r w:rsidRPr="00E538C1">
        <w:rPr>
          <w:i/>
          <w:lang w:val="en-US"/>
        </w:rPr>
        <w:t>, 18</w:t>
      </w:r>
      <w:r w:rsidRPr="00E538C1">
        <w:rPr>
          <w:lang w:val="en-US"/>
        </w:rPr>
        <w:t>(4), 183-199.</w:t>
      </w:r>
    </w:p>
    <w:p w:rsidR="00072AA8" w:rsidRPr="00491DA7" w:rsidRDefault="00072AA8" w:rsidP="00072AA8">
      <w:pPr>
        <w:spacing w:after="120" w:line="480" w:lineRule="auto"/>
        <w:ind w:left="709" w:hanging="709"/>
        <w:rPr>
          <w:bCs/>
          <w:lang w:val="es-CO"/>
        </w:rPr>
      </w:pPr>
      <w:r w:rsidRPr="00E538C1">
        <w:rPr>
          <w:lang w:val="en-US"/>
        </w:rPr>
        <w:t xml:space="preserve">Hu, L., &amp; Bentler, P. M. (1999). </w:t>
      </w:r>
      <w:r w:rsidRPr="00E538C1">
        <w:rPr>
          <w:bCs/>
          <w:lang w:val="en-US"/>
        </w:rPr>
        <w:t xml:space="preserve">Cutoff criteria for fit indexes in covariance structure analysis: Conventional criteria versus new alternatives. </w:t>
      </w:r>
      <w:r w:rsidRPr="00491DA7">
        <w:rPr>
          <w:bCs/>
          <w:i/>
          <w:lang w:val="es-CO"/>
        </w:rPr>
        <w:t>Structural Equation Modeling</w:t>
      </w:r>
      <w:r w:rsidRPr="00491DA7">
        <w:rPr>
          <w:i/>
          <w:lang w:val="es-CO"/>
        </w:rPr>
        <w:t xml:space="preserve">, 6, </w:t>
      </w:r>
      <w:r w:rsidRPr="00491DA7">
        <w:rPr>
          <w:lang w:val="es-CO"/>
        </w:rPr>
        <w:t>1-55. doi: 10.1080/10705519909540118</w:t>
      </w:r>
    </w:p>
    <w:p w:rsidR="00072AA8" w:rsidRPr="00491DA7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s-CO" w:eastAsia="es-CO"/>
        </w:rPr>
      </w:pPr>
      <w:r w:rsidRPr="00491DA7">
        <w:rPr>
          <w:lang w:val="es-CO" w:eastAsia="es-CO"/>
        </w:rPr>
        <w:t xml:space="preserve">Informe Belmont. (1978). </w:t>
      </w:r>
      <w:r w:rsidRPr="00491DA7">
        <w:rPr>
          <w:lang w:val="es-CO"/>
        </w:rPr>
        <w:t>Principios éticos y pautas para la protección de los seres humanos en la investigación. Departamento de Salud, Educación y Bienestar de los Estados Unidos.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 w:eastAsia="es-CO"/>
        </w:rPr>
      </w:pPr>
      <w:r w:rsidRPr="00E538C1">
        <w:rPr>
          <w:lang w:val="en-US" w:eastAsia="es-CO"/>
        </w:rPr>
        <w:t>James, R. (2011).</w:t>
      </w:r>
      <w:r w:rsidRPr="00E538C1">
        <w:rPr>
          <w:lang w:val="en-US"/>
        </w:rPr>
        <w:t xml:space="preserve"> </w:t>
      </w:r>
      <w:r w:rsidRPr="00E538C1">
        <w:rPr>
          <w:lang w:val="en-US" w:eastAsia="es-CO"/>
        </w:rPr>
        <w:t xml:space="preserve">Correlates of sexual self-esteem in a sample of substance-abusing women. </w:t>
      </w:r>
      <w:r w:rsidRPr="00E538C1">
        <w:rPr>
          <w:i/>
          <w:lang w:val="en-US" w:eastAsia="es-CO"/>
        </w:rPr>
        <w:t>Journal of Psychoactive Drugs, 43</w:t>
      </w:r>
      <w:r w:rsidRPr="00E538C1">
        <w:rPr>
          <w:lang w:val="en-US" w:eastAsia="es-CO"/>
        </w:rPr>
        <w:t>, 220-228. doi: 10.1080/02791072.2011.605700</w:t>
      </w:r>
    </w:p>
    <w:p w:rsidR="00072AA8" w:rsidRPr="00E538C1" w:rsidRDefault="00072AA8" w:rsidP="00072AA8">
      <w:pPr>
        <w:autoSpaceDE w:val="0"/>
        <w:autoSpaceDN w:val="0"/>
        <w:adjustRightInd w:val="0"/>
        <w:spacing w:line="480" w:lineRule="auto"/>
        <w:ind w:left="708" w:hanging="708"/>
        <w:rPr>
          <w:lang w:val="en-US" w:eastAsia="es-CO"/>
        </w:rPr>
      </w:pPr>
      <w:r w:rsidRPr="00E538C1">
        <w:rPr>
          <w:rFonts w:eastAsia="TimesNewRoman"/>
          <w:lang w:val="en-US" w:eastAsia="en-US"/>
        </w:rPr>
        <w:t xml:space="preserve">Kelley, E. (2012). </w:t>
      </w:r>
      <w:r w:rsidRPr="00E538C1">
        <w:rPr>
          <w:rFonts w:eastAsia="TimesNewRoman"/>
          <w:i/>
          <w:lang w:val="en-US" w:eastAsia="en-US"/>
        </w:rPr>
        <w:t>An examination of the roles of cognitive-affective sexual appraisals and coping strategies in the relationship between sexual victimization and sexual functioning</w:t>
      </w:r>
      <w:r w:rsidRPr="00E538C1">
        <w:rPr>
          <w:rFonts w:eastAsia="TimesNewRoman"/>
          <w:lang w:val="en-US" w:eastAsia="en-US"/>
        </w:rPr>
        <w:t xml:space="preserve">. </w:t>
      </w:r>
      <w:r w:rsidR="00CD62CA" w:rsidRPr="00E538C1">
        <w:rPr>
          <w:rFonts w:eastAsia="TimesNewRoman"/>
          <w:lang w:val="en-US" w:eastAsia="en-US"/>
        </w:rPr>
        <w:t>Master’s dissertation</w:t>
      </w:r>
      <w:r w:rsidRPr="00E538C1">
        <w:rPr>
          <w:rFonts w:eastAsia="TimesNewRoman"/>
          <w:lang w:val="en-US" w:eastAsia="en-US"/>
        </w:rPr>
        <w:t>, Ohio University.</w:t>
      </w:r>
    </w:p>
    <w:p w:rsidR="00072AA8" w:rsidRPr="00E538C1" w:rsidRDefault="00072AA8" w:rsidP="00072AA8">
      <w:pPr>
        <w:spacing w:line="480" w:lineRule="auto"/>
        <w:ind w:left="708" w:hanging="708"/>
        <w:contextualSpacing/>
        <w:rPr>
          <w:lang w:val="en-US" w:eastAsia="es-CO"/>
        </w:rPr>
      </w:pPr>
      <w:r w:rsidRPr="00E538C1">
        <w:rPr>
          <w:lang w:val="en-US" w:eastAsia="es-CO"/>
        </w:rPr>
        <w:t xml:space="preserve">Labbate, L. A., &amp; Lare, S. B. (2001). Sexual dysfunction in male psychiatric outpatients: validity of the Massachusetts General Hospital Sexual Functioning Questionnaire. </w:t>
      </w:r>
      <w:r w:rsidRPr="00E538C1">
        <w:rPr>
          <w:i/>
          <w:iCs/>
          <w:lang w:val="en-US" w:eastAsia="es-CO"/>
        </w:rPr>
        <w:t>Psychother Psychosom, 70</w:t>
      </w:r>
      <w:r w:rsidRPr="00E538C1">
        <w:rPr>
          <w:iCs/>
          <w:lang w:val="en-US" w:eastAsia="es-CO"/>
        </w:rPr>
        <w:t>,</w:t>
      </w:r>
      <w:r w:rsidRPr="00E538C1">
        <w:rPr>
          <w:i/>
          <w:iCs/>
          <w:lang w:val="en-US" w:eastAsia="es-CO"/>
        </w:rPr>
        <w:t xml:space="preserve"> </w:t>
      </w:r>
      <w:r w:rsidRPr="00E538C1">
        <w:rPr>
          <w:lang w:val="en-US" w:eastAsia="es-CO"/>
        </w:rPr>
        <w:t>221-225.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 w:eastAsia="es-CO"/>
        </w:rPr>
      </w:pPr>
      <w:r w:rsidRPr="00CB2935">
        <w:rPr>
          <w:lang w:val="es-CO" w:eastAsia="es-CO"/>
        </w:rPr>
        <w:t xml:space="preserve">La Rocque, C. L., &amp; Cioe, J. (2011). </w:t>
      </w:r>
      <w:r w:rsidRPr="00E538C1">
        <w:rPr>
          <w:lang w:val="en-US"/>
        </w:rPr>
        <w:t xml:space="preserve">An evaluation of the relationship between body image and sexual avoidance. </w:t>
      </w:r>
      <w:r w:rsidRPr="00E538C1">
        <w:rPr>
          <w:bCs/>
          <w:i/>
          <w:lang w:val="en-US"/>
        </w:rPr>
        <w:t>Journal of Sex Research</w:t>
      </w:r>
      <w:r w:rsidRPr="00E538C1">
        <w:rPr>
          <w:i/>
          <w:lang w:val="en-US"/>
        </w:rPr>
        <w:t>, 48</w:t>
      </w:r>
      <w:r w:rsidRPr="00E538C1">
        <w:rPr>
          <w:lang w:val="en-US"/>
        </w:rPr>
        <w:t>, 397-408. doi: 10.1080/00224499.2010.499522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 w:eastAsia="es-CO"/>
        </w:rPr>
      </w:pPr>
      <w:r w:rsidRPr="00E538C1">
        <w:rPr>
          <w:lang w:val="en-US" w:eastAsia="es-CO"/>
        </w:rPr>
        <w:lastRenderedPageBreak/>
        <w:t xml:space="preserve">Lemieux, S. R., &amp; Byers, E. S. (2008). The sexual well-being of women who have experienced child sexual abuse. </w:t>
      </w:r>
      <w:r w:rsidRPr="00E538C1">
        <w:rPr>
          <w:i/>
          <w:lang w:val="en-US" w:eastAsia="es-CO"/>
        </w:rPr>
        <w:t>Psychology of Women Quarterly, 32</w:t>
      </w:r>
      <w:r w:rsidRPr="00E538C1">
        <w:rPr>
          <w:lang w:val="en-US" w:eastAsia="es-CO"/>
        </w:rPr>
        <w:t>, 126–144. doi</w:t>
      </w:r>
      <w:r w:rsidRPr="00E538C1">
        <w:rPr>
          <w:lang w:val="en-US"/>
        </w:rPr>
        <w:t>: 10.1111/j.1471-6402.2008.00418.x</w:t>
      </w:r>
    </w:p>
    <w:p w:rsidR="00072AA8" w:rsidRPr="00E538C1" w:rsidRDefault="00072AA8" w:rsidP="00072AA8">
      <w:pPr>
        <w:shd w:val="clear" w:color="auto" w:fill="FFFFFF"/>
        <w:spacing w:after="120" w:line="480" w:lineRule="auto"/>
        <w:ind w:left="708" w:hanging="708"/>
        <w:textAlignment w:val="baseline"/>
        <w:rPr>
          <w:lang w:val="en-US"/>
        </w:rPr>
      </w:pPr>
      <w:r w:rsidRPr="00E538C1">
        <w:rPr>
          <w:bdr w:val="none" w:sz="0" w:space="0" w:color="auto" w:frame="1"/>
          <w:lang w:val="en-US"/>
        </w:rPr>
        <w:t>McCabe</w:t>
      </w:r>
      <w:r w:rsidRPr="00E538C1">
        <w:rPr>
          <w:lang w:val="en-US"/>
        </w:rPr>
        <w:t>, M., &amp;</w:t>
      </w:r>
      <w:r w:rsidRPr="00E538C1">
        <w:rPr>
          <w:bdr w:val="none" w:sz="0" w:space="0" w:color="auto" w:frame="1"/>
          <w:lang w:val="en-US"/>
        </w:rPr>
        <w:t xml:space="preserve"> Taleporos</w:t>
      </w:r>
      <w:r w:rsidRPr="00E538C1">
        <w:rPr>
          <w:lang w:val="en-US"/>
        </w:rPr>
        <w:t xml:space="preserve">, G. (2003). </w:t>
      </w:r>
      <w:r w:rsidRPr="00E538C1">
        <w:rPr>
          <w:bCs/>
          <w:spacing w:val="5"/>
          <w:lang w:val="en-US"/>
        </w:rPr>
        <w:t xml:space="preserve">Sexual esteem, sexual satisfaction, and sexual behavior among people with physical disability. </w:t>
      </w:r>
      <w:r w:rsidRPr="00E538C1">
        <w:rPr>
          <w:i/>
          <w:bdr w:val="none" w:sz="0" w:space="0" w:color="auto" w:frame="1"/>
          <w:lang w:val="en-US"/>
        </w:rPr>
        <w:t>Archives of Sexual Behavior</w:t>
      </w:r>
      <w:r w:rsidRPr="00E538C1">
        <w:rPr>
          <w:i/>
          <w:lang w:val="en-US"/>
        </w:rPr>
        <w:t xml:space="preserve">, </w:t>
      </w:r>
      <w:r w:rsidRPr="00E538C1">
        <w:rPr>
          <w:i/>
          <w:bdr w:val="none" w:sz="0" w:space="0" w:color="auto" w:frame="1"/>
          <w:lang w:val="en-US"/>
        </w:rPr>
        <w:t>2003</w:t>
      </w:r>
      <w:r w:rsidRPr="00E538C1">
        <w:rPr>
          <w:i/>
          <w:lang w:val="en-US"/>
        </w:rPr>
        <w:t>,</w:t>
      </w:r>
      <w:r w:rsidRPr="00E538C1">
        <w:rPr>
          <w:rStyle w:val="apple-converted-space"/>
          <w:i/>
          <w:lang w:val="en-US"/>
        </w:rPr>
        <w:t> </w:t>
      </w:r>
      <w:r w:rsidRPr="00E538C1">
        <w:rPr>
          <w:i/>
          <w:bdr w:val="none" w:sz="0" w:space="0" w:color="auto" w:frame="1"/>
          <w:lang w:val="en-US"/>
        </w:rPr>
        <w:t>32</w:t>
      </w:r>
      <w:r w:rsidRPr="00E538C1">
        <w:rPr>
          <w:lang w:val="en-US"/>
        </w:rPr>
        <w:t>,</w:t>
      </w:r>
      <w:r w:rsidRPr="00E538C1">
        <w:rPr>
          <w:rStyle w:val="apple-converted-space"/>
          <w:lang w:val="en-US"/>
        </w:rPr>
        <w:t> </w:t>
      </w:r>
      <w:r w:rsidRPr="00E538C1">
        <w:rPr>
          <w:bdr w:val="none" w:sz="0" w:space="0" w:color="auto" w:frame="1"/>
          <w:lang w:val="en-US"/>
        </w:rPr>
        <w:t>359-369.</w:t>
      </w:r>
    </w:p>
    <w:p w:rsidR="00072AA8" w:rsidRPr="00CB2935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 w:eastAsia="es-CO"/>
        </w:rPr>
      </w:pPr>
      <w:r w:rsidRPr="00E538C1">
        <w:rPr>
          <w:lang w:val="en-US" w:eastAsia="es-CO"/>
        </w:rPr>
        <w:t xml:space="preserve">Markus, H., &amp; Wurf, E. (1987). The dynamic self-concept: A social-psychological perspective. </w:t>
      </w:r>
      <w:r w:rsidRPr="00CB2935">
        <w:rPr>
          <w:i/>
          <w:lang w:val="en-US" w:eastAsia="es-CO"/>
        </w:rPr>
        <w:t>Annual Review of Psychology, 38</w:t>
      </w:r>
      <w:r w:rsidRPr="00CB2935">
        <w:rPr>
          <w:lang w:val="en-US" w:eastAsia="es-CO"/>
        </w:rPr>
        <w:t xml:space="preserve">, 299-337. doi: </w:t>
      </w:r>
      <w:r w:rsidRPr="00CB2935">
        <w:rPr>
          <w:lang w:val="en-US"/>
        </w:rPr>
        <w:t>10.1146/annurev.ps.38.020187.001503</w:t>
      </w:r>
    </w:p>
    <w:p w:rsidR="00072AA8" w:rsidRPr="00491DA7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s-CO"/>
        </w:rPr>
      </w:pPr>
      <w:r w:rsidRPr="00C40D7B">
        <w:rPr>
          <w:lang w:val="es-CO"/>
        </w:rPr>
        <w:t xml:space="preserve">Marchal-Bertrand, L., </w:t>
      </w:r>
      <w:r w:rsidR="00CB7996" w:rsidRPr="00C40D7B">
        <w:rPr>
          <w:lang w:val="es-CO"/>
        </w:rPr>
        <w:t>Espada, J</w:t>
      </w:r>
      <w:r w:rsidR="00CB7996" w:rsidRPr="00C40D7B">
        <w:rPr>
          <w:lang w:val="es-CO"/>
        </w:rPr>
        <w:t xml:space="preserve">. P., </w:t>
      </w:r>
      <w:r w:rsidR="00CB7996" w:rsidRPr="00C40D7B">
        <w:rPr>
          <w:lang w:val="es-CO"/>
        </w:rPr>
        <w:t>Morales, A</w:t>
      </w:r>
      <w:r w:rsidR="00CB7996" w:rsidRPr="00C40D7B">
        <w:rPr>
          <w:lang w:val="es-CO"/>
        </w:rPr>
        <w:t xml:space="preserve">., </w:t>
      </w:r>
      <w:r w:rsidRPr="00C40D7B">
        <w:rPr>
          <w:lang w:val="es-CO"/>
        </w:rPr>
        <w:t>Gómez-Lugo, M., Soler, F.</w:t>
      </w:r>
      <w:r w:rsidR="00C40D7B" w:rsidRPr="00C40D7B">
        <w:rPr>
          <w:lang w:val="es-CO"/>
        </w:rPr>
        <w:t>,</w:t>
      </w:r>
      <w:r w:rsidRPr="00C40D7B">
        <w:rPr>
          <w:lang w:val="es-CO"/>
        </w:rPr>
        <w:t xml:space="preserve"> </w:t>
      </w:r>
      <w:r w:rsidR="00CB7996" w:rsidRPr="00C40D7B">
        <w:rPr>
          <w:lang w:val="es-CO"/>
        </w:rPr>
        <w:t>&amp; Vallejo-Medina, P. (2015</w:t>
      </w:r>
      <w:r w:rsidRPr="00C40D7B">
        <w:rPr>
          <w:lang w:val="es-CO"/>
        </w:rPr>
        <w:t xml:space="preserve">). </w:t>
      </w:r>
      <w:r w:rsidR="00CB7996">
        <w:t>Adaptación, validación, fiabilidad del Massachussets General Hospital-Sexual Functioning Questionnaire en una muestra colombiana y equivalencia factorial con la versión española</w:t>
      </w:r>
      <w:r w:rsidRPr="00CB7996">
        <w:rPr>
          <w:lang w:val="es-CO"/>
        </w:rPr>
        <w:t>.</w:t>
      </w:r>
      <w:r w:rsidR="00CB7996">
        <w:rPr>
          <w:lang w:val="es-CO"/>
        </w:rPr>
        <w:t xml:space="preserve"> (Paper under review)</w:t>
      </w:r>
      <w:r w:rsidRPr="00491DA7">
        <w:rPr>
          <w:lang w:val="es-CO"/>
        </w:rPr>
        <w:t xml:space="preserve"> 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 w:eastAsia="es-CO"/>
        </w:rPr>
      </w:pPr>
      <w:r w:rsidRPr="00CB2935">
        <w:rPr>
          <w:lang w:val="es-CO" w:eastAsia="es-CO"/>
        </w:rPr>
        <w:t xml:space="preserve">Martín-Albo, J., Núñez, J., Navarro, J., &amp; Grijalbo, F. (2007). </w:t>
      </w:r>
      <w:r w:rsidRPr="00E538C1">
        <w:rPr>
          <w:lang w:val="en-US" w:eastAsia="es-CO"/>
        </w:rPr>
        <w:t xml:space="preserve">The Rosenberg self-esteem: Translation and validation in university students. </w:t>
      </w:r>
      <w:r w:rsidRPr="00E538C1">
        <w:rPr>
          <w:i/>
          <w:lang w:val="en-US" w:eastAsia="es-CO"/>
        </w:rPr>
        <w:t>The Spanish Journal of Psychology, 10</w:t>
      </w:r>
      <w:r w:rsidRPr="00E538C1">
        <w:rPr>
          <w:lang w:val="en-US" w:eastAsia="es-CO"/>
        </w:rPr>
        <w:t xml:space="preserve">, 458-467. </w:t>
      </w:r>
      <w:r w:rsidRPr="00E538C1">
        <w:rPr>
          <w:shd w:val="clear" w:color="auto" w:fill="FFFFFF"/>
          <w:lang w:val="en-US"/>
        </w:rPr>
        <w:t>doi:</w:t>
      </w:r>
      <w:r w:rsidRPr="00E538C1">
        <w:rPr>
          <w:lang w:val="en-US"/>
        </w:rPr>
        <w:t xml:space="preserve"> </w:t>
      </w:r>
      <w:r w:rsidRPr="00E538C1">
        <w:rPr>
          <w:shd w:val="clear" w:color="auto" w:fill="FFFFFF"/>
          <w:lang w:val="en-US"/>
        </w:rPr>
        <w:t>http://dx.doi.org/10.1017/S1138741600006727</w:t>
      </w:r>
    </w:p>
    <w:p w:rsidR="00072AA8" w:rsidRPr="00E538C1" w:rsidRDefault="00072AA8" w:rsidP="00072AA8">
      <w:pPr>
        <w:spacing w:after="120" w:line="480" w:lineRule="auto"/>
        <w:ind w:left="709" w:hanging="709"/>
        <w:rPr>
          <w:lang w:val="en-US"/>
        </w:rPr>
      </w:pPr>
      <w:r w:rsidRPr="00E538C1">
        <w:rPr>
          <w:lang w:val="en-US"/>
        </w:rPr>
        <w:t xml:space="preserve">Mayers, K. S., Heller, D. K., &amp; Heller, J. A. (2003) Damaged sexual self-esteem: A kind of disability. </w:t>
      </w:r>
      <w:r w:rsidRPr="00E538C1">
        <w:rPr>
          <w:i/>
          <w:lang w:val="en-US"/>
        </w:rPr>
        <w:t>Sexuality and Disability 21</w:t>
      </w:r>
      <w:r w:rsidRPr="00E538C1">
        <w:rPr>
          <w:lang w:val="en-US"/>
        </w:rPr>
        <w:t xml:space="preserve">, </w:t>
      </w:r>
      <w:r w:rsidRPr="00E538C1">
        <w:rPr>
          <w:rStyle w:val="pagination"/>
          <w:lang w:val="en-US"/>
        </w:rPr>
        <w:t>269-282</w:t>
      </w:r>
      <w:r w:rsidRPr="00E538C1">
        <w:rPr>
          <w:rStyle w:val="doi"/>
          <w:lang w:val="en-US"/>
        </w:rPr>
        <w:t>. d</w:t>
      </w:r>
      <w:r w:rsidRPr="00E538C1">
        <w:rPr>
          <w:rStyle w:val="label"/>
          <w:lang w:val="en-US"/>
        </w:rPr>
        <w:t>oi:</w:t>
      </w:r>
      <w:r w:rsidRPr="00E538C1">
        <w:rPr>
          <w:rStyle w:val="doi"/>
          <w:lang w:val="en-US"/>
        </w:rPr>
        <w:t xml:space="preserve"> </w:t>
      </w:r>
      <w:r w:rsidRPr="00E538C1">
        <w:rPr>
          <w:rStyle w:val="value"/>
          <w:lang w:val="en-US"/>
        </w:rPr>
        <w:t>10.1023/B:SEDI.0000010069.08844.04</w:t>
      </w:r>
      <w:r w:rsidRPr="00E538C1">
        <w:rPr>
          <w:lang w:val="en-US"/>
        </w:rPr>
        <w:t xml:space="preserve"> 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 w:eastAsia="es-CO"/>
        </w:rPr>
      </w:pPr>
      <w:r w:rsidRPr="00E538C1">
        <w:rPr>
          <w:lang w:val="en-US" w:eastAsia="es-CO"/>
        </w:rPr>
        <w:t xml:space="preserve">Ménard, A., &amp; Offman, A. (2009). The interrelationships between sexual self-esteem, sexual assertiveness and sexual satisfaction. </w:t>
      </w:r>
      <w:r w:rsidRPr="00E538C1">
        <w:rPr>
          <w:i/>
          <w:lang w:val="en-US" w:eastAsia="es-CO"/>
        </w:rPr>
        <w:t>The Canadian Journal of Human Sexuality, 18</w:t>
      </w:r>
      <w:r w:rsidRPr="00E538C1">
        <w:rPr>
          <w:lang w:val="en-US" w:eastAsia="es-CO"/>
        </w:rPr>
        <w:t>, 35-45.</w:t>
      </w:r>
    </w:p>
    <w:p w:rsidR="00072AA8" w:rsidRPr="00491DA7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s-CO" w:eastAsia="es-CO"/>
        </w:rPr>
      </w:pPr>
      <w:r w:rsidRPr="00E538C1">
        <w:rPr>
          <w:lang w:val="en-US" w:eastAsia="es-CO"/>
        </w:rPr>
        <w:lastRenderedPageBreak/>
        <w:t xml:space="preserve">Merino Soto, C., &amp; Livia Segovia, J. (2009). </w:t>
      </w:r>
      <w:r w:rsidRPr="00491DA7">
        <w:rPr>
          <w:lang w:val="es-CO" w:eastAsia="es-CO"/>
        </w:rPr>
        <w:t xml:space="preserve">Intervalos de confianza asimétricos para el índice la validez de contenido: Un programa Visual Basic para la V de Aiken. </w:t>
      </w:r>
      <w:r w:rsidRPr="00491DA7">
        <w:rPr>
          <w:i/>
          <w:lang w:val="es-CO" w:eastAsia="es-CO"/>
        </w:rPr>
        <w:t>Anales de Psicología, 25</w:t>
      </w:r>
      <w:r w:rsidRPr="00491DA7">
        <w:rPr>
          <w:lang w:val="es-CO" w:eastAsia="es-CO"/>
        </w:rPr>
        <w:t>, 169-171.</w:t>
      </w:r>
    </w:p>
    <w:p w:rsidR="00072AA8" w:rsidRPr="00E538C1" w:rsidRDefault="00072AA8" w:rsidP="00072AA8">
      <w:pPr>
        <w:autoSpaceDE w:val="0"/>
        <w:autoSpaceDN w:val="0"/>
        <w:adjustRightInd w:val="0"/>
        <w:spacing w:line="480" w:lineRule="auto"/>
        <w:ind w:left="709" w:hanging="709"/>
        <w:rPr>
          <w:rFonts w:eastAsia="Calibri"/>
          <w:iCs/>
          <w:lang w:val="en-US" w:eastAsia="en-US"/>
        </w:rPr>
      </w:pPr>
      <w:r w:rsidRPr="00491DA7">
        <w:rPr>
          <w:rFonts w:eastAsia="Calibri"/>
          <w:iCs/>
          <w:lang w:val="es-CO" w:eastAsia="en-US"/>
        </w:rPr>
        <w:t xml:space="preserve">Mezones-Holguin, E., Córdova-Marcelo, W., Lau-Chu-Fon, F., Aguilar-Silva, C., Morales-Cabrera, J., Bolaños-Díaz, R., Pérez-López, F., &amp; Chedraui, P. (2011). </w:t>
      </w:r>
      <w:r w:rsidRPr="00E538C1">
        <w:rPr>
          <w:rFonts w:eastAsia="Calibri"/>
          <w:lang w:val="en-US" w:eastAsia="en-US"/>
        </w:rPr>
        <w:t xml:space="preserve">Association between sexual function and depression in sexually active, mid-aged, Peruvian women. </w:t>
      </w:r>
      <w:r w:rsidRPr="00E538C1">
        <w:rPr>
          <w:rFonts w:eastAsia="Calibri"/>
          <w:i/>
          <w:lang w:val="en-US" w:eastAsia="en-US"/>
        </w:rPr>
        <w:t>Climateric, 14</w:t>
      </w:r>
      <w:r w:rsidRPr="00E538C1">
        <w:rPr>
          <w:rFonts w:eastAsia="Calibri"/>
          <w:lang w:val="en-US" w:eastAsia="en-US"/>
        </w:rPr>
        <w:t>, 654-660. doi: 10.3109/13697137.2011.575480.</w:t>
      </w:r>
    </w:p>
    <w:p w:rsidR="00072AA8" w:rsidRPr="00E538C1" w:rsidRDefault="00072AA8" w:rsidP="00072AA8">
      <w:pPr>
        <w:autoSpaceDE w:val="0"/>
        <w:autoSpaceDN w:val="0"/>
        <w:adjustRightInd w:val="0"/>
        <w:rPr>
          <w:rFonts w:eastAsia="Calibri"/>
          <w:iCs/>
          <w:lang w:val="en-US" w:eastAsia="en-US"/>
        </w:rPr>
      </w:pPr>
    </w:p>
    <w:p w:rsidR="00072AA8" w:rsidRPr="00E538C1" w:rsidRDefault="00072AA8" w:rsidP="00072AA8">
      <w:pPr>
        <w:spacing w:line="480" w:lineRule="auto"/>
        <w:ind w:left="709" w:hanging="709"/>
        <w:jc w:val="both"/>
        <w:rPr>
          <w:lang w:val="en-US"/>
        </w:rPr>
      </w:pPr>
      <w:r w:rsidRPr="00E538C1">
        <w:rPr>
          <w:lang w:val="en-US"/>
        </w:rPr>
        <w:t xml:space="preserve">Montero, I., &amp; León, O. G. (2007). A guide for naming research studies in Psychology. </w:t>
      </w:r>
      <w:r w:rsidRPr="00E538C1">
        <w:rPr>
          <w:i/>
          <w:lang w:val="en-US"/>
        </w:rPr>
        <w:t>International Journal of Clinical and Health Psychology, 7</w:t>
      </w:r>
      <w:r w:rsidRPr="00E538C1">
        <w:rPr>
          <w:lang w:val="en-US"/>
        </w:rPr>
        <w:t>, 847-862.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/>
        </w:rPr>
      </w:pPr>
      <w:r w:rsidRPr="00E538C1">
        <w:rPr>
          <w:lang w:val="en-US" w:eastAsia="es-CO"/>
        </w:rPr>
        <w:t xml:space="preserve">Morokoff, P. J., Quina, K., Harlow, L. L., Whitmire, L., Grimley, D. M., Gibson, P. R., &amp; </w:t>
      </w:r>
      <w:r w:rsidRPr="00E538C1">
        <w:rPr>
          <w:lang w:val="en-US"/>
        </w:rPr>
        <w:t xml:space="preserve">Burkholder, G. J. </w:t>
      </w:r>
      <w:r w:rsidRPr="00E538C1">
        <w:rPr>
          <w:lang w:val="en-US" w:eastAsia="es-CO"/>
        </w:rPr>
        <w:t xml:space="preserve">(1997). Sexual assertiveness scale (SAS) for women: Development and validation. </w:t>
      </w:r>
      <w:r w:rsidRPr="00E538C1">
        <w:rPr>
          <w:i/>
          <w:lang w:val="en-US" w:eastAsia="es-CO"/>
        </w:rPr>
        <w:t>Journal of Personality and Social Psychology, 73</w:t>
      </w:r>
      <w:r w:rsidRPr="00E538C1">
        <w:rPr>
          <w:lang w:val="en-US" w:eastAsia="es-CO"/>
        </w:rPr>
        <w:t xml:space="preserve">, 790-804. </w:t>
      </w:r>
      <w:r w:rsidRPr="00E538C1">
        <w:rPr>
          <w:lang w:val="en-US"/>
        </w:rPr>
        <w:t>doi: 10.1037/0022-3514.73.4.790</w:t>
      </w:r>
    </w:p>
    <w:p w:rsidR="00072AA8" w:rsidRPr="00E538C1" w:rsidRDefault="00072AA8" w:rsidP="00072AA8">
      <w:pPr>
        <w:spacing w:after="120" w:line="480" w:lineRule="auto"/>
        <w:ind w:left="708" w:hanging="708"/>
        <w:rPr>
          <w:lang w:val="en-US"/>
        </w:rPr>
      </w:pPr>
      <w:r w:rsidRPr="00E538C1">
        <w:rPr>
          <w:lang w:val="en-US"/>
        </w:rPr>
        <w:t>Muise, A., Preyde, M., Maitland, S. B.</w:t>
      </w:r>
      <w:r w:rsidRPr="00E538C1">
        <w:rPr>
          <w:rStyle w:val="Hipervnculo"/>
          <w:color w:val="auto"/>
          <w:lang w:val="en-US"/>
        </w:rPr>
        <w:t>,</w:t>
      </w:r>
      <w:r w:rsidRPr="00E538C1">
        <w:rPr>
          <w:lang w:val="en-US"/>
        </w:rPr>
        <w:t xml:space="preserve"> &amp; Milhausen, R. R. (2010). Sexual identity and sexual well-being in female heterosexual university students. </w:t>
      </w:r>
      <w:r w:rsidRPr="00E538C1">
        <w:rPr>
          <w:bCs/>
          <w:i/>
          <w:lang w:val="en-US"/>
        </w:rPr>
        <w:t>Archives of Sexual Behavior</w:t>
      </w:r>
      <w:r w:rsidRPr="00E538C1">
        <w:rPr>
          <w:i/>
          <w:lang w:val="en-US"/>
        </w:rPr>
        <w:t xml:space="preserve">, 39, </w:t>
      </w:r>
      <w:r w:rsidRPr="00E538C1">
        <w:rPr>
          <w:lang w:val="en-US"/>
        </w:rPr>
        <w:t>915-925. doi: 10.1007/s10508-009-9492-8</w:t>
      </w:r>
    </w:p>
    <w:p w:rsidR="00072AA8" w:rsidRPr="00491DA7" w:rsidRDefault="00072AA8" w:rsidP="00072AA8">
      <w:pPr>
        <w:spacing w:after="120" w:line="480" w:lineRule="auto"/>
        <w:ind w:left="709" w:hanging="709"/>
        <w:rPr>
          <w:lang w:val="es-CO"/>
        </w:rPr>
      </w:pPr>
      <w:r w:rsidRPr="00E538C1">
        <w:rPr>
          <w:lang w:val="en-US"/>
        </w:rPr>
        <w:t xml:space="preserve">Muñiz, J., Elosua. P., &amp; Hambleton, R. K. (2013). </w:t>
      </w:r>
      <w:r w:rsidRPr="00491DA7">
        <w:rPr>
          <w:lang w:val="es-CO"/>
        </w:rPr>
        <w:t xml:space="preserve">Directrices para la traducción y adaptación de los tests: Segunda edición. </w:t>
      </w:r>
      <w:r w:rsidRPr="00491DA7">
        <w:rPr>
          <w:i/>
          <w:lang w:val="es-CO"/>
        </w:rPr>
        <w:t>Psicothema, 25,</w:t>
      </w:r>
      <w:r w:rsidRPr="00491DA7">
        <w:rPr>
          <w:lang w:val="es-CO"/>
        </w:rPr>
        <w:t xml:space="preserve"> 151-157.doi: 10.7334/psicothema2013.24</w:t>
      </w:r>
    </w:p>
    <w:p w:rsidR="00072AA8" w:rsidRPr="00CB2935" w:rsidRDefault="00072AA8" w:rsidP="00072AA8">
      <w:pPr>
        <w:spacing w:line="480" w:lineRule="auto"/>
        <w:ind w:left="709" w:hanging="709"/>
        <w:jc w:val="both"/>
        <w:rPr>
          <w:lang w:val="en-US"/>
        </w:rPr>
      </w:pPr>
      <w:r w:rsidRPr="00491DA7">
        <w:rPr>
          <w:lang w:val="es-CO"/>
        </w:rPr>
        <w:t xml:space="preserve">Nunnally, J. C. &amp; Bernstein, I. J. (1995). </w:t>
      </w:r>
      <w:r w:rsidRPr="00491DA7">
        <w:rPr>
          <w:i/>
          <w:lang w:val="es-CO"/>
        </w:rPr>
        <w:t>Teoría psicométrica</w:t>
      </w:r>
      <w:r w:rsidRPr="00491DA7">
        <w:rPr>
          <w:lang w:val="es-CO"/>
        </w:rPr>
        <w:t xml:space="preserve">. </w:t>
      </w:r>
      <w:r w:rsidRPr="00CB2935">
        <w:rPr>
          <w:lang w:val="en-US"/>
        </w:rPr>
        <w:t>Madrid: McGraw-Hill.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 w:eastAsia="es-CO"/>
        </w:rPr>
      </w:pPr>
      <w:r w:rsidRPr="00E538C1">
        <w:rPr>
          <w:lang w:val="en-US" w:eastAsia="es-CO"/>
        </w:rPr>
        <w:t xml:space="preserve">Osterlind, S. J. (1989). </w:t>
      </w:r>
      <w:r w:rsidRPr="00E538C1">
        <w:rPr>
          <w:i/>
          <w:lang w:val="en-US" w:eastAsia="es-CO"/>
        </w:rPr>
        <w:t>Constructing Test Items</w:t>
      </w:r>
      <w:r w:rsidRPr="00E538C1">
        <w:rPr>
          <w:lang w:val="en-US" w:eastAsia="es-CO"/>
        </w:rPr>
        <w:t>. Londres: Kluwer Academic Publishers.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 w:eastAsia="es-CO"/>
        </w:rPr>
      </w:pPr>
      <w:r w:rsidRPr="00E538C1">
        <w:rPr>
          <w:lang w:val="en-US" w:eastAsia="es-CO"/>
        </w:rPr>
        <w:lastRenderedPageBreak/>
        <w:t xml:space="preserve">Reed, R. S. (1988). </w:t>
      </w:r>
      <w:r w:rsidRPr="00E538C1">
        <w:rPr>
          <w:i/>
          <w:lang w:val="en-US" w:eastAsia="es-CO"/>
        </w:rPr>
        <w:t>Romantic and sexual self-esteem scale</w:t>
      </w:r>
      <w:r w:rsidRPr="00E538C1">
        <w:rPr>
          <w:lang w:val="en-US" w:eastAsia="es-CO"/>
        </w:rPr>
        <w:t>. Unpublished manuscript, University of Nebraska-Lincoln.</w:t>
      </w:r>
    </w:p>
    <w:p w:rsidR="00072AA8" w:rsidRPr="00491DA7" w:rsidRDefault="00072AA8" w:rsidP="00072AA8">
      <w:pPr>
        <w:spacing w:after="120" w:line="480" w:lineRule="auto"/>
        <w:ind w:left="709" w:hanging="709"/>
        <w:rPr>
          <w:smallCaps/>
          <w:lang w:val="es-CO"/>
        </w:rPr>
      </w:pPr>
      <w:r w:rsidRPr="00491DA7">
        <w:rPr>
          <w:lang w:val="es-CO"/>
        </w:rPr>
        <w:t>República de Colombia. (1993). Resolución 8430 de 1993 acerca de la Investigación en Salud. Bogotá.</w:t>
      </w:r>
    </w:p>
    <w:p w:rsidR="00072AA8" w:rsidRPr="00E538C1" w:rsidRDefault="00072AA8" w:rsidP="00072AA8">
      <w:pPr>
        <w:spacing w:after="120" w:line="480" w:lineRule="auto"/>
        <w:ind w:left="709" w:hanging="709"/>
        <w:rPr>
          <w:lang w:val="en-US"/>
        </w:rPr>
      </w:pPr>
      <w:r w:rsidRPr="00491DA7">
        <w:rPr>
          <w:lang w:val="es-CO"/>
        </w:rPr>
        <w:t xml:space="preserve">República de Colombia. (2006). Ley 1090 que reglamenta el ejercicio de la profesión de Psicología, dicta el Código Deontológico y Bioético y otras disposiciones. </w:t>
      </w:r>
      <w:r w:rsidRPr="00E538C1">
        <w:rPr>
          <w:lang w:val="en-US"/>
        </w:rPr>
        <w:t>Bogotá.</w:t>
      </w:r>
    </w:p>
    <w:p w:rsidR="00072AA8" w:rsidRPr="00E538C1" w:rsidRDefault="00072AA8" w:rsidP="00072AA8">
      <w:pPr>
        <w:autoSpaceDE w:val="0"/>
        <w:autoSpaceDN w:val="0"/>
        <w:adjustRightInd w:val="0"/>
        <w:spacing w:line="480" w:lineRule="auto"/>
        <w:ind w:left="708" w:hanging="708"/>
        <w:rPr>
          <w:lang w:val="en-US"/>
        </w:rPr>
      </w:pPr>
      <w:r w:rsidRPr="00491DA7">
        <w:rPr>
          <w:lang w:val="it-IT"/>
        </w:rPr>
        <w:t xml:space="preserve">Riggio, H., Galaz, B., Garcia, A., &amp; Matthies, B. (2014). </w:t>
      </w:r>
      <w:r w:rsidRPr="00E538C1">
        <w:rPr>
          <w:lang w:val="en-US"/>
        </w:rPr>
        <w:t>C</w:t>
      </w:r>
      <w:r w:rsidRPr="00E538C1">
        <w:rPr>
          <w:rFonts w:eastAsia="Calibri"/>
          <w:bCs/>
          <w:lang w:val="en-US" w:eastAsia="en-US"/>
        </w:rPr>
        <w:t xml:space="preserve">ontraceptive attitudes and sexual self-esteem among young adults: communication and quality of relationships with mothers. </w:t>
      </w:r>
      <w:r w:rsidRPr="00E538C1">
        <w:rPr>
          <w:rFonts w:eastAsia="Calibri"/>
          <w:i/>
          <w:iCs/>
          <w:lang w:val="en-US" w:eastAsia="en-US"/>
        </w:rPr>
        <w:t>International Journal of Sexual Health</w:t>
      </w:r>
      <w:r w:rsidRPr="00E538C1">
        <w:rPr>
          <w:rFonts w:eastAsia="Calibri"/>
          <w:lang w:val="en-US" w:eastAsia="en-US"/>
        </w:rPr>
        <w:t xml:space="preserve">, </w:t>
      </w:r>
      <w:r w:rsidRPr="00E538C1">
        <w:rPr>
          <w:rFonts w:eastAsia="Calibri"/>
          <w:i/>
          <w:lang w:val="en-US" w:eastAsia="en-US"/>
        </w:rPr>
        <w:t>26</w:t>
      </w:r>
      <w:r w:rsidRPr="00E538C1">
        <w:rPr>
          <w:rFonts w:eastAsia="Calibri"/>
          <w:lang w:val="en-US" w:eastAsia="en-US"/>
        </w:rPr>
        <w:t>, 268–281. doi: 10.1080/19317611.2014.885924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 w:eastAsia="es-CO"/>
        </w:rPr>
      </w:pPr>
      <w:r w:rsidRPr="00E538C1">
        <w:rPr>
          <w:lang w:val="en-US" w:eastAsia="es-CO"/>
        </w:rPr>
        <w:t>Robinson, B. E., Bockting, W. O., Rosser, B. R., Miner, M., &amp; Coleman, E. (2002). The sexual health model: Application of a sexological approach to HIV prevention.</w:t>
      </w:r>
      <w:r w:rsidRPr="00E538C1">
        <w:rPr>
          <w:lang w:val="en-US"/>
        </w:rPr>
        <w:t xml:space="preserve"> </w:t>
      </w:r>
      <w:r w:rsidRPr="00E538C1">
        <w:rPr>
          <w:i/>
          <w:lang w:val="en-US" w:eastAsia="es-CO"/>
        </w:rPr>
        <w:t>Health Education Research, 17</w:t>
      </w:r>
      <w:r w:rsidRPr="00E538C1">
        <w:rPr>
          <w:lang w:val="en-US" w:eastAsia="es-CO"/>
        </w:rPr>
        <w:t xml:space="preserve">, 43–57. doi: </w:t>
      </w:r>
      <w:r w:rsidRPr="00E538C1">
        <w:rPr>
          <w:rStyle w:val="slug-doi"/>
          <w:iCs/>
          <w:lang w:val="en-US"/>
        </w:rPr>
        <w:t>10.1093/her/17.1.43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 w:eastAsia="es-CO"/>
        </w:rPr>
      </w:pPr>
      <w:r w:rsidRPr="00E538C1">
        <w:rPr>
          <w:lang w:val="en-US" w:eastAsia="es-CO"/>
        </w:rPr>
        <w:t xml:space="preserve">Rosenberg, M. (1965). </w:t>
      </w:r>
      <w:r w:rsidRPr="00E538C1">
        <w:rPr>
          <w:i/>
          <w:lang w:val="en-US" w:eastAsia="es-CO"/>
        </w:rPr>
        <w:t>Society and the Adolescent Self-image</w:t>
      </w:r>
      <w:r w:rsidRPr="00E538C1">
        <w:rPr>
          <w:lang w:val="en-US" w:eastAsia="es-CO"/>
        </w:rPr>
        <w:t>. Princeton University Press: Princeton, NJ.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 w:eastAsia="es-CO"/>
        </w:rPr>
      </w:pPr>
      <w:r w:rsidRPr="00E538C1">
        <w:rPr>
          <w:lang w:val="en-US" w:eastAsia="es-CO"/>
        </w:rPr>
        <w:t xml:space="preserve">Rosenberg, M. (1989). </w:t>
      </w:r>
      <w:r w:rsidRPr="00E538C1">
        <w:rPr>
          <w:i/>
          <w:lang w:val="en-US" w:eastAsia="es-CO"/>
        </w:rPr>
        <w:t>Society and the adolescent self-image</w:t>
      </w:r>
      <w:r w:rsidRPr="00E538C1">
        <w:rPr>
          <w:lang w:val="en-US" w:eastAsia="es-CO"/>
        </w:rPr>
        <w:t>. (Rev.ed.). Middeltown, CT: Wesleyan University Press.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 w:eastAsia="es-CO"/>
        </w:rPr>
      </w:pPr>
      <w:r w:rsidRPr="00E538C1">
        <w:rPr>
          <w:lang w:val="en-US"/>
        </w:rPr>
        <w:t xml:space="preserve">Rosenberg, M., Schooler, C., Schoenbach, C., &amp; Rosenberg, F. (1995). Global self-esteem and specific self-esteem: Different concepts, different outcomes. </w:t>
      </w:r>
      <w:r w:rsidRPr="00E538C1">
        <w:rPr>
          <w:i/>
          <w:lang w:val="en-US"/>
        </w:rPr>
        <w:t>American Sociological Review, 60</w:t>
      </w:r>
      <w:r w:rsidRPr="00E538C1">
        <w:rPr>
          <w:lang w:val="en-US"/>
        </w:rPr>
        <w:t>, 141-156. doi: 10.2307/2096350</w:t>
      </w:r>
    </w:p>
    <w:p w:rsidR="00072AA8" w:rsidRPr="00E538C1" w:rsidRDefault="00072AA8" w:rsidP="00072AA8">
      <w:pPr>
        <w:spacing w:after="120" w:line="480" w:lineRule="auto"/>
        <w:ind w:left="709" w:hanging="709"/>
        <w:rPr>
          <w:lang w:val="en-US"/>
        </w:rPr>
      </w:pPr>
      <w:r w:rsidRPr="00E538C1">
        <w:rPr>
          <w:lang w:val="en-US"/>
        </w:rPr>
        <w:lastRenderedPageBreak/>
        <w:t>Rosenthal,</w:t>
      </w:r>
      <w:r w:rsidRPr="00E538C1">
        <w:rPr>
          <w:vertAlign w:val="superscript"/>
          <w:lang w:val="en-US"/>
        </w:rPr>
        <w:t xml:space="preserve"> </w:t>
      </w:r>
      <w:r w:rsidRPr="00E538C1">
        <w:rPr>
          <w:lang w:val="en-US"/>
        </w:rPr>
        <w:t xml:space="preserve">D., Moore, S., &amp; Flynn, I. (1991). Adolescent self-efficacy, self-esteem and sexual risk-taking. </w:t>
      </w:r>
      <w:r w:rsidRPr="00E538C1">
        <w:rPr>
          <w:i/>
          <w:lang w:val="en-US"/>
        </w:rPr>
        <w:t>Journal of Community &amp; Applied Social Psychology, 1,</w:t>
      </w:r>
      <w:r w:rsidRPr="00E538C1">
        <w:rPr>
          <w:lang w:val="en-US"/>
        </w:rPr>
        <w:t xml:space="preserve"> 77–88. doi: 10.1002/casp.2450010203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shd w:val="clear" w:color="auto" w:fill="FFFFFF"/>
          <w:lang w:val="en-US"/>
        </w:rPr>
      </w:pPr>
      <w:r w:rsidRPr="00E538C1">
        <w:rPr>
          <w:shd w:val="clear" w:color="auto" w:fill="FFFFFF"/>
          <w:lang w:val="en-US"/>
        </w:rPr>
        <w:t xml:space="preserve">Sánchez-Fuentes, M., Santos-Iglesias, P., &amp; Sierra, J. C. (2014). A systematic review of sexual satisfaction. </w:t>
      </w:r>
      <w:r w:rsidRPr="00E538C1">
        <w:rPr>
          <w:i/>
          <w:shd w:val="clear" w:color="auto" w:fill="FFFFFF"/>
          <w:lang w:val="en-US"/>
        </w:rPr>
        <w:t>International Journal of Clinical and Health Psychology, 14</w:t>
      </w:r>
      <w:r w:rsidRPr="00E538C1">
        <w:rPr>
          <w:shd w:val="clear" w:color="auto" w:fill="FFFFFF"/>
          <w:lang w:val="en-US"/>
        </w:rPr>
        <w:t xml:space="preserve">, 67-75. </w:t>
      </w:r>
    </w:p>
    <w:p w:rsidR="00072AA8" w:rsidRPr="00CB2935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i/>
          <w:lang w:val="en-US" w:eastAsia="es-CO"/>
        </w:rPr>
      </w:pPr>
      <w:r w:rsidRPr="00491DA7">
        <w:rPr>
          <w:lang w:val="es-CO" w:eastAsia="es-CO"/>
        </w:rPr>
        <w:t xml:space="preserve">Santos Iglesias, P., Sierra, J. C., García, M., Martínez, A., Sánchez, A., &amp; Tapia, M. I. (2009). Índice de satisfacción sexual (ISS): Un estudio sobre su fiabilidad y validez. </w:t>
      </w:r>
      <w:r w:rsidRPr="00CB2935">
        <w:rPr>
          <w:i/>
          <w:lang w:val="en-US" w:eastAsia="es-CO"/>
        </w:rPr>
        <w:t xml:space="preserve">International Journal of Psychology and Psychological Therapy, 9, </w:t>
      </w:r>
      <w:r w:rsidRPr="00CB2935">
        <w:rPr>
          <w:lang w:val="en-US" w:eastAsia="es-CO"/>
        </w:rPr>
        <w:t>259-273.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i/>
          <w:lang w:val="en-US" w:eastAsia="es-CO"/>
        </w:rPr>
      </w:pPr>
      <w:r w:rsidRPr="00CB2935">
        <w:rPr>
          <w:lang w:val="en-US" w:eastAsia="es-CO"/>
        </w:rPr>
        <w:t xml:space="preserve">Santos-Iglesias, P., y Sierra, J. C (2010). </w:t>
      </w:r>
      <w:r w:rsidRPr="00491DA7">
        <w:rPr>
          <w:lang w:val="es-CO" w:eastAsia="es-CO"/>
        </w:rPr>
        <w:t xml:space="preserve">El papel de la asertividad sexual en la sexualidad humana: una revisión sistemática. </w:t>
      </w:r>
      <w:r w:rsidRPr="00E538C1">
        <w:rPr>
          <w:i/>
          <w:lang w:val="en-US" w:eastAsia="es-CO"/>
        </w:rPr>
        <w:t>International Journal of Clinical and Health Psychology, 10,</w:t>
      </w:r>
      <w:r w:rsidRPr="00E538C1">
        <w:rPr>
          <w:lang w:val="en-US"/>
        </w:rPr>
        <w:t xml:space="preserve"> </w:t>
      </w:r>
      <w:r w:rsidRPr="00E538C1">
        <w:rPr>
          <w:lang w:val="en-US" w:eastAsia="es-CO"/>
        </w:rPr>
        <w:t>553-577.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 w:eastAsia="es-CO"/>
        </w:rPr>
      </w:pPr>
      <w:r w:rsidRPr="00491DA7">
        <w:rPr>
          <w:lang w:val="it-IT" w:eastAsia="es-CO"/>
        </w:rPr>
        <w:t xml:space="preserve">Seal, A., Minichiello, V., &amp; Omodei, M. (1997). </w:t>
      </w:r>
      <w:r w:rsidRPr="00E538C1">
        <w:rPr>
          <w:lang w:val="en-US" w:eastAsia="es-CO"/>
        </w:rPr>
        <w:t xml:space="preserve">Young women´s sexual risk taking behaviour: re-visiting the influences of sexual self-efficacy and sexual self-esteem. </w:t>
      </w:r>
      <w:r w:rsidRPr="00E538C1">
        <w:rPr>
          <w:i/>
          <w:lang w:val="en-US" w:eastAsia="es-CO"/>
        </w:rPr>
        <w:t>International Journal of STD &amp; AIDS, 8</w:t>
      </w:r>
      <w:r w:rsidRPr="00E538C1">
        <w:rPr>
          <w:lang w:val="en-US" w:eastAsia="es-CO"/>
        </w:rPr>
        <w:t xml:space="preserve">, 159-165. </w:t>
      </w:r>
      <w:r w:rsidRPr="00E538C1">
        <w:rPr>
          <w:lang w:val="en-US"/>
        </w:rPr>
        <w:t xml:space="preserve">doi: </w:t>
      </w:r>
      <w:r w:rsidRPr="00E538C1">
        <w:rPr>
          <w:rStyle w:val="slug-doi"/>
          <w:lang w:val="en-US"/>
        </w:rPr>
        <w:t>10.1258/0956462971919822</w:t>
      </w:r>
    </w:p>
    <w:p w:rsidR="00072AA8" w:rsidRPr="00E538C1" w:rsidRDefault="00072AA8" w:rsidP="00072AA8">
      <w:pPr>
        <w:spacing w:after="120" w:line="480" w:lineRule="auto"/>
        <w:ind w:left="708" w:hanging="708"/>
        <w:rPr>
          <w:rStyle w:val="Textoennegrita"/>
          <w:b w:val="0"/>
          <w:lang w:val="en-US"/>
        </w:rPr>
      </w:pPr>
      <w:r w:rsidRPr="00E538C1">
        <w:rPr>
          <w:lang w:val="en-US"/>
        </w:rPr>
        <w:t xml:space="preserve">Schick, V. R., Calabrese, S. K., Rima, B. N. &amp; Zucker, A. N. (2010). Genital appearance dissatisfaction: Implications for women's genital image self-consciousness, sexual esteem, sexual satisfaction, and sexual risk. </w:t>
      </w:r>
      <w:r w:rsidRPr="00E538C1">
        <w:rPr>
          <w:bCs/>
          <w:i/>
          <w:lang w:val="en-US"/>
        </w:rPr>
        <w:t>Psychology of Women Quarterly</w:t>
      </w:r>
      <w:r w:rsidRPr="00E538C1">
        <w:rPr>
          <w:lang w:val="en-US"/>
        </w:rPr>
        <w:t xml:space="preserve">, </w:t>
      </w:r>
      <w:r w:rsidRPr="00E538C1">
        <w:rPr>
          <w:i/>
          <w:lang w:val="en-US"/>
        </w:rPr>
        <w:t>34</w:t>
      </w:r>
      <w:r w:rsidRPr="00E538C1">
        <w:rPr>
          <w:lang w:val="en-US"/>
        </w:rPr>
        <w:t xml:space="preserve">, 394-404. </w:t>
      </w:r>
      <w:r w:rsidRPr="00E538C1">
        <w:rPr>
          <w:rStyle w:val="Textoennegrita"/>
          <w:b w:val="0"/>
          <w:lang w:val="en-US"/>
        </w:rPr>
        <w:t>doi: 1</w:t>
      </w:r>
      <w:r w:rsidRPr="00E538C1">
        <w:rPr>
          <w:lang w:val="en-US"/>
        </w:rPr>
        <w:t>0.1111/j.1471-6402.2010.01584.x</w:t>
      </w:r>
    </w:p>
    <w:p w:rsidR="00072AA8" w:rsidRPr="00491DA7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rStyle w:val="Textoennegrita"/>
          <w:lang w:val="es-CO"/>
        </w:rPr>
      </w:pPr>
      <w:r w:rsidRPr="00E538C1">
        <w:rPr>
          <w:rStyle w:val="Textoennegrita"/>
          <w:b w:val="0"/>
          <w:lang w:val="en-US"/>
        </w:rPr>
        <w:t>Sierra, J. C., Vallejo-Medina, P., Santos-Iglesias, P., &amp; Lameiras, M. (2012).</w:t>
      </w:r>
      <w:r w:rsidRPr="00E538C1">
        <w:rPr>
          <w:rStyle w:val="Textoennegrita"/>
          <w:lang w:val="en-US"/>
        </w:rPr>
        <w:t xml:space="preserve"> </w:t>
      </w:r>
      <w:r w:rsidRPr="00E538C1">
        <w:rPr>
          <w:bCs/>
          <w:lang w:val="en-US"/>
        </w:rPr>
        <w:t xml:space="preserve">Validation of Massachusetts General Hospital-Sexual Functioning Questionnaire (MGH-SFQ) in </w:t>
      </w:r>
      <w:r w:rsidRPr="00E538C1">
        <w:rPr>
          <w:bCs/>
          <w:lang w:val="en-US"/>
        </w:rPr>
        <w:lastRenderedPageBreak/>
        <w:t xml:space="preserve">a Spanish population. </w:t>
      </w:r>
      <w:r w:rsidRPr="00491DA7">
        <w:rPr>
          <w:bCs/>
          <w:i/>
          <w:lang w:val="es-CO"/>
        </w:rPr>
        <w:t xml:space="preserve">Atención Primaria, </w:t>
      </w:r>
      <w:r w:rsidRPr="00491DA7">
        <w:rPr>
          <w:i/>
          <w:lang w:val="es-CO"/>
        </w:rPr>
        <w:t>44</w:t>
      </w:r>
      <w:r w:rsidRPr="00491DA7">
        <w:rPr>
          <w:lang w:val="es-CO"/>
        </w:rPr>
        <w:t>, 516-524. doi: 10.1016/j.aprim.2012.02.004</w:t>
      </w:r>
    </w:p>
    <w:p w:rsidR="00072AA8" w:rsidRPr="00491DA7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rStyle w:val="Textoennegrita"/>
          <w:b w:val="0"/>
          <w:lang w:val="es-CO"/>
        </w:rPr>
      </w:pPr>
      <w:r w:rsidRPr="00491DA7">
        <w:rPr>
          <w:rStyle w:val="Textoennegrita"/>
          <w:b w:val="0"/>
          <w:lang w:val="es-CO"/>
        </w:rPr>
        <w:t xml:space="preserve">Sierra, J. C., Vallejo-Medina, P., &amp; Santos-Iglesias, P. (2011). Propiedades psicométricas de la versión española de la Sexual Assertiveness Scale (SAS). </w:t>
      </w:r>
      <w:r w:rsidRPr="00491DA7">
        <w:rPr>
          <w:rStyle w:val="Textoennegrita"/>
          <w:b w:val="0"/>
          <w:i/>
          <w:lang w:val="es-CO"/>
        </w:rPr>
        <w:t>Anales de Psicología, 27</w:t>
      </w:r>
      <w:r w:rsidRPr="00491DA7">
        <w:rPr>
          <w:rStyle w:val="Textoennegrita"/>
          <w:b w:val="0"/>
          <w:lang w:val="es-CO"/>
        </w:rPr>
        <w:t>, 17-26.</w:t>
      </w:r>
    </w:p>
    <w:p w:rsidR="00072AA8" w:rsidRPr="00E538C1" w:rsidRDefault="00072AA8" w:rsidP="00072AA8">
      <w:pPr>
        <w:pStyle w:val="Prrafodelista"/>
        <w:spacing w:after="200" w:line="480" w:lineRule="auto"/>
        <w:ind w:left="709" w:hanging="709"/>
        <w:contextualSpacing/>
        <w:rPr>
          <w:lang w:val="en-US"/>
        </w:rPr>
      </w:pPr>
      <w:r w:rsidRPr="00491DA7">
        <w:rPr>
          <w:lang w:val="es-CO"/>
        </w:rPr>
        <w:t xml:space="preserve">Sierra, J. C, Santos-Iglesias, P., &amp; Vallejo-Medina, P. (2012). Evaluación de la equivalencia factorial y métrica de la Sexual Assertiveness Scale (SAS) por sexo. </w:t>
      </w:r>
      <w:r w:rsidRPr="00E538C1">
        <w:rPr>
          <w:i/>
          <w:iCs/>
          <w:lang w:val="en-US"/>
        </w:rPr>
        <w:t>Psicothema</w:t>
      </w:r>
      <w:r w:rsidRPr="00E538C1">
        <w:rPr>
          <w:lang w:val="en-US"/>
        </w:rPr>
        <w:t xml:space="preserve">, </w:t>
      </w:r>
      <w:r w:rsidRPr="00E538C1">
        <w:rPr>
          <w:i/>
          <w:iCs/>
          <w:lang w:val="en-US"/>
        </w:rPr>
        <w:t>24</w:t>
      </w:r>
      <w:r w:rsidRPr="00E538C1">
        <w:rPr>
          <w:iCs/>
          <w:lang w:val="en-US"/>
        </w:rPr>
        <w:t xml:space="preserve">, </w:t>
      </w:r>
      <w:r w:rsidRPr="00E538C1">
        <w:rPr>
          <w:lang w:val="en-US"/>
        </w:rPr>
        <w:t>316-322.</w:t>
      </w:r>
    </w:p>
    <w:p w:rsidR="00072AA8" w:rsidRPr="00E538C1" w:rsidRDefault="00072AA8" w:rsidP="00072AA8">
      <w:pPr>
        <w:spacing w:before="100" w:beforeAutospacing="1" w:after="120" w:line="480" w:lineRule="auto"/>
        <w:ind w:left="709" w:hanging="709"/>
        <w:rPr>
          <w:lang w:val="en-US" w:eastAsia="es-CO"/>
        </w:rPr>
      </w:pPr>
      <w:r w:rsidRPr="00E538C1">
        <w:rPr>
          <w:bCs/>
          <w:lang w:val="en-US" w:eastAsia="es-CO"/>
        </w:rPr>
        <w:t>Snell, W. E., Jr., Fisher, T. D., &amp; Schuh, T.  (2001). Chapter 3:  Reliability and validity of the Sexuality Scale: A measure of sexual-esteem, sexual-depression, and sexual-preoccupation.  In W. E. Snell, Jr. (Ed.), </w:t>
      </w:r>
      <w:r w:rsidRPr="00E538C1">
        <w:rPr>
          <w:bCs/>
          <w:i/>
          <w:lang w:val="en-US" w:eastAsia="es-CO"/>
        </w:rPr>
        <w:t>New directions in the psychology of human sexuality:  Research and theory</w:t>
      </w:r>
      <w:r w:rsidRPr="00E538C1">
        <w:rPr>
          <w:bCs/>
          <w:lang w:val="en-US" w:eastAsia="es-CO"/>
        </w:rPr>
        <w:t>. Cape Girardeau, MO: Snell Publications. WEB: http://cstl-cla.semo.edu/snell/books/sexuality/sexuality.htm.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rStyle w:val="Textoennegrita"/>
          <w:b w:val="0"/>
          <w:lang w:val="en-US"/>
        </w:rPr>
      </w:pPr>
      <w:r w:rsidRPr="00491DA7">
        <w:rPr>
          <w:rStyle w:val="Textoennegrita"/>
          <w:b w:val="0"/>
          <w:lang w:val="it-IT"/>
        </w:rPr>
        <w:t xml:space="preserve">Snell, W. E., &amp; Papini, D. (1989). </w:t>
      </w:r>
      <w:r w:rsidRPr="00E538C1">
        <w:rPr>
          <w:rStyle w:val="Textoennegrita"/>
          <w:b w:val="0"/>
          <w:lang w:val="en-US"/>
        </w:rPr>
        <w:t xml:space="preserve">The Sexuality Scale (SS): An instrument to measure sexual- esteem, sexual-depression, and sexual-preoccupation. </w:t>
      </w:r>
      <w:r w:rsidRPr="00E538C1">
        <w:rPr>
          <w:rStyle w:val="Textoennegrita"/>
          <w:b w:val="0"/>
          <w:i/>
          <w:lang w:val="en-US"/>
        </w:rPr>
        <w:t>The Journal of Sex Research, 26</w:t>
      </w:r>
      <w:r w:rsidRPr="00E538C1">
        <w:rPr>
          <w:rStyle w:val="Textoennegrita"/>
          <w:b w:val="0"/>
          <w:lang w:val="en-US"/>
        </w:rPr>
        <w:t xml:space="preserve">, 256-263. </w:t>
      </w:r>
      <w:r w:rsidRPr="00E538C1">
        <w:rPr>
          <w:lang w:val="en-US"/>
        </w:rPr>
        <w:t>doi: 10.1080/00224498909551510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rFonts w:eastAsia="Calibri"/>
          <w:lang w:val="en-US" w:eastAsia="en-US"/>
        </w:rPr>
      </w:pPr>
      <w:r w:rsidRPr="00E538C1">
        <w:rPr>
          <w:lang w:val="en-US"/>
        </w:rPr>
        <w:t xml:space="preserve">Stevens, J.P. (2009). </w:t>
      </w:r>
      <w:r w:rsidRPr="00E538C1">
        <w:rPr>
          <w:i/>
          <w:iCs/>
          <w:lang w:val="en-US"/>
        </w:rPr>
        <w:t xml:space="preserve">Applied multivariate statistics for the social science </w:t>
      </w:r>
      <w:r w:rsidRPr="00E538C1">
        <w:rPr>
          <w:lang w:val="en-US"/>
        </w:rPr>
        <w:t>(5</w:t>
      </w:r>
      <w:r w:rsidRPr="00E538C1">
        <w:rPr>
          <w:position w:val="8"/>
          <w:vertAlign w:val="superscript"/>
          <w:lang w:val="en-US"/>
        </w:rPr>
        <w:t xml:space="preserve"> </w:t>
      </w:r>
      <w:r w:rsidRPr="00E538C1">
        <w:rPr>
          <w:lang w:val="en-US"/>
        </w:rPr>
        <w:t>Ed.). Mahwah, New Jersey: Lawrence Erlbaum Associates.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rStyle w:val="value"/>
          <w:lang w:val="en-US"/>
        </w:rPr>
      </w:pPr>
      <w:r w:rsidRPr="00E538C1">
        <w:rPr>
          <w:lang w:val="en-US" w:eastAsia="es-CO"/>
        </w:rPr>
        <w:t xml:space="preserve">Struckman-Johnson, C., &amp; Struckman-Johnson, D. (1994). Men pressured and forced into sexual experience. </w:t>
      </w:r>
      <w:r w:rsidRPr="00E538C1">
        <w:rPr>
          <w:i/>
          <w:lang w:val="en-US" w:eastAsia="es-CO"/>
        </w:rPr>
        <w:t>Archives of Sexual Behavior, 23</w:t>
      </w:r>
      <w:r w:rsidRPr="00E538C1">
        <w:rPr>
          <w:lang w:val="en-US" w:eastAsia="es-CO"/>
        </w:rPr>
        <w:t xml:space="preserve">, 93-114. doi: </w:t>
      </w:r>
      <w:r w:rsidRPr="00E538C1">
        <w:rPr>
          <w:rStyle w:val="value"/>
          <w:lang w:val="en-US"/>
        </w:rPr>
        <w:t>0.1007/BF01541620</w:t>
      </w:r>
    </w:p>
    <w:p w:rsidR="00072AA8" w:rsidRPr="00E538C1" w:rsidRDefault="00072AA8" w:rsidP="00072AA8">
      <w:pPr>
        <w:spacing w:after="120" w:line="480" w:lineRule="auto"/>
        <w:ind w:left="709" w:hanging="709"/>
        <w:rPr>
          <w:bCs/>
          <w:lang w:val="en-US" w:eastAsia="en-US"/>
        </w:rPr>
      </w:pPr>
      <w:r w:rsidRPr="00E538C1">
        <w:rPr>
          <w:bCs/>
          <w:lang w:val="en-US"/>
        </w:rPr>
        <w:lastRenderedPageBreak/>
        <w:t>Swenson, R. R., Houck, C. D., Barker, D., Zeanah, P. D., &amp; Brown, L. K. (2012). Prospective analysis of the transition to sexual experience and changes in sexual self-esteem among adolescents attending therapeutic schools. </w:t>
      </w:r>
      <w:r w:rsidRPr="00E538C1">
        <w:rPr>
          <w:bCs/>
          <w:i/>
          <w:iCs/>
          <w:lang w:val="en-US"/>
        </w:rPr>
        <w:t>Journal of Adolescence</w:t>
      </w:r>
      <w:r w:rsidRPr="00E538C1">
        <w:rPr>
          <w:bCs/>
          <w:lang w:val="en-US"/>
        </w:rPr>
        <w:t>, </w:t>
      </w:r>
      <w:r w:rsidRPr="00E538C1">
        <w:rPr>
          <w:bCs/>
          <w:i/>
          <w:iCs/>
          <w:lang w:val="en-US"/>
        </w:rPr>
        <w:t>35</w:t>
      </w:r>
      <w:r w:rsidRPr="00E538C1">
        <w:rPr>
          <w:bCs/>
          <w:lang w:val="en-US"/>
        </w:rPr>
        <w:t>, 77-85. doi: 10.1016/j.adolescence.2011.06.002</w:t>
      </w:r>
    </w:p>
    <w:p w:rsidR="00072AA8" w:rsidRPr="00491DA7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s-CO"/>
        </w:rPr>
      </w:pPr>
      <w:r w:rsidRPr="00E538C1">
        <w:rPr>
          <w:rFonts w:eastAsia="Calibri"/>
          <w:lang w:val="en-US" w:eastAsia="en-US"/>
        </w:rPr>
        <w:t xml:space="preserve">Syme, M., Delaney, E., Schuster, J., Gosian, J., &amp; Moye, J. (2013) Sexual Self-Esteem and psychosocial functioning in military veterans after cancer. </w:t>
      </w:r>
      <w:r w:rsidRPr="00491DA7">
        <w:rPr>
          <w:rFonts w:eastAsia="Calibri"/>
          <w:i/>
          <w:lang w:val="es-CO" w:eastAsia="en-US"/>
        </w:rPr>
        <w:t>Journal of Psychosocial Oncology, 31</w:t>
      </w:r>
      <w:r w:rsidRPr="00491DA7">
        <w:rPr>
          <w:rFonts w:eastAsia="Calibri"/>
          <w:lang w:val="es-CO" w:eastAsia="en-US"/>
        </w:rPr>
        <w:t>, 1-12. doi: 10.1080/07347332.2012.741096</w:t>
      </w:r>
    </w:p>
    <w:p w:rsidR="00072AA8" w:rsidRPr="00C40D7B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s-CO"/>
        </w:rPr>
      </w:pPr>
      <w:r w:rsidRPr="00491DA7">
        <w:rPr>
          <w:lang w:val="es-CO"/>
        </w:rPr>
        <w:t xml:space="preserve">Vallejo-Medina, P., Granados, R., &amp; Sierra, J. C. (2014). Propuesta y validación de una versión breve de la Sexual Opinion Survey en población española. </w:t>
      </w:r>
      <w:r w:rsidRPr="00491DA7">
        <w:rPr>
          <w:i/>
          <w:lang w:val="es-CO"/>
        </w:rPr>
        <w:t xml:space="preserve">Revista </w:t>
      </w:r>
      <w:r w:rsidRPr="00C40D7B">
        <w:rPr>
          <w:i/>
          <w:lang w:val="es-CO"/>
        </w:rPr>
        <w:t>Internacional de Andrología, 12</w:t>
      </w:r>
      <w:r w:rsidRPr="00C40D7B">
        <w:rPr>
          <w:lang w:val="es-CO"/>
        </w:rPr>
        <w:t>, 47-54. doi: 10.1016/j.androl.2013.04.004</w:t>
      </w:r>
    </w:p>
    <w:p w:rsidR="00C40D7B" w:rsidRPr="002D2F27" w:rsidRDefault="00072AA8" w:rsidP="00C40D7B">
      <w:pPr>
        <w:spacing w:line="480" w:lineRule="auto"/>
        <w:ind w:left="709" w:hanging="709"/>
        <w:rPr>
          <w:rStyle w:val="Ninguno"/>
          <w:shd w:val="clear" w:color="auto" w:fill="FFFFFF"/>
        </w:rPr>
      </w:pPr>
      <w:r w:rsidRPr="00C40D7B">
        <w:rPr>
          <w:lang w:val="es-CO"/>
        </w:rPr>
        <w:t xml:space="preserve">Vallejo-Medina, P., Marchal-Bertrand, L., Gómez-Lugo, M., </w:t>
      </w:r>
      <w:r w:rsidR="00C40D7B" w:rsidRPr="00C40D7B">
        <w:rPr>
          <w:lang w:val="es-CO"/>
        </w:rPr>
        <w:t xml:space="preserve">Espada, J.P., </w:t>
      </w:r>
      <w:r w:rsidRPr="00C40D7B">
        <w:rPr>
          <w:lang w:val="es-CO"/>
        </w:rPr>
        <w:t xml:space="preserve">Sierra, J., Soler, F. y Morales, A. (2015). </w:t>
      </w:r>
      <w:r w:rsidR="00C40D7B" w:rsidRPr="00C40D7B">
        <w:rPr>
          <w:rStyle w:val="Ninguno"/>
          <w:shd w:val="clear" w:color="auto" w:fill="FFFFFF"/>
        </w:rPr>
        <w:t>Adaptation</w:t>
      </w:r>
      <w:r w:rsidR="00C40D7B">
        <w:rPr>
          <w:rStyle w:val="Ninguno"/>
          <w:shd w:val="clear" w:color="auto" w:fill="FFFFFF"/>
        </w:rPr>
        <w:t xml:space="preserve"> and validation of the brief sexual opinion s</w:t>
      </w:r>
      <w:r w:rsidR="00C40D7B" w:rsidRPr="002D2F27">
        <w:rPr>
          <w:rStyle w:val="Ninguno"/>
          <w:shd w:val="clear" w:color="auto" w:fill="FFFFFF"/>
        </w:rPr>
        <w:t>urvey (</w:t>
      </w:r>
      <w:r w:rsidR="00C40D7B">
        <w:rPr>
          <w:rStyle w:val="Ninguno"/>
          <w:shd w:val="clear" w:color="auto" w:fill="FFFFFF"/>
        </w:rPr>
        <w:t>SOS) in a Colombian sample and factorial e</w:t>
      </w:r>
      <w:r w:rsidR="00C40D7B" w:rsidRPr="002D2F27">
        <w:rPr>
          <w:rStyle w:val="Ninguno"/>
          <w:shd w:val="clear" w:color="auto" w:fill="FFFFFF"/>
        </w:rPr>
        <w:t>quivalence with the Spanish version</w:t>
      </w:r>
      <w:r w:rsidR="00C40D7B">
        <w:rPr>
          <w:rStyle w:val="Ninguno"/>
          <w:shd w:val="clear" w:color="auto" w:fill="FFFFFF"/>
        </w:rPr>
        <w:t>. Paper under revision.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jc w:val="both"/>
        <w:rPr>
          <w:lang w:val="en-US"/>
        </w:rPr>
      </w:pPr>
      <w:r w:rsidRPr="00C40D7B">
        <w:rPr>
          <w:lang w:val="es-CO"/>
        </w:rPr>
        <w:t xml:space="preserve">Vallejo-Medina, P., &amp; Sierra, J. C. (2015). </w:t>
      </w:r>
      <w:r w:rsidRPr="00C40D7B">
        <w:rPr>
          <w:lang w:val="en-US"/>
        </w:rPr>
        <w:t xml:space="preserve">Adaptation and validation of the Sexual Assertiveness Scale (SAS) in a sample of male drug users. </w:t>
      </w:r>
      <w:r w:rsidRPr="00C40D7B">
        <w:rPr>
          <w:i/>
          <w:lang w:val="en-US"/>
        </w:rPr>
        <w:t>The Spanish Journal of Psychology, 18</w:t>
      </w:r>
      <w:r w:rsidRPr="00C40D7B">
        <w:rPr>
          <w:lang w:val="en-US"/>
        </w:rPr>
        <w:t>, E21. doi:10.1017/sjp.2015.25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/>
        </w:rPr>
      </w:pPr>
      <w:r w:rsidRPr="00E538C1">
        <w:rPr>
          <w:lang w:val="en-US"/>
        </w:rPr>
        <w:t xml:space="preserve">Van Bruggen, L., Runtz, M., &amp; Kadlec, H. (2006). Sexual revictimization: The role of sexual self-esteem and dysfunctional sexual behaviors. </w:t>
      </w:r>
      <w:r w:rsidRPr="00E538C1">
        <w:rPr>
          <w:i/>
          <w:lang w:val="en-US"/>
        </w:rPr>
        <w:t xml:space="preserve">Child Maltreatment, 11, </w:t>
      </w:r>
      <w:r w:rsidRPr="00E538C1">
        <w:rPr>
          <w:lang w:val="en-US"/>
        </w:rPr>
        <w:t>131-145. doi: 10.1177/1077559505285780</w:t>
      </w:r>
    </w:p>
    <w:p w:rsidR="00072AA8" w:rsidRPr="00E538C1" w:rsidRDefault="00072AA8" w:rsidP="00072AA8">
      <w:pPr>
        <w:spacing w:after="120" w:line="480" w:lineRule="auto"/>
        <w:ind w:left="708" w:hanging="708"/>
        <w:rPr>
          <w:lang w:val="en-US"/>
        </w:rPr>
      </w:pPr>
      <w:r w:rsidRPr="00E538C1">
        <w:rPr>
          <w:lang w:val="en-US"/>
        </w:rPr>
        <w:lastRenderedPageBreak/>
        <w:t>Van Den Brink, F., Smeets, M. A., Hessen, D. J., Talens, J. G.</w:t>
      </w:r>
      <w:r w:rsidRPr="00E538C1">
        <w:rPr>
          <w:rStyle w:val="Hipervnculo"/>
          <w:color w:val="auto"/>
          <w:lang w:val="en-US"/>
        </w:rPr>
        <w:t>,</w:t>
      </w:r>
      <w:r w:rsidRPr="00E538C1">
        <w:rPr>
          <w:lang w:val="en-US"/>
        </w:rPr>
        <w:t xml:space="preserve"> &amp; Woertman, L. (2013). Body satisfaction and sexual health in </w:t>
      </w:r>
      <w:r w:rsidR="00CD62CA" w:rsidRPr="00E538C1">
        <w:rPr>
          <w:lang w:val="en-US"/>
        </w:rPr>
        <w:t>Dutch</w:t>
      </w:r>
      <w:r w:rsidRPr="00E538C1">
        <w:rPr>
          <w:lang w:val="en-US"/>
        </w:rPr>
        <w:t xml:space="preserve"> female university students</w:t>
      </w:r>
      <w:r w:rsidRPr="00E538C1">
        <w:rPr>
          <w:rStyle w:val="documenttype"/>
          <w:bCs/>
          <w:lang w:val="en-US"/>
        </w:rPr>
        <w:t xml:space="preserve">. </w:t>
      </w:r>
      <w:bookmarkStart w:id="1" w:name="corrAuthorTitle"/>
      <w:r w:rsidRPr="00E538C1">
        <w:rPr>
          <w:lang w:val="en-US"/>
        </w:rPr>
        <w:fldChar w:fldCharType="begin"/>
      </w:r>
      <w:r w:rsidRPr="00E538C1">
        <w:rPr>
          <w:lang w:val="en-US"/>
        </w:rPr>
        <w:instrText xml:space="preserve"> HYPERLINK "http://www-scopus-com.ez.urosario.edu.co/record/display.url?eid=2-s2.0-84886706387&amp;origin=resultslist&amp;sort=plf-f&amp;src=s&amp;st1=sexual+esteem&amp;st2=wiederman&amp;sid=79F9CC8C93054BBFAF0D89F1EECF2A34.zQKnzAySRvJOZYcdfIziQ%3a220&amp;sot=b&amp;sdt=b&amp;sl=58&amp;s=%28ABS%28sexual+esteem%29+AND+ALL%28wiederman%29%29+AND+PUBYEAR+%3e+2004&amp;relpos=8&amp;relpos=8&amp;citeCnt=0&amp;searchTerm=%28ABS%28sexual+esteem%29+AND+ALL%28wiederman%29%29+AND+PUBYEAR+%26gt%3B+2004" \l "corrAuthorFooter" </w:instrText>
      </w:r>
      <w:r w:rsidRPr="00E538C1">
        <w:rPr>
          <w:lang w:val="en-US"/>
        </w:rPr>
        <w:fldChar w:fldCharType="separate"/>
      </w:r>
      <w:r w:rsidRPr="00E538C1">
        <w:rPr>
          <w:rStyle w:val="correspondence-addressover"/>
          <w:lang w:val="en-US"/>
        </w:rPr>
        <w:t> </w:t>
      </w:r>
      <w:r w:rsidRPr="00E538C1">
        <w:rPr>
          <w:lang w:val="en-US"/>
        </w:rPr>
        <w:fldChar w:fldCharType="end"/>
      </w:r>
      <w:bookmarkEnd w:id="1"/>
      <w:r w:rsidRPr="00E538C1">
        <w:rPr>
          <w:bCs/>
          <w:i/>
          <w:lang w:val="en-US"/>
        </w:rPr>
        <w:t>Journal of Sex Research</w:t>
      </w:r>
      <w:r w:rsidRPr="00E538C1">
        <w:rPr>
          <w:i/>
          <w:lang w:val="en-US"/>
        </w:rPr>
        <w:t>, 50, 8</w:t>
      </w:r>
      <w:r w:rsidRPr="00E538C1">
        <w:rPr>
          <w:lang w:val="en-US"/>
        </w:rPr>
        <w:t>, 786-794. doi: 10.1080/00224499.2012.684250</w:t>
      </w:r>
    </w:p>
    <w:p w:rsidR="00072AA8" w:rsidRPr="00E538C1" w:rsidRDefault="00072AA8" w:rsidP="00072AA8">
      <w:pPr>
        <w:spacing w:after="120" w:line="480" w:lineRule="auto"/>
        <w:ind w:left="708" w:hanging="708"/>
        <w:rPr>
          <w:lang w:val="en-US"/>
        </w:rPr>
      </w:pPr>
      <w:r w:rsidRPr="00E538C1">
        <w:rPr>
          <w:lang w:val="en-US"/>
        </w:rPr>
        <w:t>Wentland, J. J., Herold, E. S., Desmarais, S.</w:t>
      </w:r>
      <w:r w:rsidR="00E538C1">
        <w:rPr>
          <w:lang w:val="en-US"/>
        </w:rPr>
        <w:t>,</w:t>
      </w:r>
      <w:r w:rsidRPr="00E538C1">
        <w:rPr>
          <w:lang w:val="en-US"/>
        </w:rPr>
        <w:t xml:space="preserve"> &amp; Milhausen, R. R. (2009). Differentiating highly sexual women from less sexual women</w:t>
      </w:r>
      <w:r w:rsidRPr="00E538C1">
        <w:rPr>
          <w:rStyle w:val="documenttype"/>
          <w:bCs/>
          <w:lang w:val="en-US"/>
        </w:rPr>
        <w:t xml:space="preserve">. </w:t>
      </w:r>
      <w:r w:rsidRPr="00E538C1">
        <w:rPr>
          <w:bCs/>
          <w:i/>
          <w:lang w:val="en-US"/>
        </w:rPr>
        <w:t>Canadian Journal of Human Sexuality</w:t>
      </w:r>
      <w:r w:rsidRPr="00E538C1">
        <w:rPr>
          <w:i/>
          <w:lang w:val="en-US"/>
        </w:rPr>
        <w:t>, 18</w:t>
      </w:r>
      <w:r w:rsidRPr="00E538C1">
        <w:rPr>
          <w:lang w:val="en-US"/>
        </w:rPr>
        <w:t>, 169-182.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rStyle w:val="value"/>
          <w:lang w:val="en-US"/>
        </w:rPr>
      </w:pPr>
      <w:r w:rsidRPr="00E538C1">
        <w:rPr>
          <w:lang w:val="en-US"/>
        </w:rPr>
        <w:t xml:space="preserve">Wiederman, M. W., &amp; Allgeier, E. R. (1993). The measurement of sexual-esteem: Investigation of Snell and Papini's (1989) Sexuality Scale. </w:t>
      </w:r>
      <w:r w:rsidRPr="00E538C1">
        <w:rPr>
          <w:i/>
          <w:lang w:val="en-US"/>
        </w:rPr>
        <w:t>Journal of Research in Personality</w:t>
      </w:r>
      <w:r w:rsidRPr="00E538C1">
        <w:rPr>
          <w:lang w:val="en-US"/>
        </w:rPr>
        <w:t xml:space="preserve">, </w:t>
      </w:r>
      <w:r w:rsidRPr="00E538C1">
        <w:rPr>
          <w:i/>
          <w:lang w:val="en-US"/>
        </w:rPr>
        <w:t>27</w:t>
      </w:r>
      <w:r w:rsidRPr="00E538C1">
        <w:rPr>
          <w:lang w:val="en-US"/>
        </w:rPr>
        <w:t>, 88-102. doi: 10.1006/jrpe.1993.1006</w:t>
      </w:r>
    </w:p>
    <w:p w:rsidR="00072AA8" w:rsidRPr="00E538C1" w:rsidRDefault="00072AA8" w:rsidP="00072AA8">
      <w:pPr>
        <w:autoSpaceDE w:val="0"/>
        <w:autoSpaceDN w:val="0"/>
        <w:adjustRightInd w:val="0"/>
        <w:spacing w:after="120" w:line="480" w:lineRule="auto"/>
        <w:ind w:left="709" w:hanging="709"/>
        <w:rPr>
          <w:lang w:val="en-US"/>
        </w:rPr>
      </w:pPr>
      <w:r w:rsidRPr="00E538C1">
        <w:rPr>
          <w:lang w:val="en-US"/>
        </w:rPr>
        <w:t xml:space="preserve">Wiederman, M. W. &amp; Hurst, S. R. (2010) </w:t>
      </w:r>
      <w:r w:rsidRPr="00E538C1">
        <w:rPr>
          <w:bCs/>
          <w:kern w:val="36"/>
          <w:lang w:val="en-US" w:eastAsia="es-CO"/>
        </w:rPr>
        <w:t xml:space="preserve">Body size, physical attractiveness, and body image among young adult women: Relationships to sexual experience and sexual esteem. </w:t>
      </w:r>
      <w:r w:rsidRPr="00E538C1">
        <w:rPr>
          <w:bCs/>
          <w:i/>
          <w:kern w:val="36"/>
          <w:lang w:val="en-US" w:eastAsia="es-CO"/>
        </w:rPr>
        <w:t xml:space="preserve">Journal of Sexual Research, 35, </w:t>
      </w:r>
      <w:r w:rsidRPr="00E538C1">
        <w:rPr>
          <w:bCs/>
          <w:kern w:val="36"/>
          <w:lang w:val="en-US" w:eastAsia="es-CO"/>
        </w:rPr>
        <w:t xml:space="preserve">272-281. doi: </w:t>
      </w:r>
      <w:r w:rsidRPr="00E538C1">
        <w:rPr>
          <w:lang w:val="en-US"/>
        </w:rPr>
        <w:t>10.1080/00224499809551943</w:t>
      </w:r>
    </w:p>
    <w:p w:rsidR="00072AA8" w:rsidRPr="00E538C1" w:rsidRDefault="00072AA8" w:rsidP="00072AA8">
      <w:pPr>
        <w:spacing w:after="120" w:line="480" w:lineRule="auto"/>
        <w:ind w:left="709" w:hanging="709"/>
        <w:rPr>
          <w:lang w:val="en-US"/>
        </w:rPr>
      </w:pPr>
      <w:r w:rsidRPr="00E538C1">
        <w:rPr>
          <w:lang w:val="en-US"/>
        </w:rPr>
        <w:t>Yuan, K. H., &amp; Bentler, P. M. (2000). Three likelihood-based methods for mean and covariance structure analysis with non</w:t>
      </w:r>
      <w:r w:rsidR="00E538C1">
        <w:rPr>
          <w:lang w:val="en-US"/>
        </w:rPr>
        <w:t>-</w:t>
      </w:r>
      <w:r w:rsidRPr="00E538C1">
        <w:rPr>
          <w:lang w:val="en-US"/>
        </w:rPr>
        <w:t xml:space="preserve">normal missing data. In M. E. Sobel &amp; M. P. Becker (Eds.), </w:t>
      </w:r>
      <w:r w:rsidRPr="00E538C1">
        <w:rPr>
          <w:i/>
          <w:lang w:val="en-US"/>
        </w:rPr>
        <w:t>Sociological methodology 2000</w:t>
      </w:r>
      <w:r w:rsidRPr="00E538C1">
        <w:rPr>
          <w:lang w:val="en-US"/>
        </w:rPr>
        <w:t xml:space="preserve"> (pp. 165–200). Washington, DC: American Sociological Association.</w:t>
      </w:r>
    </w:p>
    <w:p w:rsidR="00072AA8" w:rsidRPr="00E538C1" w:rsidRDefault="00072AA8" w:rsidP="00072AA8">
      <w:pPr>
        <w:pStyle w:val="NormalWeb"/>
        <w:spacing w:line="480" w:lineRule="auto"/>
        <w:rPr>
          <w:lang w:val="en-US"/>
        </w:rPr>
      </w:pPr>
      <w:r w:rsidRPr="00E538C1">
        <w:rPr>
          <w:lang w:val="en-US"/>
        </w:rPr>
        <w:t xml:space="preserve">Zeanah, P. D., &amp; Schwarz, J. C. (1996). Reliability and Validity of the Sexual Self-Esteem Inventory for Women. </w:t>
      </w:r>
      <w:r w:rsidRPr="00E538C1">
        <w:rPr>
          <w:i/>
          <w:lang w:val="en-US"/>
        </w:rPr>
        <w:t>Assessment, 3</w:t>
      </w:r>
      <w:r w:rsidRPr="00E538C1">
        <w:rPr>
          <w:lang w:val="en-US"/>
        </w:rPr>
        <w:t>, 1-15. doi: 10.1177/107319119600300101</w:t>
      </w:r>
    </w:p>
    <w:p w:rsidR="00072AA8" w:rsidRPr="00E538C1" w:rsidRDefault="00072AA8" w:rsidP="00423241">
      <w:pPr>
        <w:pStyle w:val="NormalWeb"/>
        <w:spacing w:line="480" w:lineRule="auto"/>
        <w:rPr>
          <w:lang w:val="en-US"/>
        </w:rPr>
      </w:pPr>
    </w:p>
    <w:p w:rsidR="00072AA8" w:rsidRPr="00E538C1" w:rsidRDefault="00072AA8" w:rsidP="00423241">
      <w:pPr>
        <w:pStyle w:val="NormalWeb"/>
        <w:spacing w:line="480" w:lineRule="auto"/>
        <w:rPr>
          <w:lang w:val="en-US"/>
        </w:rPr>
      </w:pPr>
    </w:p>
    <w:p w:rsidR="00072AA8" w:rsidRPr="00E538C1" w:rsidRDefault="00072AA8" w:rsidP="00C40D7B">
      <w:pPr>
        <w:pStyle w:val="NormalWeb"/>
        <w:spacing w:after="0" w:afterAutospacing="0"/>
        <w:rPr>
          <w:lang w:val="en-US"/>
        </w:rPr>
      </w:pPr>
      <w:r w:rsidRPr="00E538C1">
        <w:rPr>
          <w:lang w:val="en-US"/>
        </w:rPr>
        <w:br w:type="page"/>
      </w:r>
      <w:r w:rsidRPr="00E538C1">
        <w:rPr>
          <w:rStyle w:val="goog-gtc-translatable"/>
          <w:lang w:val="en-US"/>
        </w:rPr>
        <w:lastRenderedPageBreak/>
        <w:t>Table 1.</w:t>
      </w:r>
    </w:p>
    <w:p w:rsidR="00072AA8" w:rsidRPr="00E538C1" w:rsidRDefault="00072AA8" w:rsidP="00C40D7B">
      <w:pPr>
        <w:pStyle w:val="NormalWeb"/>
        <w:spacing w:after="0" w:afterAutospacing="0"/>
        <w:rPr>
          <w:i/>
          <w:lang w:val="en-US"/>
        </w:rPr>
      </w:pPr>
      <w:r w:rsidRPr="00E538C1">
        <w:rPr>
          <w:rStyle w:val="goog-gtc-translatable"/>
          <w:i/>
          <w:lang w:val="en-US"/>
        </w:rPr>
        <w:t>Characteristics of the Participants</w:t>
      </w:r>
      <w:r w:rsidR="00D428D6">
        <w:rPr>
          <w:rStyle w:val="goog-gtc-translatable"/>
          <w:i/>
          <w:lang w:val="en-US"/>
        </w:rPr>
        <w:t>’</w:t>
      </w:r>
      <w:r w:rsidRPr="00E538C1">
        <w:rPr>
          <w:rStyle w:val="goog-gtc-translatable"/>
          <w:i/>
          <w:lang w:val="en-US"/>
        </w:rPr>
        <w:t xml:space="preserve"> Sample in Colombia and Spain.</w:t>
      </w:r>
    </w:p>
    <w:tbl>
      <w:tblPr>
        <w:tblW w:w="88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2"/>
        <w:gridCol w:w="1417"/>
        <w:gridCol w:w="1559"/>
        <w:gridCol w:w="1760"/>
        <w:gridCol w:w="1643"/>
      </w:tblGrid>
      <w:tr w:rsidR="00E538C1" w:rsidRPr="00E538C1" w:rsidTr="00E538C1">
        <w:trPr>
          <w:trHeight w:val="315"/>
        </w:trPr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Variable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Colombia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Spain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Hypothesis contrast</w:t>
            </w:r>
          </w:p>
        </w:tc>
      </w:tr>
      <w:tr w:rsidR="00E538C1" w:rsidRPr="00E538C1" w:rsidTr="00E538C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Sex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397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313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 w:eastAsia="es-CO"/>
              </w:rPr>
            </w:pPr>
            <w:r w:rsidRPr="00E538C1">
              <w:rPr>
                <w:i/>
                <w:iCs/>
                <w:lang w:val="en-US" w:eastAsia="es-CO"/>
              </w:rPr>
              <w:t>χ</w:t>
            </w:r>
            <w:r w:rsidRPr="00E538C1">
              <w:rPr>
                <w:i/>
                <w:iCs/>
                <w:vertAlign w:val="superscript"/>
                <w:lang w:val="en-US" w:eastAsia="es-CO"/>
              </w:rPr>
              <w:t>2</w:t>
            </w:r>
            <w:r w:rsidRPr="00E538C1">
              <w:rPr>
                <w:i/>
                <w:iCs/>
                <w:lang w:val="en-US" w:eastAsia="es-CO"/>
              </w:rPr>
              <w:t>(1)  = .15; p = .69</w:t>
            </w: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200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i/>
                <w:iCs/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Age ranges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right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18 - 30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309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268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 w:eastAsia="es-CO"/>
              </w:rPr>
            </w:pPr>
            <w:r w:rsidRPr="00E538C1">
              <w:rPr>
                <w:i/>
                <w:iCs/>
                <w:lang w:val="en-US" w:eastAsia="es-CO"/>
              </w:rPr>
              <w:t>χ</w:t>
            </w:r>
            <w:r w:rsidRPr="00E538C1">
              <w:rPr>
                <w:i/>
                <w:iCs/>
                <w:vertAlign w:val="superscript"/>
                <w:lang w:val="en-US" w:eastAsia="es-CO"/>
              </w:rPr>
              <w:t>2</w:t>
            </w:r>
            <w:r w:rsidRPr="00E538C1">
              <w:rPr>
                <w:i/>
                <w:iCs/>
                <w:lang w:val="en-US" w:eastAsia="es-CO"/>
              </w:rPr>
              <w:t xml:space="preserve">(2)  = 6.51; p = .039; </w:t>
            </w:r>
            <w:r w:rsidRPr="00E538C1">
              <w:rPr>
                <w:i/>
                <w:iCs/>
                <w:lang w:val="en-US"/>
              </w:rPr>
              <w:t xml:space="preserve">η = </w:t>
            </w:r>
            <w:r w:rsidRPr="00E538C1">
              <w:rPr>
                <w:iCs/>
                <w:lang w:val="en-US"/>
              </w:rPr>
              <w:t>0.003</w:t>
            </w: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right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31 - 44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154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i/>
                <w:iCs/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right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Older than 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99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i/>
                <w:iCs/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Years of schooling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16.70 (2.85)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15.77 (4.07)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 w:eastAsia="es-CO"/>
              </w:rPr>
            </w:pPr>
            <w:r w:rsidRPr="00E538C1">
              <w:rPr>
                <w:i/>
                <w:iCs/>
                <w:lang w:val="en-US" w:eastAsia="es-CO"/>
              </w:rPr>
              <w:t>t(1154) = 4.53; p ˂ .01; d = .26</w:t>
            </w:r>
          </w:p>
        </w:tc>
      </w:tr>
      <w:tr w:rsidR="00E538C1" w:rsidRPr="00E538C1" w:rsidTr="00E538C1">
        <w:trPr>
          <w:trHeight w:val="240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553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432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 w:eastAsia="es-CO"/>
              </w:rPr>
            </w:pPr>
            <w:r w:rsidRPr="00E538C1">
              <w:rPr>
                <w:i/>
                <w:iCs/>
                <w:lang w:val="en-US" w:eastAsia="es-CO"/>
              </w:rPr>
              <w:t>χ</w:t>
            </w:r>
            <w:r w:rsidRPr="00E538C1">
              <w:rPr>
                <w:i/>
                <w:iCs/>
                <w:vertAlign w:val="superscript"/>
                <w:lang w:val="en-US" w:eastAsia="es-CO"/>
              </w:rPr>
              <w:t>2</w:t>
            </w:r>
            <w:r w:rsidRPr="00E538C1">
              <w:rPr>
                <w:i/>
                <w:iCs/>
                <w:lang w:val="en-US" w:eastAsia="es-CO"/>
              </w:rPr>
              <w:t>(7) = 9.02; p = .25</w:t>
            </w: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38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i/>
                <w:iCs/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5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i/>
                <w:iCs/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6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i/>
                <w:iCs/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4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i/>
                <w:iCs/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12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i/>
                <w:iCs/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20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i/>
                <w:iCs/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3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i/>
                <w:iCs/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Relationship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454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371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 w:eastAsia="es-CO"/>
              </w:rPr>
            </w:pPr>
            <w:r w:rsidRPr="00E538C1">
              <w:rPr>
                <w:i/>
                <w:iCs/>
                <w:lang w:val="en-US" w:eastAsia="es-CO"/>
              </w:rPr>
              <w:t>χ</w:t>
            </w:r>
            <w:r w:rsidRPr="00E538C1">
              <w:rPr>
                <w:i/>
                <w:iCs/>
                <w:vertAlign w:val="superscript"/>
                <w:lang w:val="en-US" w:eastAsia="es-CO"/>
              </w:rPr>
              <w:t>2</w:t>
            </w:r>
            <w:r w:rsidRPr="00E538C1">
              <w:rPr>
                <w:i/>
                <w:iCs/>
                <w:lang w:val="en-US" w:eastAsia="es-CO"/>
              </w:rPr>
              <w:t>(1)  = .06; p = .81</w:t>
            </w: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149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i/>
                <w:iCs/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Marital status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Single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313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 w:eastAsia="es-CO"/>
              </w:rPr>
            </w:pPr>
            <w:r w:rsidRPr="00E538C1">
              <w:rPr>
                <w:i/>
                <w:iCs/>
                <w:lang w:val="en-US" w:eastAsia="es-CO"/>
              </w:rPr>
              <w:t>χ</w:t>
            </w:r>
            <w:r w:rsidRPr="00E538C1">
              <w:rPr>
                <w:i/>
                <w:iCs/>
                <w:vertAlign w:val="superscript"/>
                <w:lang w:val="en-US" w:eastAsia="es-CO"/>
              </w:rPr>
              <w:t>2</w:t>
            </w:r>
            <w:r w:rsidRPr="00E538C1">
              <w:rPr>
                <w:i/>
                <w:iCs/>
                <w:lang w:val="en-US" w:eastAsia="es-CO"/>
              </w:rPr>
              <w:t xml:space="preserve">(3)  = 22.16; p &lt; .01; </w:t>
            </w:r>
            <w:r w:rsidRPr="00E538C1">
              <w:rPr>
                <w:i/>
                <w:iCs/>
                <w:lang w:val="en-US"/>
              </w:rPr>
              <w:t xml:space="preserve">η = </w:t>
            </w:r>
            <w:r w:rsidRPr="00E538C1">
              <w:rPr>
                <w:iCs/>
                <w:lang w:val="en-US"/>
              </w:rPr>
              <w:t>0.094</w:t>
            </w: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Married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144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i/>
                <w:iCs/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Common-law marriage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30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i/>
                <w:iCs/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Divorced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25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i/>
                <w:iCs/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Religion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Christian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333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245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 w:eastAsia="es-CO"/>
              </w:rPr>
            </w:pPr>
            <w:r w:rsidRPr="00E538C1">
              <w:rPr>
                <w:i/>
                <w:iCs/>
                <w:lang w:val="en-US" w:eastAsia="es-CO"/>
              </w:rPr>
              <w:t>χ</w:t>
            </w:r>
            <w:r w:rsidRPr="00E538C1">
              <w:rPr>
                <w:i/>
                <w:iCs/>
                <w:vertAlign w:val="superscript"/>
                <w:lang w:val="en-US" w:eastAsia="es-CO"/>
              </w:rPr>
              <w:t>2</w:t>
            </w:r>
            <w:r w:rsidRPr="00E538C1">
              <w:rPr>
                <w:i/>
                <w:iCs/>
                <w:lang w:val="en-US" w:eastAsia="es-CO"/>
              </w:rPr>
              <w:t xml:space="preserve">(6) = 101.61; p &lt; .01; </w:t>
            </w:r>
            <w:r w:rsidRPr="00E538C1">
              <w:rPr>
                <w:i/>
                <w:iCs/>
                <w:lang w:val="en-US"/>
              </w:rPr>
              <w:t xml:space="preserve">η = </w:t>
            </w:r>
            <w:r w:rsidRPr="00E538C1">
              <w:rPr>
                <w:iCs/>
                <w:lang w:val="en-US"/>
              </w:rPr>
              <w:t>0.003</w:t>
            </w: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pStyle w:val="NormalWeb"/>
              <w:rPr>
                <w:lang w:val="en-US"/>
              </w:rPr>
            </w:pPr>
            <w:r w:rsidRPr="00E538C1">
              <w:rPr>
                <w:rStyle w:val="goog-gtc-translatable"/>
                <w:lang w:val="en-US"/>
              </w:rPr>
              <w:t>Jewish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2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i/>
                <w:iCs/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pStyle w:val="NormalWeb"/>
              <w:rPr>
                <w:lang w:val="en-US"/>
              </w:rPr>
            </w:pPr>
            <w:r w:rsidRPr="00E538C1">
              <w:rPr>
                <w:rStyle w:val="goog-gtc-translatable"/>
                <w:lang w:val="en-US"/>
              </w:rPr>
              <w:t>Hindu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1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i/>
                <w:iCs/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pStyle w:val="NormalWeb"/>
              <w:rPr>
                <w:lang w:val="en-US"/>
              </w:rPr>
            </w:pPr>
            <w:r w:rsidRPr="00E538C1">
              <w:rPr>
                <w:rStyle w:val="goog-gtc-translatable"/>
                <w:lang w:val="en-US"/>
              </w:rPr>
              <w:t>Buddhist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0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i/>
                <w:iCs/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pStyle w:val="NormalWeb"/>
              <w:rPr>
                <w:lang w:val="en-US"/>
              </w:rPr>
            </w:pPr>
            <w:r w:rsidRPr="00E538C1">
              <w:rPr>
                <w:rStyle w:val="goog-gtc-translatable"/>
                <w:lang w:val="en-US"/>
              </w:rPr>
              <w:t>Catholic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0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i/>
                <w:iCs/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268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i/>
                <w:iCs/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Other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2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i/>
                <w:iCs/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Religiousness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Daily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1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 w:eastAsia="es-CO"/>
              </w:rPr>
            </w:pPr>
            <w:r w:rsidRPr="00E538C1">
              <w:rPr>
                <w:i/>
                <w:iCs/>
                <w:lang w:val="en-US" w:eastAsia="es-CO"/>
              </w:rPr>
              <w:t>χ</w:t>
            </w:r>
            <w:r w:rsidRPr="00E538C1">
              <w:rPr>
                <w:i/>
                <w:iCs/>
                <w:vertAlign w:val="superscript"/>
                <w:lang w:val="en-US" w:eastAsia="es-CO"/>
              </w:rPr>
              <w:t>2</w:t>
            </w:r>
            <w:r w:rsidRPr="00E538C1">
              <w:rPr>
                <w:i/>
                <w:iCs/>
                <w:lang w:val="en-US" w:eastAsia="es-CO"/>
              </w:rPr>
              <w:t xml:space="preserve">(4)  = 189.41; p &lt; .01; </w:t>
            </w:r>
            <w:r w:rsidRPr="00E538C1">
              <w:rPr>
                <w:i/>
                <w:iCs/>
                <w:lang w:val="en-US"/>
              </w:rPr>
              <w:t xml:space="preserve">η = </w:t>
            </w:r>
            <w:r w:rsidRPr="00E538C1">
              <w:rPr>
                <w:iCs/>
                <w:lang w:val="en-US"/>
              </w:rPr>
              <w:t>0.389</w:t>
            </w: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Once a week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13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i/>
                <w:iCs/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Rarely a month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23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i/>
                <w:iCs/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Rarely a year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194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i/>
                <w:iCs/>
                <w:lang w:val="en-US" w:eastAsia="es-CO"/>
              </w:rPr>
            </w:pPr>
          </w:p>
        </w:tc>
      </w:tr>
      <w:tr w:rsidR="00E538C1" w:rsidRPr="00E538C1" w:rsidTr="00E538C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Never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287</w:t>
            </w:r>
          </w:p>
        </w:tc>
        <w:tc>
          <w:tcPr>
            <w:tcW w:w="34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i/>
                <w:iCs/>
                <w:lang w:val="en-US" w:eastAsia="es-CO"/>
              </w:rPr>
            </w:pPr>
          </w:p>
        </w:tc>
      </w:tr>
    </w:tbl>
    <w:p w:rsidR="00072AA8" w:rsidRPr="00E538C1" w:rsidRDefault="00072AA8" w:rsidP="00072AA8">
      <w:pPr>
        <w:rPr>
          <w:lang w:val="en-US"/>
        </w:rPr>
      </w:pPr>
      <w:r w:rsidRPr="00E538C1">
        <w:rPr>
          <w:i/>
          <w:lang w:val="en-US"/>
        </w:rPr>
        <w:t>Note</w:t>
      </w:r>
      <w:r w:rsidRPr="00E538C1">
        <w:rPr>
          <w:lang w:val="en-US"/>
        </w:rPr>
        <w:t xml:space="preserve">: </w:t>
      </w:r>
      <w:r w:rsidRPr="00E538C1">
        <w:rPr>
          <w:rStyle w:val="goog-gtc-translatable"/>
          <w:lang w:val="en-US"/>
        </w:rPr>
        <w:t>Sexual orientation was evaluated on a continuum from 1 (exclusively heterosexual) to 7 (exclusively homosexual); χ 2 = Chi square</w:t>
      </w:r>
      <w:r w:rsidRPr="00E538C1">
        <w:rPr>
          <w:lang w:val="en-US"/>
        </w:rPr>
        <w:t> </w:t>
      </w:r>
    </w:p>
    <w:p w:rsidR="00072AA8" w:rsidRPr="00E538C1" w:rsidRDefault="00072AA8" w:rsidP="00072AA8">
      <w:pPr>
        <w:pStyle w:val="NormalWeb"/>
        <w:rPr>
          <w:lang w:val="en-US"/>
        </w:rPr>
      </w:pPr>
      <w:r w:rsidRPr="00E538C1">
        <w:rPr>
          <w:lang w:val="en-US"/>
        </w:rPr>
        <w:lastRenderedPageBreak/>
        <w:t> </w:t>
      </w:r>
      <w:r w:rsidRPr="00E538C1">
        <w:rPr>
          <w:rStyle w:val="goog-gtc-translatable"/>
          <w:lang w:val="en-US"/>
        </w:rPr>
        <w:t>Table 2.</w:t>
      </w:r>
    </w:p>
    <w:p w:rsidR="00072AA8" w:rsidRPr="00E538C1" w:rsidRDefault="00072AA8" w:rsidP="00072AA8">
      <w:pPr>
        <w:pStyle w:val="NormalWeb"/>
        <w:rPr>
          <w:lang w:val="en-US"/>
        </w:rPr>
      </w:pPr>
      <w:r w:rsidRPr="00E538C1">
        <w:rPr>
          <w:rStyle w:val="goog-gtc-translatable"/>
          <w:lang w:val="en-US"/>
        </w:rPr>
        <w:t xml:space="preserve">Psychometric Properties of the Sexuality Scale </w:t>
      </w:r>
    </w:p>
    <w:tbl>
      <w:tblPr>
        <w:tblW w:w="9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849"/>
        <w:gridCol w:w="567"/>
        <w:gridCol w:w="577"/>
        <w:gridCol w:w="557"/>
        <w:gridCol w:w="390"/>
        <w:gridCol w:w="460"/>
        <w:gridCol w:w="556"/>
        <w:gridCol w:w="567"/>
        <w:gridCol w:w="220"/>
        <w:gridCol w:w="675"/>
        <w:gridCol w:w="662"/>
        <w:gridCol w:w="439"/>
        <w:gridCol w:w="567"/>
        <w:gridCol w:w="425"/>
        <w:gridCol w:w="562"/>
        <w:gridCol w:w="567"/>
      </w:tblGrid>
      <w:tr w:rsidR="00E538C1" w:rsidRPr="00E538C1" w:rsidTr="00E538C1">
        <w:trPr>
          <w:trHeight w:val="495"/>
        </w:trPr>
        <w:tc>
          <w:tcPr>
            <w:tcW w:w="56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/>
              </w:rPr>
              <w:t>Subscale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Item</w:t>
            </w:r>
          </w:p>
        </w:tc>
        <w:tc>
          <w:tcPr>
            <w:tcW w:w="3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Colombia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 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Spain</w:t>
            </w:r>
          </w:p>
        </w:tc>
      </w:tr>
      <w:tr w:rsidR="00E538C1" w:rsidRPr="00E538C1" w:rsidTr="00E538C1">
        <w:trPr>
          <w:trHeight w:val="480"/>
        </w:trPr>
        <w:tc>
          <w:tcPr>
            <w:tcW w:w="56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/>
              </w:rPr>
            </w:pPr>
            <w:r w:rsidRPr="00E538C1">
              <w:rPr>
                <w:i/>
                <w:iCs/>
                <w:lang w:val="en-US"/>
              </w:rPr>
              <w:t>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/>
              </w:rPr>
            </w:pPr>
            <w:r w:rsidRPr="00E538C1">
              <w:rPr>
                <w:i/>
                <w:iCs/>
                <w:lang w:val="en-US"/>
              </w:rPr>
              <w:t>SD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/>
              </w:rPr>
            </w:pPr>
            <w:r w:rsidRPr="00E538C1">
              <w:rPr>
                <w:i/>
                <w:lang w:val="en-US"/>
              </w:rPr>
              <w:t>r</w:t>
            </w:r>
            <w:r w:rsidRPr="00E538C1">
              <w:rPr>
                <w:vertAlign w:val="subscript"/>
                <w:lang w:val="en-US"/>
              </w:rPr>
              <w:t>it</w:t>
            </w:r>
            <w:r w:rsidRPr="00E538C1">
              <w:rPr>
                <w:vertAlign w:val="superscript"/>
                <w:lang w:val="en-US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/>
              </w:rPr>
            </w:pPr>
            <w:r w:rsidRPr="00E538C1">
              <w:rPr>
                <w:i/>
                <w:iCs/>
                <w:lang w:val="en-US"/>
              </w:rPr>
              <w:t>α - 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/>
              </w:rPr>
            </w:pPr>
            <w:r w:rsidRPr="00E538C1">
              <w:rPr>
                <w:i/>
                <w:iCs/>
                <w:lang w:val="en-US"/>
              </w:rPr>
              <w:t xml:space="preserve">α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/>
              </w:rPr>
            </w:pPr>
            <w:r w:rsidRPr="00E538C1">
              <w:rPr>
                <w:i/>
                <w:iCs/>
                <w:lang w:val="en-US"/>
              </w:rPr>
              <w:t xml:space="preserve">Total 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/>
              </w:rPr>
            </w:pPr>
            <w:r w:rsidRPr="00E538C1">
              <w:rPr>
                <w:i/>
                <w:iCs/>
                <w:lang w:val="en-US"/>
              </w:rPr>
              <w:t xml:space="preserve">Total SD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/>
              </w:rPr>
            </w:pPr>
            <w:r w:rsidRPr="00E538C1">
              <w:rPr>
                <w:i/>
                <w:iCs/>
                <w:lang w:val="en-US"/>
              </w:rPr>
              <w:t>M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/>
              </w:rPr>
            </w:pPr>
            <w:r w:rsidRPr="00E538C1">
              <w:rPr>
                <w:i/>
                <w:iCs/>
                <w:lang w:val="en-US"/>
              </w:rPr>
              <w:t>SD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/>
              </w:rPr>
            </w:pPr>
            <w:r w:rsidRPr="00E538C1">
              <w:rPr>
                <w:i/>
                <w:lang w:val="en-US"/>
              </w:rPr>
              <w:t>r</w:t>
            </w:r>
            <w:r w:rsidRPr="00E538C1">
              <w:rPr>
                <w:vertAlign w:val="subscript"/>
                <w:lang w:val="en-US"/>
              </w:rPr>
              <w:t>it</w:t>
            </w:r>
            <w:r w:rsidRPr="00E538C1">
              <w:rPr>
                <w:vertAlign w:val="superscript"/>
                <w:lang w:val="en-US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/>
              </w:rPr>
            </w:pPr>
            <w:r w:rsidRPr="00E538C1">
              <w:rPr>
                <w:i/>
                <w:iCs/>
                <w:lang w:val="en-US"/>
              </w:rPr>
              <w:t>α -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/>
              </w:rPr>
            </w:pPr>
            <w:r w:rsidRPr="00E538C1">
              <w:rPr>
                <w:i/>
                <w:iCs/>
                <w:lang w:val="en-US"/>
              </w:rPr>
              <w:t xml:space="preserve">α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/>
              </w:rPr>
            </w:pPr>
            <w:r w:rsidRPr="00E538C1">
              <w:rPr>
                <w:i/>
                <w:iCs/>
                <w:lang w:val="en-US"/>
              </w:rPr>
              <w:t xml:space="preserve">Total 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iCs/>
                <w:lang w:val="en-US"/>
              </w:rPr>
            </w:pPr>
            <w:r w:rsidRPr="00E538C1">
              <w:rPr>
                <w:i/>
                <w:iCs/>
                <w:lang w:val="en-US"/>
              </w:rPr>
              <w:t xml:space="preserve">Total SD </w:t>
            </w:r>
          </w:p>
        </w:tc>
      </w:tr>
      <w:tr w:rsidR="00E538C1" w:rsidRPr="00E538C1" w:rsidTr="00E538C1">
        <w:trPr>
          <w:trHeight w:val="330"/>
        </w:trPr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SSE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SSE1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4.42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0.90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.59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.81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.83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21.69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3.49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4.10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0.93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.84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.87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20.31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3.95</w:t>
            </w:r>
          </w:p>
        </w:tc>
      </w:tr>
      <w:tr w:rsidR="00E538C1" w:rsidRPr="00E538C1" w:rsidTr="00E538C1">
        <w:trPr>
          <w:trHeight w:val="330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SSE2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4.07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0.89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.69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.78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3.96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0.91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.83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</w:tr>
      <w:tr w:rsidR="00E538C1" w:rsidRPr="00E538C1" w:rsidTr="00E538C1">
        <w:trPr>
          <w:trHeight w:val="330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SSE3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4.32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0.86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.77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.76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3.87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0.97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.82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</w:tr>
      <w:tr w:rsidR="00E538C1" w:rsidRPr="00E538C1" w:rsidTr="00E538C1">
        <w:trPr>
          <w:trHeight w:val="330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SSE4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4.53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0.88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.56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.81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4.39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0.95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.88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</w:tr>
      <w:tr w:rsidR="00E538C1" w:rsidRPr="00E538C1" w:rsidTr="00E538C1">
        <w:trPr>
          <w:trHeight w:val="330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SSE5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4.36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0.99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.82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.86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</w:tr>
      <w:tr w:rsidR="00E538C1" w:rsidRPr="00E538C1" w:rsidTr="00E538C1">
        <w:trPr>
          <w:trHeight w:val="330"/>
        </w:trPr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SD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SD1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1.75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.66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.84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.87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8.29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4.45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1.93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.83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.86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9.61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4.91</w:t>
            </w:r>
          </w:p>
        </w:tc>
      </w:tr>
      <w:tr w:rsidR="00E538C1" w:rsidRPr="00E538C1" w:rsidTr="00E538C1">
        <w:trPr>
          <w:trHeight w:val="330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SD2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1.47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0.90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.57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.86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1.53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0.96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.88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</w:tr>
      <w:tr w:rsidR="00E538C1" w:rsidRPr="00E538C1" w:rsidTr="00E538C1">
        <w:trPr>
          <w:trHeight w:val="330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SD3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1.77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.71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.83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2.18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1.38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.82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</w:tr>
      <w:tr w:rsidR="00E538C1" w:rsidRPr="00E538C1" w:rsidTr="00E538C1">
        <w:trPr>
          <w:trHeight w:val="330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SD4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1.61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.78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.81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1.85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.80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</w:tr>
      <w:tr w:rsidR="00E538C1" w:rsidRPr="00E538C1" w:rsidTr="00E538C1">
        <w:trPr>
          <w:trHeight w:val="330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SD5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.83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2.13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.82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</w:tr>
      <w:tr w:rsidR="00E538C1" w:rsidRPr="00E538C1" w:rsidTr="00E538C1">
        <w:trPr>
          <w:trHeight w:val="330"/>
        </w:trPr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SP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SP1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2.79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.69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.80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.84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11.22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4.89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2.43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.81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.85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10.28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4.76</w:t>
            </w:r>
          </w:p>
        </w:tc>
      </w:tr>
      <w:tr w:rsidR="00E538C1" w:rsidRPr="00E538C1" w:rsidTr="00E538C1">
        <w:trPr>
          <w:trHeight w:val="330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SP2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1.90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.69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.80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1.74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.81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</w:tr>
      <w:tr w:rsidR="00E538C1" w:rsidRPr="00E538C1" w:rsidTr="00E538C1">
        <w:trPr>
          <w:trHeight w:val="330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SP3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1.99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.36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.88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1.96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.89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</w:tr>
      <w:tr w:rsidR="00E538C1" w:rsidRPr="00E538C1" w:rsidTr="00E538C1">
        <w:trPr>
          <w:trHeight w:val="330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SP4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2.26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1.29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.78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.78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.80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</w:tr>
      <w:tr w:rsidR="00E538C1" w:rsidRPr="00E538C1" w:rsidTr="00E538C1">
        <w:trPr>
          <w:trHeight w:val="330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SP5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2.28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.77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.78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2.14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.80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</w:tr>
    </w:tbl>
    <w:p w:rsidR="00072AA8" w:rsidRPr="00E538C1" w:rsidRDefault="00072AA8" w:rsidP="00072AA8">
      <w:pPr>
        <w:pStyle w:val="Sinespaciado"/>
        <w:rPr>
          <w:rFonts w:ascii="Times New Roman" w:hAnsi="Times New Roman"/>
          <w:sz w:val="24"/>
          <w:szCs w:val="24"/>
          <w:lang w:val="en-US" w:eastAsia="es-CO"/>
        </w:rPr>
      </w:pPr>
      <w:r w:rsidRPr="00E538C1">
        <w:rPr>
          <w:rFonts w:ascii="Times New Roman" w:hAnsi="Times New Roman"/>
          <w:i/>
          <w:sz w:val="24"/>
          <w:szCs w:val="24"/>
          <w:lang w:val="en-US"/>
        </w:rPr>
        <w:t>Note:</w:t>
      </w:r>
      <w:r w:rsidRPr="00E538C1">
        <w:rPr>
          <w:rFonts w:ascii="Times New Roman" w:hAnsi="Times New Roman"/>
          <w:sz w:val="24"/>
          <w:szCs w:val="24"/>
          <w:lang w:val="en-US"/>
        </w:rPr>
        <w:t xml:space="preserve"> SSE = Sexual Self-Esteem; SD: Sexual Depression; SP: Sexual Preoccupation; </w:t>
      </w:r>
      <w:r w:rsidRPr="00E538C1">
        <w:rPr>
          <w:rFonts w:ascii="Times New Roman" w:hAnsi="Times New Roman"/>
          <w:i/>
          <w:sz w:val="24"/>
          <w:szCs w:val="24"/>
          <w:lang w:val="en-US"/>
        </w:rPr>
        <w:t>M</w:t>
      </w:r>
      <w:r w:rsidRPr="00E538C1">
        <w:rPr>
          <w:rFonts w:ascii="Times New Roman" w:hAnsi="Times New Roman"/>
          <w:sz w:val="24"/>
          <w:szCs w:val="24"/>
          <w:lang w:val="en-US"/>
        </w:rPr>
        <w:t xml:space="preserve"> = Mean; </w:t>
      </w:r>
      <w:r w:rsidRPr="00E538C1">
        <w:rPr>
          <w:rFonts w:ascii="Times New Roman" w:hAnsi="Times New Roman"/>
          <w:i/>
          <w:sz w:val="24"/>
          <w:szCs w:val="24"/>
          <w:lang w:val="en-US"/>
        </w:rPr>
        <w:t>SD =</w:t>
      </w:r>
      <w:r w:rsidRPr="00E538C1">
        <w:rPr>
          <w:rFonts w:ascii="Times New Roman" w:hAnsi="Times New Roman"/>
          <w:sz w:val="24"/>
          <w:szCs w:val="24"/>
          <w:lang w:val="en-US"/>
        </w:rPr>
        <w:t xml:space="preserve"> S; </w:t>
      </w:r>
      <w:r w:rsidRPr="00E538C1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538C1">
        <w:rPr>
          <w:rFonts w:ascii="Times New Roman" w:hAnsi="Times New Roman"/>
          <w:sz w:val="24"/>
          <w:szCs w:val="24"/>
          <w:vertAlign w:val="subscript"/>
          <w:lang w:val="en-US"/>
        </w:rPr>
        <w:t>it</w:t>
      </w:r>
      <w:r w:rsidRPr="00E538C1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 w:rsidRPr="00E538C1">
        <w:rPr>
          <w:rFonts w:ascii="Times New Roman" w:hAnsi="Times New Roman"/>
          <w:sz w:val="24"/>
          <w:szCs w:val="24"/>
          <w:lang w:val="en-US"/>
        </w:rPr>
        <w:t xml:space="preserve"> = Corrected item-total correlations; </w:t>
      </w:r>
      <w:r w:rsidRPr="00E538C1">
        <w:rPr>
          <w:rFonts w:ascii="Times New Roman" w:hAnsi="Times New Roman"/>
          <w:sz w:val="24"/>
          <w:szCs w:val="24"/>
          <w:lang w:val="en-US" w:eastAsia="es-CO"/>
        </w:rPr>
        <w:t>α</w:t>
      </w:r>
      <w:r w:rsidRPr="00E538C1">
        <w:rPr>
          <w:rFonts w:ascii="Times New Roman" w:hAnsi="Times New Roman"/>
          <w:sz w:val="24"/>
          <w:szCs w:val="24"/>
          <w:lang w:val="en-US"/>
        </w:rPr>
        <w:t>-i = Cronbach alpha if the item is deleted;</w:t>
      </w:r>
      <w:r w:rsidRPr="00E538C1">
        <w:rPr>
          <w:rFonts w:ascii="Times New Roman" w:hAnsi="Times New Roman"/>
          <w:sz w:val="24"/>
          <w:szCs w:val="24"/>
          <w:lang w:val="en-US" w:eastAsia="es-CO"/>
        </w:rPr>
        <w:t xml:space="preserve"> α: = </w:t>
      </w:r>
      <w:r w:rsidRPr="00E538C1">
        <w:rPr>
          <w:rFonts w:ascii="Times New Roman" w:hAnsi="Times New Roman"/>
          <w:sz w:val="24"/>
          <w:szCs w:val="24"/>
          <w:lang w:val="en-US"/>
        </w:rPr>
        <w:t xml:space="preserve">Cronbach alpha. </w:t>
      </w:r>
    </w:p>
    <w:p w:rsidR="00072AA8" w:rsidRPr="00E538C1" w:rsidRDefault="00072AA8" w:rsidP="00072AA8">
      <w:pPr>
        <w:rPr>
          <w:lang w:val="en-US"/>
        </w:rPr>
      </w:pPr>
    </w:p>
    <w:p w:rsidR="00072AA8" w:rsidRPr="00E538C1" w:rsidRDefault="00072AA8" w:rsidP="00072AA8">
      <w:pPr>
        <w:pStyle w:val="NormalWeb"/>
        <w:rPr>
          <w:rStyle w:val="goog-gtc-translatable"/>
          <w:lang w:val="en-US"/>
        </w:rPr>
      </w:pPr>
    </w:p>
    <w:p w:rsidR="00072AA8" w:rsidRPr="00E538C1" w:rsidRDefault="00072AA8" w:rsidP="00072AA8">
      <w:pPr>
        <w:pStyle w:val="NormalWeb"/>
        <w:rPr>
          <w:rStyle w:val="goog-gtc-translatable"/>
          <w:lang w:val="en-US"/>
        </w:rPr>
      </w:pPr>
    </w:p>
    <w:p w:rsidR="00072AA8" w:rsidRPr="00E538C1" w:rsidRDefault="00072AA8" w:rsidP="00072AA8">
      <w:pPr>
        <w:pStyle w:val="NormalWeb"/>
        <w:rPr>
          <w:lang w:val="en-US"/>
        </w:rPr>
      </w:pPr>
    </w:p>
    <w:p w:rsidR="00072AA8" w:rsidRDefault="00072AA8" w:rsidP="00072AA8">
      <w:pPr>
        <w:pStyle w:val="NormalWeb"/>
        <w:rPr>
          <w:lang w:val="en-US"/>
        </w:rPr>
      </w:pPr>
    </w:p>
    <w:p w:rsidR="00C40D7B" w:rsidRDefault="00C40D7B" w:rsidP="00072AA8">
      <w:pPr>
        <w:pStyle w:val="NormalWeb"/>
        <w:rPr>
          <w:lang w:val="en-US"/>
        </w:rPr>
      </w:pPr>
    </w:p>
    <w:p w:rsidR="00C40D7B" w:rsidRDefault="00C40D7B" w:rsidP="00072AA8">
      <w:pPr>
        <w:pStyle w:val="NormalWeb"/>
        <w:rPr>
          <w:lang w:val="en-US"/>
        </w:rPr>
      </w:pPr>
    </w:p>
    <w:p w:rsidR="00C40D7B" w:rsidRPr="00E538C1" w:rsidRDefault="00C40D7B" w:rsidP="00072AA8">
      <w:pPr>
        <w:pStyle w:val="NormalWeb"/>
        <w:rPr>
          <w:lang w:val="en-US"/>
        </w:rPr>
      </w:pPr>
    </w:p>
    <w:p w:rsidR="00072AA8" w:rsidRPr="00E538C1" w:rsidRDefault="00072AA8" w:rsidP="00072AA8">
      <w:pPr>
        <w:pStyle w:val="NormalWeb"/>
        <w:rPr>
          <w:lang w:val="en-US"/>
        </w:rPr>
      </w:pPr>
      <w:r w:rsidRPr="00E538C1">
        <w:rPr>
          <w:lang w:val="en-US"/>
        </w:rPr>
        <w:t> </w:t>
      </w:r>
    </w:p>
    <w:p w:rsidR="00072AA8" w:rsidRPr="00E538C1" w:rsidRDefault="00072AA8" w:rsidP="00072AA8">
      <w:pPr>
        <w:spacing w:after="120" w:line="480" w:lineRule="auto"/>
        <w:rPr>
          <w:rStyle w:val="goog-gtc-translatable"/>
          <w:lang w:val="en-US"/>
        </w:rPr>
      </w:pPr>
      <w:r w:rsidRPr="00E538C1">
        <w:rPr>
          <w:rStyle w:val="goog-gtc-translatable"/>
          <w:lang w:val="en-US"/>
        </w:rPr>
        <w:lastRenderedPageBreak/>
        <w:t>Table 3</w:t>
      </w:r>
    </w:p>
    <w:p w:rsidR="00072AA8" w:rsidRPr="00E538C1" w:rsidRDefault="00072AA8" w:rsidP="00072AA8">
      <w:pPr>
        <w:spacing w:after="120" w:line="480" w:lineRule="auto"/>
        <w:rPr>
          <w:i/>
          <w:lang w:val="en-US"/>
        </w:rPr>
      </w:pPr>
      <w:r w:rsidRPr="00E538C1">
        <w:rPr>
          <w:rStyle w:val="goog-gtc-translatable"/>
          <w:i/>
          <w:lang w:val="en-US"/>
        </w:rPr>
        <w:t>Factor loadings of the Sexuality Scale Items for Colombia and Spain versions</w:t>
      </w:r>
      <w:r w:rsidRPr="00E538C1">
        <w:rPr>
          <w:i/>
          <w:lang w:val="en-US"/>
        </w:rPr>
        <w:t xml:space="preserve"> </w:t>
      </w:r>
    </w:p>
    <w:tbl>
      <w:tblPr>
        <w:tblW w:w="59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54"/>
        <w:gridCol w:w="740"/>
        <w:gridCol w:w="687"/>
        <w:gridCol w:w="480"/>
        <w:gridCol w:w="200"/>
        <w:gridCol w:w="799"/>
        <w:gridCol w:w="687"/>
        <w:gridCol w:w="480"/>
      </w:tblGrid>
      <w:tr w:rsidR="00E538C1" w:rsidRPr="00E538C1" w:rsidTr="00E538C1">
        <w:trPr>
          <w:trHeight w:val="375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Items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Factor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Colombia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 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Spain</w:t>
            </w:r>
          </w:p>
        </w:tc>
      </w:tr>
      <w:tr w:rsidR="00E538C1" w:rsidRPr="00E538C1" w:rsidTr="00E538C1">
        <w:trPr>
          <w:trHeight w:val="375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lang w:val="en-US" w:eastAsia="es-CO"/>
              </w:rPr>
            </w:pPr>
            <w:r w:rsidRPr="00E538C1">
              <w:rPr>
                <w:i/>
                <w:lang w:val="en-US" w:eastAsia="es-CO"/>
              </w:rPr>
              <w:t>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lang w:val="en-US" w:eastAsia="es-CO"/>
              </w:rPr>
            </w:pPr>
            <w:r w:rsidRPr="00E538C1">
              <w:rPr>
                <w:i/>
                <w:lang w:val="en-US" w:eastAsia="es-CO"/>
              </w:rPr>
              <w:t>Error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lang w:val="en-US" w:eastAsia="es-CO"/>
              </w:rPr>
            </w:pPr>
            <w:r w:rsidRPr="00E538C1">
              <w:rPr>
                <w:i/>
                <w:lang w:val="en-US" w:eastAsia="es-CO"/>
              </w:rPr>
              <w:t>R</w:t>
            </w:r>
            <w:r w:rsidRPr="00E538C1">
              <w:rPr>
                <w:i/>
                <w:vertAlign w:val="superscript"/>
                <w:lang w:val="en-US" w:eastAsia="es-CO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lang w:val="en-US" w:eastAsia="es-C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lang w:val="en-US" w:eastAsia="es-CO"/>
              </w:rPr>
            </w:pPr>
            <w:r w:rsidRPr="00E538C1">
              <w:rPr>
                <w:i/>
                <w:lang w:val="en-US" w:eastAsia="es-CO"/>
              </w:rPr>
              <w:t>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lang w:val="en-US" w:eastAsia="es-CO"/>
              </w:rPr>
            </w:pPr>
            <w:r w:rsidRPr="00E538C1">
              <w:rPr>
                <w:i/>
                <w:lang w:val="en-US" w:eastAsia="es-CO"/>
              </w:rPr>
              <w:t>Error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i/>
                <w:lang w:val="en-US" w:eastAsia="es-CO"/>
              </w:rPr>
            </w:pPr>
            <w:r w:rsidRPr="00E538C1">
              <w:rPr>
                <w:i/>
                <w:lang w:val="en-US" w:eastAsia="es-CO"/>
              </w:rPr>
              <w:t>R</w:t>
            </w:r>
            <w:r w:rsidRPr="00E538C1">
              <w:rPr>
                <w:i/>
                <w:vertAlign w:val="superscript"/>
                <w:lang w:val="en-US" w:eastAsia="es-CO"/>
              </w:rPr>
              <w:t>2</w:t>
            </w:r>
          </w:p>
        </w:tc>
      </w:tr>
      <w:tr w:rsidR="00E538C1" w:rsidRPr="00E538C1" w:rsidTr="00E538C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SSE1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SSE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.65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.42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.76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.57</w:t>
            </w:r>
          </w:p>
        </w:tc>
      </w:tr>
      <w:tr w:rsidR="00E538C1" w:rsidRPr="00E538C1" w:rsidTr="00E538C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SSE2</w:t>
            </w:r>
          </w:p>
        </w:tc>
        <w:tc>
          <w:tcPr>
            <w:tcW w:w="7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.81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.66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.85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.72</w:t>
            </w:r>
          </w:p>
        </w:tc>
      </w:tr>
      <w:tr w:rsidR="00E538C1" w:rsidRPr="00E538C1" w:rsidTr="00E538C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SSE3</w:t>
            </w:r>
          </w:p>
        </w:tc>
        <w:tc>
          <w:tcPr>
            <w:tcW w:w="7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.88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.77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.91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.83</w:t>
            </w:r>
          </w:p>
        </w:tc>
      </w:tr>
      <w:tr w:rsidR="00E538C1" w:rsidRPr="00E538C1" w:rsidTr="00E538C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SSE4</w:t>
            </w:r>
          </w:p>
        </w:tc>
        <w:tc>
          <w:tcPr>
            <w:tcW w:w="7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.61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.37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.59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.34</w:t>
            </w:r>
          </w:p>
        </w:tc>
      </w:tr>
      <w:tr w:rsidR="00E538C1" w:rsidRPr="00E538C1" w:rsidTr="00E538C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SSE5</w:t>
            </w:r>
          </w:p>
        </w:tc>
        <w:tc>
          <w:tcPr>
            <w:tcW w:w="7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.57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.32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.49</w:t>
            </w:r>
          </w:p>
        </w:tc>
      </w:tr>
      <w:tr w:rsidR="00E538C1" w:rsidRPr="00E538C1" w:rsidTr="00E538C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SD1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SD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.71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.74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.55</w:t>
            </w:r>
          </w:p>
        </w:tc>
      </w:tr>
      <w:tr w:rsidR="00E538C1" w:rsidRPr="00E538C1" w:rsidTr="00E538C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SD2</w:t>
            </w:r>
          </w:p>
        </w:tc>
        <w:tc>
          <w:tcPr>
            <w:tcW w:w="7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.61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.38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.49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.24</w:t>
            </w:r>
          </w:p>
        </w:tc>
      </w:tr>
      <w:tr w:rsidR="00E538C1" w:rsidRPr="00E538C1" w:rsidTr="00E538C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SD3</w:t>
            </w:r>
          </w:p>
        </w:tc>
        <w:tc>
          <w:tcPr>
            <w:tcW w:w="7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.77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.84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.71</w:t>
            </w:r>
          </w:p>
        </w:tc>
      </w:tr>
      <w:tr w:rsidR="00E538C1" w:rsidRPr="00E538C1" w:rsidTr="00E538C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SD4</w:t>
            </w:r>
          </w:p>
        </w:tc>
        <w:tc>
          <w:tcPr>
            <w:tcW w:w="7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.85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.72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.89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.79</w:t>
            </w:r>
          </w:p>
        </w:tc>
      </w:tr>
      <w:tr w:rsidR="00E538C1" w:rsidRPr="00E538C1" w:rsidTr="00E538C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SD5</w:t>
            </w:r>
          </w:p>
        </w:tc>
        <w:tc>
          <w:tcPr>
            <w:tcW w:w="7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.64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.79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.62</w:t>
            </w:r>
          </w:p>
        </w:tc>
      </w:tr>
      <w:tr w:rsidR="00E538C1" w:rsidRPr="00E538C1" w:rsidTr="00E538C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SP1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SP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.76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.81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.65</w:t>
            </w:r>
          </w:p>
        </w:tc>
      </w:tr>
      <w:tr w:rsidR="00E538C1" w:rsidRPr="00E538C1" w:rsidTr="00E538C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SP2</w:t>
            </w:r>
          </w:p>
        </w:tc>
        <w:tc>
          <w:tcPr>
            <w:tcW w:w="7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.76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.58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.83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.68</w:t>
            </w:r>
          </w:p>
        </w:tc>
      </w:tr>
      <w:tr w:rsidR="00E538C1" w:rsidRPr="00E538C1" w:rsidTr="00E538C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SP3</w:t>
            </w:r>
          </w:p>
        </w:tc>
        <w:tc>
          <w:tcPr>
            <w:tcW w:w="7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.39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.41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.17</w:t>
            </w:r>
          </w:p>
        </w:tc>
      </w:tr>
      <w:tr w:rsidR="00E538C1" w:rsidRPr="00E538C1" w:rsidTr="00E538C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SP4</w:t>
            </w:r>
          </w:p>
        </w:tc>
        <w:tc>
          <w:tcPr>
            <w:tcW w:w="7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.85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.72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.83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.69</w:t>
            </w:r>
          </w:p>
        </w:tc>
      </w:tr>
      <w:tr w:rsidR="00E538C1" w:rsidRPr="00E538C1" w:rsidTr="00E538C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SP5</w:t>
            </w:r>
          </w:p>
        </w:tc>
        <w:tc>
          <w:tcPr>
            <w:tcW w:w="7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 w:eastAsia="es-C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.88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.77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.81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 w:eastAsia="es-CO"/>
              </w:rPr>
            </w:pPr>
            <w:r w:rsidRPr="00E538C1">
              <w:rPr>
                <w:lang w:val="en-US" w:eastAsia="es-CO"/>
              </w:rPr>
              <w:t>.66</w:t>
            </w:r>
          </w:p>
        </w:tc>
      </w:tr>
    </w:tbl>
    <w:p w:rsidR="00072AA8" w:rsidRPr="00E538C1" w:rsidRDefault="00072AA8" w:rsidP="00072AA8">
      <w:pPr>
        <w:pStyle w:val="Sinespaciado"/>
        <w:rPr>
          <w:rFonts w:ascii="Times New Roman" w:hAnsi="Times New Roman"/>
          <w:sz w:val="24"/>
          <w:szCs w:val="24"/>
          <w:lang w:val="en-US" w:eastAsia="es-CO"/>
        </w:rPr>
      </w:pPr>
      <w:r w:rsidRPr="00E538C1">
        <w:rPr>
          <w:rFonts w:ascii="Times New Roman" w:hAnsi="Times New Roman"/>
          <w:i/>
          <w:sz w:val="24"/>
          <w:szCs w:val="24"/>
          <w:lang w:val="en-US"/>
        </w:rPr>
        <w:t>Note:</w:t>
      </w:r>
      <w:r w:rsidRPr="00E538C1">
        <w:rPr>
          <w:rFonts w:ascii="Times New Roman" w:hAnsi="Times New Roman"/>
          <w:sz w:val="24"/>
          <w:szCs w:val="24"/>
          <w:lang w:val="en-US"/>
        </w:rPr>
        <w:t xml:space="preserve"> SSE = Sexual Self-Esteem; SD: Sexual Depression; SP: Sexual Preoccupation; </w:t>
      </w:r>
      <w:r w:rsidRPr="00E538C1">
        <w:rPr>
          <w:rFonts w:ascii="Times New Roman" w:hAnsi="Times New Roman"/>
          <w:sz w:val="24"/>
          <w:szCs w:val="24"/>
          <w:lang w:val="en-US" w:eastAsia="es-CO"/>
        </w:rPr>
        <w:t>λ</w:t>
      </w:r>
      <w:r w:rsidRPr="00E538C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E538C1">
        <w:rPr>
          <w:rFonts w:ascii="Times New Roman" w:hAnsi="Times New Roman"/>
          <w:sz w:val="24"/>
          <w:szCs w:val="24"/>
          <w:lang w:val="en-US"/>
        </w:rPr>
        <w:t xml:space="preserve">= Factorial loading; </w:t>
      </w:r>
      <w:r w:rsidRPr="00E538C1">
        <w:rPr>
          <w:rFonts w:ascii="Times New Roman" w:hAnsi="Times New Roman"/>
          <w:i/>
          <w:sz w:val="24"/>
          <w:szCs w:val="24"/>
          <w:lang w:val="en-US" w:eastAsia="es-CO"/>
        </w:rPr>
        <w:t>R</w:t>
      </w:r>
      <w:r w:rsidRPr="00E538C1">
        <w:rPr>
          <w:rFonts w:ascii="Times New Roman" w:hAnsi="Times New Roman"/>
          <w:i/>
          <w:sz w:val="24"/>
          <w:szCs w:val="24"/>
          <w:vertAlign w:val="superscript"/>
          <w:lang w:val="en-US" w:eastAsia="es-CO"/>
        </w:rPr>
        <w:t>2</w:t>
      </w:r>
      <w:r w:rsidRPr="00E538C1">
        <w:rPr>
          <w:rFonts w:ascii="Times New Roman" w:hAnsi="Times New Roman"/>
          <w:i/>
          <w:sz w:val="24"/>
          <w:szCs w:val="24"/>
          <w:lang w:val="en-US"/>
        </w:rPr>
        <w:t xml:space="preserve"> =</w:t>
      </w:r>
      <w:r w:rsidRPr="00E538C1">
        <w:rPr>
          <w:rFonts w:ascii="Times New Roman" w:hAnsi="Times New Roman"/>
          <w:sz w:val="24"/>
          <w:szCs w:val="24"/>
          <w:lang w:val="en-US"/>
        </w:rPr>
        <w:t xml:space="preserve"> variance of the item explained by factor. </w:t>
      </w:r>
    </w:p>
    <w:p w:rsidR="00072AA8" w:rsidRPr="00E538C1" w:rsidRDefault="00072AA8" w:rsidP="00072AA8">
      <w:pPr>
        <w:rPr>
          <w:lang w:val="en-US"/>
        </w:rPr>
      </w:pPr>
    </w:p>
    <w:p w:rsidR="00072AA8" w:rsidRPr="00E538C1" w:rsidRDefault="00072AA8" w:rsidP="00072AA8">
      <w:pPr>
        <w:rPr>
          <w:lang w:val="en-US"/>
        </w:rPr>
      </w:pPr>
    </w:p>
    <w:p w:rsidR="00072AA8" w:rsidRPr="00E538C1" w:rsidRDefault="00072AA8" w:rsidP="00072AA8">
      <w:pPr>
        <w:pStyle w:val="NormalWeb"/>
        <w:rPr>
          <w:lang w:val="en-US"/>
        </w:rPr>
      </w:pPr>
      <w:r w:rsidRPr="00E538C1">
        <w:rPr>
          <w:lang w:val="en-US"/>
        </w:rPr>
        <w:t> </w:t>
      </w:r>
    </w:p>
    <w:p w:rsidR="00072AA8" w:rsidRPr="00E538C1" w:rsidRDefault="00072AA8" w:rsidP="00072AA8">
      <w:pPr>
        <w:pStyle w:val="NormalWeb"/>
        <w:rPr>
          <w:lang w:val="en-US"/>
        </w:rPr>
      </w:pPr>
      <w:r w:rsidRPr="00E538C1">
        <w:rPr>
          <w:lang w:val="en-US"/>
        </w:rPr>
        <w:t>   </w:t>
      </w:r>
    </w:p>
    <w:p w:rsidR="00072AA8" w:rsidRPr="00E538C1" w:rsidRDefault="00072AA8" w:rsidP="00072AA8">
      <w:pPr>
        <w:pStyle w:val="NormalWeb"/>
        <w:rPr>
          <w:lang w:val="en-US"/>
        </w:rPr>
      </w:pPr>
      <w:r w:rsidRPr="00E538C1">
        <w:rPr>
          <w:lang w:val="en-US"/>
        </w:rPr>
        <w:t> </w:t>
      </w:r>
    </w:p>
    <w:p w:rsidR="00072AA8" w:rsidRPr="00E538C1" w:rsidRDefault="00072AA8" w:rsidP="00072AA8">
      <w:pPr>
        <w:pStyle w:val="NormalWeb"/>
        <w:rPr>
          <w:lang w:val="en-US"/>
        </w:rPr>
      </w:pPr>
      <w:r w:rsidRPr="00E538C1">
        <w:rPr>
          <w:lang w:val="en-US"/>
        </w:rPr>
        <w:t> </w:t>
      </w:r>
    </w:p>
    <w:p w:rsidR="00072AA8" w:rsidRPr="00E538C1" w:rsidRDefault="00072AA8" w:rsidP="00072AA8">
      <w:pPr>
        <w:pStyle w:val="NormalWeb"/>
        <w:rPr>
          <w:lang w:val="en-US"/>
        </w:rPr>
      </w:pPr>
      <w:r w:rsidRPr="00E538C1">
        <w:rPr>
          <w:lang w:val="en-US"/>
        </w:rPr>
        <w:t> </w:t>
      </w:r>
    </w:p>
    <w:p w:rsidR="00072AA8" w:rsidRPr="00E538C1" w:rsidRDefault="00072AA8" w:rsidP="00072AA8">
      <w:pPr>
        <w:pStyle w:val="NormalWeb"/>
        <w:rPr>
          <w:lang w:val="en-US"/>
        </w:rPr>
      </w:pPr>
      <w:r w:rsidRPr="00E538C1">
        <w:rPr>
          <w:lang w:val="en-US"/>
        </w:rPr>
        <w:t> </w:t>
      </w:r>
    </w:p>
    <w:p w:rsidR="00072AA8" w:rsidRPr="00E538C1" w:rsidRDefault="00072AA8" w:rsidP="00072AA8">
      <w:pPr>
        <w:pStyle w:val="NormalWeb"/>
        <w:rPr>
          <w:lang w:val="en-US"/>
        </w:rPr>
      </w:pPr>
      <w:r w:rsidRPr="00E538C1">
        <w:rPr>
          <w:lang w:val="en-US"/>
        </w:rPr>
        <w:t> </w:t>
      </w:r>
    </w:p>
    <w:p w:rsidR="00072AA8" w:rsidRPr="00E538C1" w:rsidRDefault="00072AA8" w:rsidP="00072AA8">
      <w:pPr>
        <w:pStyle w:val="NormalWeb"/>
        <w:rPr>
          <w:lang w:val="en-US"/>
        </w:rPr>
      </w:pPr>
    </w:p>
    <w:p w:rsidR="00072AA8" w:rsidRPr="00E538C1" w:rsidRDefault="00072AA8" w:rsidP="00072AA8">
      <w:pPr>
        <w:pStyle w:val="NormalWeb"/>
        <w:rPr>
          <w:rStyle w:val="goog-gtc-translatable"/>
          <w:lang w:val="en-US"/>
        </w:rPr>
      </w:pPr>
      <w:r w:rsidRPr="00E538C1">
        <w:rPr>
          <w:rStyle w:val="goog-gtc-translatable"/>
          <w:lang w:val="en-US"/>
        </w:rPr>
        <w:lastRenderedPageBreak/>
        <w:t>Table 4</w:t>
      </w:r>
    </w:p>
    <w:p w:rsidR="00072AA8" w:rsidRPr="00E538C1" w:rsidRDefault="00072AA8" w:rsidP="00072AA8">
      <w:pPr>
        <w:pStyle w:val="NormalWeb"/>
        <w:rPr>
          <w:i/>
          <w:lang w:val="en-US"/>
        </w:rPr>
      </w:pPr>
      <w:r w:rsidRPr="00E538C1">
        <w:rPr>
          <w:rStyle w:val="goog-gtc-translatable"/>
          <w:i/>
          <w:lang w:val="en-US"/>
        </w:rPr>
        <w:t>Correlations of the two Versions of the Sexuality Scale with other Scales</w:t>
      </w:r>
    </w:p>
    <w:p w:rsidR="00072AA8" w:rsidRPr="00E538C1" w:rsidRDefault="00072AA8" w:rsidP="00072AA8">
      <w:pPr>
        <w:pStyle w:val="NormalWeb"/>
        <w:rPr>
          <w:lang w:val="en-US"/>
        </w:rPr>
      </w:pPr>
    </w:p>
    <w:p w:rsidR="00072AA8" w:rsidRPr="00E538C1" w:rsidRDefault="003A22E2" w:rsidP="00072AA8">
      <w:pPr>
        <w:jc w:val="both"/>
        <w:rPr>
          <w:lang w:val="en-US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174625</wp:posOffset>
                </wp:positionV>
                <wp:extent cx="1009650" cy="771525"/>
                <wp:effectExtent l="0" t="0" r="19050" b="28575"/>
                <wp:wrapNone/>
                <wp:docPr id="2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650" cy="771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3.75pt" to="79.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8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08"/>
        <w:gridCol w:w="851"/>
        <w:gridCol w:w="709"/>
        <w:gridCol w:w="708"/>
        <w:gridCol w:w="709"/>
        <w:gridCol w:w="851"/>
        <w:gridCol w:w="850"/>
        <w:gridCol w:w="800"/>
        <w:gridCol w:w="1040"/>
      </w:tblGrid>
      <w:tr w:rsidR="00E538C1" w:rsidRPr="00E538C1" w:rsidTr="00E538C1">
        <w:trPr>
          <w:trHeight w:val="585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right"/>
              <w:rPr>
                <w:lang w:val="en-US" w:eastAsia="es-CO"/>
              </w:rPr>
            </w:pPr>
            <w:r w:rsidRPr="00E538C1">
              <w:rPr>
                <w:lang w:val="en-US"/>
              </w:rPr>
              <w:t>Colombia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SP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In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Re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STD_P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SOS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Self Gral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MGHSFQ</w:t>
            </w:r>
          </w:p>
        </w:tc>
      </w:tr>
      <w:tr w:rsidR="00E538C1" w:rsidRPr="00E538C1" w:rsidTr="00E538C1">
        <w:trPr>
          <w:trHeight w:val="58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  <w:r w:rsidRPr="00E538C1">
              <w:rPr>
                <w:lang w:val="en-US"/>
              </w:rPr>
              <w:t>Spain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2AA8" w:rsidRPr="00E538C1" w:rsidRDefault="00072AA8" w:rsidP="00E538C1">
            <w:pPr>
              <w:rPr>
                <w:lang w:val="en-US"/>
              </w:rPr>
            </w:pPr>
          </w:p>
        </w:tc>
      </w:tr>
      <w:tr w:rsidR="00E538C1" w:rsidRPr="00E538C1" w:rsidTr="00E538C1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SSE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-.51</w:t>
            </w:r>
            <w:r w:rsidRPr="00E538C1">
              <w:rPr>
                <w:b/>
                <w:bCs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.30</w:t>
            </w:r>
            <w:r w:rsidRPr="00E538C1">
              <w:rPr>
                <w:b/>
                <w:bCs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-0,07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-.12</w:t>
            </w:r>
            <w:r w:rsidRPr="00E538C1">
              <w:rPr>
                <w:b/>
                <w:bCs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.11</w:t>
            </w:r>
            <w:r w:rsidRPr="00E538C1">
              <w:rPr>
                <w:b/>
                <w:bCs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.34</w:t>
            </w:r>
            <w:r w:rsidRPr="00E538C1">
              <w:rPr>
                <w:b/>
                <w:bCs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.33</w:t>
            </w:r>
            <w:r w:rsidRPr="00E538C1">
              <w:rPr>
                <w:b/>
                <w:bCs/>
                <w:vertAlign w:val="superscript"/>
                <w:lang w:val="en-US"/>
              </w:rPr>
              <w:t>**</w:t>
            </w:r>
          </w:p>
        </w:tc>
      </w:tr>
      <w:tr w:rsidR="00E538C1" w:rsidRPr="00E538C1" w:rsidTr="00E538C1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-.55</w:t>
            </w:r>
            <w:r w:rsidRPr="00E538C1">
              <w:rPr>
                <w:b/>
                <w:bCs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.10</w:t>
            </w:r>
            <w:r w:rsidRPr="00E538C1">
              <w:rPr>
                <w:b/>
                <w:bCs/>
                <w:vertAlign w:val="superscript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-.30</w:t>
            </w:r>
            <w:r w:rsidRPr="00E538C1">
              <w:rPr>
                <w:b/>
                <w:bCs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-.39</w:t>
            </w:r>
            <w:r w:rsidRPr="00E538C1">
              <w:rPr>
                <w:b/>
                <w:bCs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-.49</w:t>
            </w:r>
            <w:r w:rsidRPr="00E538C1">
              <w:rPr>
                <w:b/>
                <w:bCs/>
                <w:vertAlign w:val="superscript"/>
                <w:lang w:val="en-US"/>
              </w:rPr>
              <w:t>**</w:t>
            </w:r>
          </w:p>
        </w:tc>
      </w:tr>
      <w:tr w:rsidR="00E538C1" w:rsidRPr="00E538C1" w:rsidTr="00E538C1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.17</w:t>
            </w:r>
            <w:r w:rsidRPr="00E538C1">
              <w:rPr>
                <w:b/>
                <w:bCs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.10</w:t>
            </w:r>
            <w:r w:rsidRPr="00E538C1">
              <w:rPr>
                <w:b/>
                <w:bCs/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-.16</w:t>
            </w:r>
            <w:r w:rsidRPr="00E538C1">
              <w:rPr>
                <w:b/>
                <w:bCs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-.09</w:t>
            </w:r>
            <w:r w:rsidRPr="00E538C1">
              <w:rPr>
                <w:b/>
                <w:bCs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.27</w:t>
            </w:r>
            <w:r w:rsidRPr="00E538C1">
              <w:rPr>
                <w:b/>
                <w:bCs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-.11</w:t>
            </w:r>
            <w:r w:rsidRPr="00E538C1">
              <w:rPr>
                <w:b/>
                <w:bCs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.19</w:t>
            </w:r>
            <w:r w:rsidRPr="00E538C1">
              <w:rPr>
                <w:b/>
                <w:bCs/>
                <w:vertAlign w:val="superscript"/>
                <w:lang w:val="en-US"/>
              </w:rPr>
              <w:t>**</w:t>
            </w:r>
          </w:p>
        </w:tc>
      </w:tr>
      <w:tr w:rsidR="00E538C1" w:rsidRPr="00E538C1" w:rsidTr="00E538C1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.35</w:t>
            </w:r>
            <w:r w:rsidRPr="00E538C1">
              <w:rPr>
                <w:b/>
                <w:bCs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-.39</w:t>
            </w:r>
            <w:r w:rsidRPr="00E538C1">
              <w:rPr>
                <w:b/>
                <w:bCs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-.03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.11</w:t>
            </w:r>
            <w:r w:rsidRPr="00E538C1">
              <w:rPr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.30</w:t>
            </w:r>
            <w:r w:rsidRPr="00E538C1">
              <w:rPr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.22</w:t>
            </w:r>
            <w:r w:rsidRPr="00E538C1">
              <w:rPr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.23</w:t>
            </w:r>
            <w:r w:rsidRPr="00E538C1">
              <w:rPr>
                <w:vertAlign w:val="superscript"/>
                <w:lang w:val="en-US"/>
              </w:rPr>
              <w:t>**</w:t>
            </w:r>
          </w:p>
        </w:tc>
      </w:tr>
      <w:tr w:rsidR="00E538C1" w:rsidRPr="00E538C1" w:rsidTr="00E538C1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-.01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-.07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-.22</w:t>
            </w:r>
            <w:r w:rsidRPr="00E538C1">
              <w:rPr>
                <w:b/>
                <w:bCs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.23</w:t>
            </w:r>
            <w:r w:rsidRPr="00E538C1">
              <w:rPr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.22</w:t>
            </w:r>
            <w:r w:rsidRPr="00E538C1">
              <w:rPr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-.02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-.05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-.22</w:t>
            </w:r>
            <w:r w:rsidRPr="00E538C1">
              <w:rPr>
                <w:vertAlign w:val="superscript"/>
                <w:lang w:val="en-US"/>
              </w:rPr>
              <w:t>**</w:t>
            </w:r>
          </w:p>
        </w:tc>
      </w:tr>
      <w:tr w:rsidR="00E538C1" w:rsidRPr="00E538C1" w:rsidTr="00E538C1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STD_P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-.07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-.07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.10</w:t>
            </w:r>
            <w:r w:rsidRPr="00E538C1">
              <w:rPr>
                <w:vertAlign w:val="superscript"/>
                <w:lang w:val="en-US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.20</w:t>
            </w:r>
            <w:r w:rsidRPr="00E538C1">
              <w:rPr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-.01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-.04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.01</w:t>
            </w:r>
          </w:p>
        </w:tc>
      </w:tr>
      <w:tr w:rsidR="00E538C1" w:rsidRPr="00E538C1" w:rsidTr="00E538C1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SOS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.10</w:t>
            </w:r>
            <w:r w:rsidRPr="00E538C1">
              <w:rPr>
                <w:b/>
                <w:bCs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-.09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.09</w:t>
            </w:r>
            <w:r w:rsidRPr="00E538C1">
              <w:rPr>
                <w:b/>
                <w:bCs/>
                <w:vertAlign w:val="superscript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.20</w:t>
            </w:r>
            <w:r w:rsidRPr="00E538C1">
              <w:rPr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-.01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.05</w:t>
            </w:r>
          </w:p>
        </w:tc>
      </w:tr>
      <w:tr w:rsidR="00E538C1" w:rsidRPr="00E538C1" w:rsidTr="00E538C1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Self Gral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.41</w:t>
            </w:r>
            <w:r w:rsidRPr="00E538C1">
              <w:rPr>
                <w:b/>
                <w:bCs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-.41</w:t>
            </w:r>
            <w:r w:rsidRPr="00E538C1">
              <w:rPr>
                <w:b/>
                <w:bCs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-.09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.22</w:t>
            </w:r>
            <w:r w:rsidRPr="00E538C1">
              <w:rPr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-.07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.32</w:t>
            </w:r>
            <w:r w:rsidRPr="00E538C1">
              <w:rPr>
                <w:vertAlign w:val="superscript"/>
                <w:lang w:val="en-US"/>
              </w:rPr>
              <w:t>**</w:t>
            </w:r>
          </w:p>
        </w:tc>
      </w:tr>
      <w:tr w:rsidR="00E538C1" w:rsidRPr="00E538C1" w:rsidTr="00E538C1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MGHSFQ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.28</w:t>
            </w:r>
            <w:r w:rsidRPr="00E538C1">
              <w:rPr>
                <w:b/>
                <w:bCs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-.40</w:t>
            </w:r>
            <w:r w:rsidRPr="00E538C1">
              <w:rPr>
                <w:b/>
                <w:bCs/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b/>
                <w:bCs/>
                <w:lang w:val="en-US"/>
              </w:rPr>
            </w:pPr>
            <w:r w:rsidRPr="00E538C1">
              <w:rPr>
                <w:b/>
                <w:bCs/>
                <w:lang w:val="en-US"/>
              </w:rPr>
              <w:t>.20</w:t>
            </w:r>
            <w:r w:rsidRPr="00E538C1">
              <w:rPr>
                <w:b/>
                <w:bCs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.14</w:t>
            </w:r>
            <w:r w:rsidRPr="00E538C1">
              <w:rPr>
                <w:vertAlign w:val="superscript"/>
                <w:lang w:val="en-US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-.23</w:t>
            </w:r>
            <w:r w:rsidRPr="00E538C1">
              <w:rPr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-.04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.29</w:t>
            </w:r>
            <w:r w:rsidRPr="00E538C1">
              <w:rPr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1.00</w:t>
            </w:r>
          </w:p>
        </w:tc>
      </w:tr>
    </w:tbl>
    <w:p w:rsidR="00072AA8" w:rsidRPr="00E538C1" w:rsidRDefault="00072AA8" w:rsidP="00072AA8">
      <w:pPr>
        <w:rPr>
          <w:lang w:val="en-US"/>
        </w:rPr>
      </w:pPr>
      <w:r w:rsidRPr="00E538C1">
        <w:rPr>
          <w:i/>
          <w:lang w:val="en-US"/>
        </w:rPr>
        <w:t>Note:</w:t>
      </w:r>
      <w:r w:rsidRPr="00E538C1">
        <w:rPr>
          <w:lang w:val="en-US"/>
        </w:rPr>
        <w:t xml:space="preserve"> SSE: Sexual Self-Esteem; SD: Sexual Depression; SP: Sexual Preoccupation; In: Sexual Assertiveness Initiation; Re: Sexual Assertiveness Refusal; STD-P = Sexual Assertiveness to negotiate the use of condom (to prevent unwanted pregnancy and sexually transmitted diseases); SOS: attitudes towards sexuality (eroto</w:t>
      </w:r>
      <w:r w:rsidR="00080101">
        <w:rPr>
          <w:lang w:val="en-US"/>
        </w:rPr>
        <w:t>ph</w:t>
      </w:r>
      <w:r w:rsidRPr="00E538C1">
        <w:rPr>
          <w:lang w:val="en-US"/>
        </w:rPr>
        <w:t>obia-eroto</w:t>
      </w:r>
      <w:r w:rsidR="00080101">
        <w:rPr>
          <w:lang w:val="en-US"/>
        </w:rPr>
        <w:t>ph</w:t>
      </w:r>
      <w:r w:rsidRPr="00E538C1">
        <w:rPr>
          <w:lang w:val="en-US"/>
        </w:rPr>
        <w:t>ilia); Self Gral: General Self-Esteem; MGHSFQ: Sexual Functioning Questionnaire (Massachusetts General Hospital</w:t>
      </w:r>
      <w:r w:rsidRPr="00E538C1">
        <w:rPr>
          <w:b/>
          <w:lang w:val="en-US"/>
        </w:rPr>
        <w:t xml:space="preserve">); </w:t>
      </w:r>
      <w:r w:rsidRPr="00E538C1">
        <w:rPr>
          <w:lang w:val="en-US"/>
        </w:rPr>
        <w:t xml:space="preserve">* = </w:t>
      </w:r>
      <w:r w:rsidRPr="00E538C1">
        <w:rPr>
          <w:i/>
          <w:lang w:val="en-US"/>
        </w:rPr>
        <w:t>p</w:t>
      </w:r>
      <w:r w:rsidRPr="00E538C1">
        <w:rPr>
          <w:lang w:val="en-US"/>
        </w:rPr>
        <w:t xml:space="preserve"> &lt; .05; ** = </w:t>
      </w:r>
      <w:r w:rsidRPr="00E538C1">
        <w:rPr>
          <w:i/>
          <w:lang w:val="en-US"/>
        </w:rPr>
        <w:t>p</w:t>
      </w:r>
      <w:r w:rsidRPr="00E538C1">
        <w:rPr>
          <w:lang w:val="en-US"/>
        </w:rPr>
        <w:t xml:space="preserve"> &lt; .01. Correlations with SSE, SD and SP are marked in bold.</w:t>
      </w:r>
    </w:p>
    <w:p w:rsidR="00072AA8" w:rsidRPr="00E538C1" w:rsidRDefault="00072AA8" w:rsidP="00072AA8">
      <w:pPr>
        <w:rPr>
          <w:lang w:val="en-US"/>
        </w:rPr>
      </w:pPr>
    </w:p>
    <w:p w:rsidR="00072AA8" w:rsidRPr="00E538C1" w:rsidRDefault="00072AA8" w:rsidP="00072AA8">
      <w:pPr>
        <w:pStyle w:val="NormalWeb"/>
        <w:rPr>
          <w:lang w:val="en-US"/>
        </w:rPr>
      </w:pPr>
      <w:r w:rsidRPr="00E538C1">
        <w:rPr>
          <w:lang w:val="en-US"/>
        </w:rPr>
        <w:t> </w:t>
      </w:r>
    </w:p>
    <w:p w:rsidR="00072AA8" w:rsidRPr="00E538C1" w:rsidRDefault="00072AA8" w:rsidP="00072AA8">
      <w:pPr>
        <w:pStyle w:val="NormalWeb"/>
        <w:rPr>
          <w:lang w:val="en-US"/>
        </w:rPr>
      </w:pPr>
      <w:r w:rsidRPr="00E538C1">
        <w:rPr>
          <w:lang w:val="en-US"/>
        </w:rPr>
        <w:t> </w:t>
      </w:r>
      <w:r w:rsidR="003A22E2">
        <w:rPr>
          <w:noProof/>
        </w:rPr>
        <mc:AlternateContent>
          <mc:Choice Requires="wps">
            <w:drawing>
              <wp:inline distT="0" distB="0" distL="0" distR="0">
                <wp:extent cx="1016635" cy="78994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63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80.05pt;height:6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072AA8" w:rsidRPr="00E538C1" w:rsidRDefault="00072AA8" w:rsidP="00072AA8">
      <w:pPr>
        <w:pStyle w:val="NormalWeb"/>
        <w:rPr>
          <w:lang w:val="en-US"/>
        </w:rPr>
      </w:pPr>
      <w:r w:rsidRPr="00E538C1">
        <w:rPr>
          <w:lang w:val="en-US"/>
        </w:rPr>
        <w:t> </w:t>
      </w:r>
    </w:p>
    <w:p w:rsidR="00072AA8" w:rsidRPr="00E538C1" w:rsidRDefault="00072AA8" w:rsidP="00072AA8">
      <w:pPr>
        <w:pStyle w:val="NormalWeb"/>
        <w:rPr>
          <w:lang w:val="en-US"/>
        </w:rPr>
      </w:pPr>
      <w:r w:rsidRPr="00E538C1">
        <w:rPr>
          <w:lang w:val="en-US"/>
        </w:rPr>
        <w:t> </w:t>
      </w:r>
    </w:p>
    <w:p w:rsidR="00072AA8" w:rsidRPr="00E538C1" w:rsidRDefault="00072AA8" w:rsidP="00072AA8">
      <w:pPr>
        <w:pStyle w:val="NormalWeb"/>
        <w:rPr>
          <w:lang w:val="en-US"/>
        </w:rPr>
      </w:pPr>
      <w:r w:rsidRPr="00E538C1">
        <w:rPr>
          <w:lang w:val="en-US"/>
        </w:rPr>
        <w:t> </w:t>
      </w:r>
    </w:p>
    <w:p w:rsidR="00C40D7B" w:rsidRPr="00C40D7B" w:rsidRDefault="00072AA8" w:rsidP="00C40D7B">
      <w:pPr>
        <w:pStyle w:val="NormalWeb"/>
        <w:jc w:val="center"/>
        <w:rPr>
          <w:b/>
          <w:lang w:val="en-US"/>
        </w:rPr>
      </w:pPr>
      <w:r w:rsidRPr="00C40D7B">
        <w:rPr>
          <w:b/>
          <w:lang w:val="en-US"/>
        </w:rPr>
        <w:lastRenderedPageBreak/>
        <w:t>Appendix</w:t>
      </w:r>
    </w:p>
    <w:p w:rsidR="00072AA8" w:rsidRPr="00E538C1" w:rsidRDefault="00072AA8" w:rsidP="00C40D7B">
      <w:pPr>
        <w:spacing w:after="100" w:afterAutospacing="1"/>
        <w:rPr>
          <w:lang w:val="en-US"/>
        </w:rPr>
      </w:pPr>
      <w:r w:rsidRPr="00E538C1">
        <w:rPr>
          <w:bCs/>
          <w:i/>
          <w:lang w:val="en-US"/>
        </w:rPr>
        <w:t>Version Validated in Colombia of the</w:t>
      </w:r>
      <w:r w:rsidRPr="00E538C1">
        <w:rPr>
          <w:i/>
          <w:lang w:val="en-US"/>
        </w:rPr>
        <w:t xml:space="preserve"> Sexuality Scale (SS; </w:t>
      </w:r>
      <w:r w:rsidRPr="00E538C1">
        <w:rPr>
          <w:lang w:val="en-US"/>
        </w:rPr>
        <w:t xml:space="preserve">Snell &amp; Papini 1989) </w:t>
      </w:r>
      <w:r w:rsidRPr="00E538C1">
        <w:rPr>
          <w:i/>
          <w:lang w:val="en-US"/>
        </w:rPr>
        <w:t>Abbreviated Scale</w:t>
      </w:r>
      <w:r w:rsidRPr="00E538C1">
        <w:rPr>
          <w:lang w:val="en-US"/>
        </w:rPr>
        <w:t xml:space="preserve"> (Wiedeman &amp; Allgeier, 1993).</w:t>
      </w:r>
    </w:p>
    <w:p w:rsidR="00072AA8" w:rsidRPr="00E538C1" w:rsidRDefault="00072AA8" w:rsidP="00C40D7B">
      <w:pPr>
        <w:rPr>
          <w:i/>
          <w:lang w:val="en-US"/>
        </w:rPr>
      </w:pPr>
    </w:p>
    <w:p w:rsidR="00072AA8" w:rsidRPr="00491DA7" w:rsidRDefault="00072AA8" w:rsidP="00072AA8">
      <w:pPr>
        <w:rPr>
          <w:lang w:val="es-CO"/>
        </w:rPr>
      </w:pPr>
      <w:r w:rsidRPr="00491DA7">
        <w:rPr>
          <w:lang w:val="es-CO"/>
        </w:rPr>
        <w:t>1 = En total desacuerdo; 2 = Medianamente en desacuerdo; 3 = Ni de acuerdo, ni en desacuerdo; 4 = Medianamente de acuerdo; 5 = Totalmente de acuerdo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54"/>
        <w:gridCol w:w="567"/>
        <w:gridCol w:w="567"/>
        <w:gridCol w:w="567"/>
        <w:gridCol w:w="567"/>
      </w:tblGrid>
      <w:tr w:rsidR="00E538C1" w:rsidRPr="00E538C1" w:rsidTr="00C40D7B">
        <w:trPr>
          <w:trHeight w:val="284"/>
        </w:trPr>
        <w:tc>
          <w:tcPr>
            <w:tcW w:w="6487" w:type="dxa"/>
            <w:shd w:val="clear" w:color="auto" w:fill="auto"/>
          </w:tcPr>
          <w:p w:rsidR="00072AA8" w:rsidRPr="00491DA7" w:rsidRDefault="00072AA8" w:rsidP="00E538C1">
            <w:pPr>
              <w:pStyle w:val="Prrafodelista"/>
              <w:numPr>
                <w:ilvl w:val="0"/>
                <w:numId w:val="6"/>
              </w:numPr>
              <w:rPr>
                <w:lang w:val="es-CO"/>
              </w:rPr>
            </w:pPr>
            <w:r w:rsidRPr="00491DA7">
              <w:rPr>
                <w:lang w:val="es-CO"/>
              </w:rPr>
              <w:t>Soy una buena pareja sexual</w:t>
            </w:r>
          </w:p>
        </w:tc>
        <w:tc>
          <w:tcPr>
            <w:tcW w:w="454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C40D7B">
        <w:trPr>
          <w:trHeight w:val="284"/>
        </w:trPr>
        <w:tc>
          <w:tcPr>
            <w:tcW w:w="6487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6"/>
              </w:numPr>
              <w:rPr>
                <w:lang w:val="es-CO"/>
              </w:rPr>
            </w:pPr>
            <w:r w:rsidRPr="00E538C1">
              <w:rPr>
                <w:lang w:val="es-CO"/>
              </w:rPr>
              <w:t>Yo calificaría mi habilidad sexual como muy alta</w:t>
            </w:r>
          </w:p>
        </w:tc>
        <w:tc>
          <w:tcPr>
            <w:tcW w:w="454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C40D7B">
        <w:trPr>
          <w:trHeight w:val="284"/>
        </w:trPr>
        <w:tc>
          <w:tcPr>
            <w:tcW w:w="6487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6"/>
              </w:numPr>
              <w:rPr>
                <w:lang w:val="es-CO"/>
              </w:rPr>
            </w:pPr>
            <w:r w:rsidRPr="00E538C1">
              <w:rPr>
                <w:lang w:val="es-CO"/>
              </w:rPr>
              <w:t>Pienso que soy una muy buena pareja a nivel sexual</w:t>
            </w:r>
          </w:p>
        </w:tc>
        <w:tc>
          <w:tcPr>
            <w:tcW w:w="454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C40D7B">
        <w:trPr>
          <w:trHeight w:val="284"/>
        </w:trPr>
        <w:tc>
          <w:tcPr>
            <w:tcW w:w="6487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6"/>
              </w:numPr>
              <w:rPr>
                <w:lang w:val="es-CO"/>
              </w:rPr>
            </w:pPr>
            <w:r w:rsidRPr="00E538C1">
              <w:rPr>
                <w:lang w:val="es-CO"/>
              </w:rPr>
              <w:t>Tengo confianza en mí mismo como pareja sexual</w:t>
            </w:r>
          </w:p>
        </w:tc>
        <w:tc>
          <w:tcPr>
            <w:tcW w:w="454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C40D7B">
        <w:trPr>
          <w:trHeight w:val="284"/>
        </w:trPr>
        <w:tc>
          <w:tcPr>
            <w:tcW w:w="6487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6"/>
              </w:numPr>
              <w:rPr>
                <w:lang w:val="es-CO"/>
              </w:rPr>
            </w:pPr>
            <w:r w:rsidRPr="00E538C1">
              <w:rPr>
                <w:lang w:val="es-CO"/>
              </w:rPr>
              <w:t>Yo me calificaría en un nivel bajo como pareja sexual</w:t>
            </w:r>
          </w:p>
        </w:tc>
        <w:tc>
          <w:tcPr>
            <w:tcW w:w="454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C40D7B">
        <w:trPr>
          <w:trHeight w:val="284"/>
        </w:trPr>
        <w:tc>
          <w:tcPr>
            <w:tcW w:w="6487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6"/>
              </w:numPr>
              <w:rPr>
                <w:lang w:val="es-CO"/>
              </w:rPr>
            </w:pPr>
            <w:r w:rsidRPr="00E538C1">
              <w:rPr>
                <w:lang w:val="es-CO"/>
              </w:rPr>
              <w:t>Me siento cómodo con mi sexualidad</w:t>
            </w:r>
          </w:p>
        </w:tc>
        <w:tc>
          <w:tcPr>
            <w:tcW w:w="454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C40D7B">
        <w:trPr>
          <w:trHeight w:val="284"/>
        </w:trPr>
        <w:tc>
          <w:tcPr>
            <w:tcW w:w="6487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6"/>
              </w:numPr>
              <w:rPr>
                <w:lang w:val="es-CO"/>
              </w:rPr>
            </w:pPr>
            <w:r w:rsidRPr="00E538C1">
              <w:rPr>
                <w:lang w:val="es-CO"/>
              </w:rPr>
              <w:t>Me siento deprimido por los aspectos sexuales de mi vida</w:t>
            </w:r>
          </w:p>
        </w:tc>
        <w:tc>
          <w:tcPr>
            <w:tcW w:w="454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C40D7B">
        <w:trPr>
          <w:trHeight w:val="284"/>
        </w:trPr>
        <w:tc>
          <w:tcPr>
            <w:tcW w:w="6487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6"/>
              </w:numPr>
              <w:rPr>
                <w:lang w:val="es-CO"/>
              </w:rPr>
            </w:pPr>
            <w:r w:rsidRPr="00E538C1">
              <w:rPr>
                <w:lang w:val="es-CO"/>
              </w:rPr>
              <w:t>Me siento triste con mi vida sexual</w:t>
            </w:r>
          </w:p>
        </w:tc>
        <w:tc>
          <w:tcPr>
            <w:tcW w:w="454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C40D7B">
        <w:trPr>
          <w:trHeight w:val="284"/>
        </w:trPr>
        <w:tc>
          <w:tcPr>
            <w:tcW w:w="6487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6"/>
              </w:numPr>
              <w:rPr>
                <w:lang w:val="es-CO"/>
              </w:rPr>
            </w:pPr>
            <w:r w:rsidRPr="00E538C1">
              <w:rPr>
                <w:lang w:val="es-CO"/>
              </w:rPr>
              <w:t>Me siento decepcionado por la calidad de mi vida sexual</w:t>
            </w:r>
          </w:p>
        </w:tc>
        <w:tc>
          <w:tcPr>
            <w:tcW w:w="454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C40D7B">
        <w:trPr>
          <w:trHeight w:val="284"/>
        </w:trPr>
        <w:tc>
          <w:tcPr>
            <w:tcW w:w="6487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6"/>
              </w:numPr>
              <w:rPr>
                <w:lang w:val="es-CO"/>
              </w:rPr>
            </w:pPr>
            <w:r w:rsidRPr="00E538C1">
              <w:rPr>
                <w:lang w:val="es-CO"/>
              </w:rPr>
              <w:t>Me siento feliz con mi vida sexual</w:t>
            </w:r>
          </w:p>
        </w:tc>
        <w:tc>
          <w:tcPr>
            <w:tcW w:w="454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C40D7B">
        <w:trPr>
          <w:trHeight w:val="284"/>
        </w:trPr>
        <w:tc>
          <w:tcPr>
            <w:tcW w:w="6487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6"/>
              </w:numPr>
              <w:rPr>
                <w:lang w:val="es-CO"/>
              </w:rPr>
            </w:pPr>
            <w:r w:rsidRPr="00E538C1">
              <w:rPr>
                <w:lang w:val="es-CO"/>
              </w:rPr>
              <w:t>Pienso en sexo todo el tiempo</w:t>
            </w:r>
          </w:p>
        </w:tc>
        <w:tc>
          <w:tcPr>
            <w:tcW w:w="454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C40D7B">
        <w:trPr>
          <w:trHeight w:val="284"/>
        </w:trPr>
        <w:tc>
          <w:tcPr>
            <w:tcW w:w="6487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6"/>
              </w:numPr>
              <w:rPr>
                <w:lang w:val="es-CO"/>
              </w:rPr>
            </w:pPr>
            <w:r w:rsidRPr="00E538C1">
              <w:rPr>
                <w:lang w:val="es-CO"/>
              </w:rPr>
              <w:t>Tiendo a estar preocupado con temas sexuales</w:t>
            </w:r>
          </w:p>
        </w:tc>
        <w:tc>
          <w:tcPr>
            <w:tcW w:w="454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C40D7B">
        <w:trPr>
          <w:trHeight w:val="284"/>
        </w:trPr>
        <w:tc>
          <w:tcPr>
            <w:tcW w:w="6487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6"/>
              </w:numPr>
              <w:rPr>
                <w:lang w:val="es-CO"/>
              </w:rPr>
            </w:pPr>
            <w:r w:rsidRPr="00E538C1">
              <w:rPr>
                <w:lang w:val="es-CO"/>
              </w:rPr>
              <w:t>Pienso en sexo más que en cualquier otra cosa</w:t>
            </w:r>
          </w:p>
        </w:tc>
        <w:tc>
          <w:tcPr>
            <w:tcW w:w="454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C40D7B">
        <w:trPr>
          <w:trHeight w:val="284"/>
        </w:trPr>
        <w:tc>
          <w:tcPr>
            <w:tcW w:w="6487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6"/>
              </w:numPr>
              <w:rPr>
                <w:lang w:val="es-CO"/>
              </w:rPr>
            </w:pPr>
            <w:r w:rsidRPr="00E538C1">
              <w:rPr>
                <w:lang w:val="es-CO"/>
              </w:rPr>
              <w:t>Estoy constantemente pensando en tener sexo</w:t>
            </w:r>
          </w:p>
        </w:tc>
        <w:tc>
          <w:tcPr>
            <w:tcW w:w="454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C40D7B">
        <w:trPr>
          <w:trHeight w:val="284"/>
        </w:trPr>
        <w:tc>
          <w:tcPr>
            <w:tcW w:w="6487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6"/>
              </w:numPr>
              <w:rPr>
                <w:lang w:val="es-CO"/>
              </w:rPr>
            </w:pPr>
            <w:r w:rsidRPr="00E538C1">
              <w:rPr>
                <w:lang w:val="es-CO"/>
              </w:rPr>
              <w:t>Pienso en sexo una gran parte del tiempo</w:t>
            </w:r>
          </w:p>
        </w:tc>
        <w:tc>
          <w:tcPr>
            <w:tcW w:w="454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</w:tbl>
    <w:p w:rsidR="00072AA8" w:rsidRPr="00E538C1" w:rsidRDefault="00072AA8" w:rsidP="00072AA8">
      <w:pPr>
        <w:rPr>
          <w:lang w:val="en-US"/>
        </w:rPr>
      </w:pPr>
    </w:p>
    <w:p w:rsidR="00072AA8" w:rsidRPr="00E538C1" w:rsidRDefault="0044164E" w:rsidP="00072AA8">
      <w:pPr>
        <w:rPr>
          <w:lang w:val="en-US"/>
        </w:rPr>
      </w:pPr>
      <w:r w:rsidRPr="00E538C1">
        <w:rPr>
          <w:bCs/>
          <w:i/>
          <w:lang w:val="en-US"/>
        </w:rPr>
        <w:t xml:space="preserve">Version Validated in Spain of the </w:t>
      </w:r>
      <w:r w:rsidR="00072AA8" w:rsidRPr="00E538C1">
        <w:rPr>
          <w:i/>
          <w:lang w:val="en-US"/>
        </w:rPr>
        <w:t xml:space="preserve">Sexuality Scale (SS; </w:t>
      </w:r>
      <w:r w:rsidR="00072AA8" w:rsidRPr="00E538C1">
        <w:rPr>
          <w:lang w:val="en-US"/>
        </w:rPr>
        <w:t xml:space="preserve">Snell &amp; Papini 1989) </w:t>
      </w:r>
      <w:r w:rsidRPr="00E538C1">
        <w:rPr>
          <w:i/>
          <w:lang w:val="en-US"/>
        </w:rPr>
        <w:t>Abbreviated Scale</w:t>
      </w:r>
      <w:r w:rsidR="00072AA8" w:rsidRPr="00E538C1">
        <w:rPr>
          <w:lang w:val="en-US"/>
        </w:rPr>
        <w:t xml:space="preserve"> (Wiedeman &amp; Allgeier, 1993).</w:t>
      </w:r>
    </w:p>
    <w:p w:rsidR="00072AA8" w:rsidRPr="00E538C1" w:rsidRDefault="00072AA8" w:rsidP="00072AA8">
      <w:pPr>
        <w:rPr>
          <w:lang w:val="en-US"/>
        </w:rPr>
      </w:pPr>
    </w:p>
    <w:p w:rsidR="00072AA8" w:rsidRPr="00491DA7" w:rsidRDefault="00072AA8" w:rsidP="00072AA8">
      <w:pPr>
        <w:rPr>
          <w:lang w:val="es-CO"/>
        </w:rPr>
      </w:pPr>
      <w:r w:rsidRPr="00491DA7">
        <w:rPr>
          <w:lang w:val="es-CO"/>
        </w:rPr>
        <w:t>1 = En total desacuerdo; 2 = Medianamente en desacuerdo; 3 = Ni de acuerdo, ni en desacuerdo; 4 = Medianamente de acuerdo; 5 = Totalmente de acuerdo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567"/>
        <w:gridCol w:w="567"/>
        <w:gridCol w:w="567"/>
        <w:gridCol w:w="567"/>
        <w:gridCol w:w="567"/>
      </w:tblGrid>
      <w:tr w:rsidR="00E538C1" w:rsidRPr="00E538C1" w:rsidTr="00E538C1">
        <w:trPr>
          <w:trHeight w:val="284"/>
        </w:trPr>
        <w:tc>
          <w:tcPr>
            <w:tcW w:w="6374" w:type="dxa"/>
            <w:shd w:val="clear" w:color="auto" w:fill="auto"/>
          </w:tcPr>
          <w:p w:rsidR="00072AA8" w:rsidRPr="00491DA7" w:rsidRDefault="00072AA8" w:rsidP="00E538C1">
            <w:pPr>
              <w:pStyle w:val="Prrafodelista"/>
              <w:numPr>
                <w:ilvl w:val="0"/>
                <w:numId w:val="7"/>
              </w:numPr>
              <w:rPr>
                <w:lang w:val="es-CO"/>
              </w:rPr>
            </w:pPr>
            <w:r w:rsidRPr="00491DA7">
              <w:rPr>
                <w:lang w:val="es-CO"/>
              </w:rPr>
              <w:t>Soy una buena pareja sexual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E538C1">
        <w:trPr>
          <w:trHeight w:val="284"/>
        </w:trPr>
        <w:tc>
          <w:tcPr>
            <w:tcW w:w="6374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7"/>
              </w:numPr>
              <w:rPr>
                <w:lang w:val="es-CO"/>
              </w:rPr>
            </w:pPr>
            <w:r w:rsidRPr="00E538C1">
              <w:rPr>
                <w:lang w:val="es-CO"/>
              </w:rPr>
              <w:t>Considero que mis habilidades sexuales son muy buenas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E538C1">
        <w:trPr>
          <w:trHeight w:val="284"/>
        </w:trPr>
        <w:tc>
          <w:tcPr>
            <w:tcW w:w="6374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7"/>
              </w:numPr>
              <w:rPr>
                <w:lang w:val="es-CO"/>
              </w:rPr>
            </w:pPr>
            <w:r w:rsidRPr="00E538C1">
              <w:rPr>
                <w:lang w:val="es-CO"/>
              </w:rPr>
              <w:t>Me considero una pareja sexual muy buena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E538C1">
        <w:trPr>
          <w:trHeight w:val="284"/>
        </w:trPr>
        <w:tc>
          <w:tcPr>
            <w:tcW w:w="6374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7"/>
              </w:numPr>
              <w:rPr>
                <w:lang w:val="es-CO"/>
              </w:rPr>
            </w:pPr>
            <w:r w:rsidRPr="00E538C1">
              <w:rPr>
                <w:lang w:val="es-CO"/>
              </w:rPr>
              <w:t>Me percibo como una mala pareja sexual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E538C1">
        <w:trPr>
          <w:trHeight w:val="284"/>
        </w:trPr>
        <w:tc>
          <w:tcPr>
            <w:tcW w:w="6374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7"/>
              </w:numPr>
              <w:rPr>
                <w:lang w:val="es-CO"/>
              </w:rPr>
            </w:pPr>
            <w:r w:rsidRPr="00E538C1">
              <w:rPr>
                <w:lang w:val="es-CO"/>
              </w:rPr>
              <w:t>Tengo confianza en mí mismo/a como pareja sexual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E538C1">
        <w:trPr>
          <w:trHeight w:val="284"/>
        </w:trPr>
        <w:tc>
          <w:tcPr>
            <w:tcW w:w="6374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7"/>
              </w:numPr>
              <w:rPr>
                <w:lang w:val="es-CO"/>
              </w:rPr>
            </w:pPr>
            <w:r w:rsidRPr="00E538C1">
              <w:rPr>
                <w:lang w:val="es-CO"/>
              </w:rPr>
              <w:t>Me siento cómodo con mi sexualidad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E538C1">
        <w:trPr>
          <w:trHeight w:val="284"/>
        </w:trPr>
        <w:tc>
          <w:tcPr>
            <w:tcW w:w="6374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7"/>
              </w:numPr>
              <w:rPr>
                <w:lang w:val="es-CO"/>
              </w:rPr>
            </w:pPr>
            <w:r w:rsidRPr="00E538C1">
              <w:rPr>
                <w:lang w:val="es-CO"/>
              </w:rPr>
              <w:t>Me deprimen los aspectos sexuales de mi vida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E538C1">
        <w:trPr>
          <w:trHeight w:val="284"/>
        </w:trPr>
        <w:tc>
          <w:tcPr>
            <w:tcW w:w="6374" w:type="dxa"/>
            <w:shd w:val="clear" w:color="auto" w:fill="auto"/>
          </w:tcPr>
          <w:p w:rsidR="00072AA8" w:rsidRPr="00CB2935" w:rsidRDefault="00072AA8" w:rsidP="00E538C1">
            <w:pPr>
              <w:pStyle w:val="Prrafodelista"/>
              <w:numPr>
                <w:ilvl w:val="0"/>
                <w:numId w:val="7"/>
              </w:numPr>
              <w:rPr>
                <w:lang w:val="es-CO"/>
              </w:rPr>
            </w:pPr>
            <w:r w:rsidRPr="00CB2935">
              <w:rPr>
                <w:lang w:val="es-CO"/>
              </w:rPr>
              <w:t>Me entristece mi vida sexual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E538C1">
        <w:trPr>
          <w:trHeight w:val="284"/>
        </w:trPr>
        <w:tc>
          <w:tcPr>
            <w:tcW w:w="6374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7"/>
              </w:numPr>
              <w:rPr>
                <w:lang w:val="es-CO"/>
              </w:rPr>
            </w:pPr>
            <w:r w:rsidRPr="00E538C1">
              <w:rPr>
                <w:lang w:val="es-CO"/>
              </w:rPr>
              <w:t>Me decepciona la calidad de mi vida sexual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E538C1">
        <w:trPr>
          <w:trHeight w:val="284"/>
        </w:trPr>
        <w:tc>
          <w:tcPr>
            <w:tcW w:w="6374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7"/>
              </w:numPr>
              <w:rPr>
                <w:lang w:val="es-CO"/>
              </w:rPr>
            </w:pPr>
            <w:r w:rsidRPr="00E538C1">
              <w:rPr>
                <w:lang w:val="es-CO"/>
              </w:rPr>
              <w:t>Estoy feliz con mi vida sexual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E538C1">
        <w:trPr>
          <w:trHeight w:val="284"/>
        </w:trPr>
        <w:tc>
          <w:tcPr>
            <w:tcW w:w="6374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7"/>
              </w:numPr>
              <w:rPr>
                <w:lang w:val="es-CO"/>
              </w:rPr>
            </w:pPr>
            <w:r w:rsidRPr="00E538C1">
              <w:rPr>
                <w:lang w:val="es-CO"/>
              </w:rPr>
              <w:t>Pienso en sexo todo el tiempo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E538C1">
        <w:trPr>
          <w:trHeight w:val="284"/>
        </w:trPr>
        <w:tc>
          <w:tcPr>
            <w:tcW w:w="6374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7"/>
              </w:numPr>
              <w:rPr>
                <w:lang w:val="es-CO"/>
              </w:rPr>
            </w:pPr>
            <w:r w:rsidRPr="00E538C1">
              <w:rPr>
                <w:lang w:val="es-CO"/>
              </w:rPr>
              <w:t>Tiendo a estar preocupado por el sexo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E538C1">
        <w:trPr>
          <w:trHeight w:val="284"/>
        </w:trPr>
        <w:tc>
          <w:tcPr>
            <w:tcW w:w="6374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7"/>
              </w:numPr>
              <w:rPr>
                <w:lang w:val="es-CO"/>
              </w:rPr>
            </w:pPr>
            <w:r w:rsidRPr="00E538C1">
              <w:rPr>
                <w:lang w:val="es-CO"/>
              </w:rPr>
              <w:t>Pienso en sexo más que en ninguna otra cosa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E538C1">
        <w:trPr>
          <w:trHeight w:val="284"/>
        </w:trPr>
        <w:tc>
          <w:tcPr>
            <w:tcW w:w="6374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7"/>
              </w:numPr>
              <w:rPr>
                <w:lang w:val="es-CO"/>
              </w:rPr>
            </w:pPr>
            <w:r w:rsidRPr="00E538C1">
              <w:rPr>
                <w:lang w:val="es-CO"/>
              </w:rPr>
              <w:t>Constantemente pienso en practicar sexo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  <w:tr w:rsidR="00E538C1" w:rsidRPr="00E538C1" w:rsidTr="00E538C1">
        <w:trPr>
          <w:trHeight w:val="284"/>
        </w:trPr>
        <w:tc>
          <w:tcPr>
            <w:tcW w:w="6374" w:type="dxa"/>
            <w:shd w:val="clear" w:color="auto" w:fill="auto"/>
          </w:tcPr>
          <w:p w:rsidR="00072AA8" w:rsidRPr="00E538C1" w:rsidRDefault="00072AA8" w:rsidP="00E538C1">
            <w:pPr>
              <w:pStyle w:val="Prrafodelista"/>
              <w:numPr>
                <w:ilvl w:val="0"/>
                <w:numId w:val="7"/>
              </w:numPr>
              <w:rPr>
                <w:lang w:val="es-CO"/>
              </w:rPr>
            </w:pPr>
            <w:r w:rsidRPr="00E538C1">
              <w:rPr>
                <w:lang w:val="es-CO"/>
              </w:rPr>
              <w:t>Pienso sobre temas sexuales una gran parte del tiempo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AA8" w:rsidRPr="00E538C1" w:rsidRDefault="00072AA8" w:rsidP="00E538C1">
            <w:pPr>
              <w:jc w:val="center"/>
              <w:rPr>
                <w:lang w:val="en-US"/>
              </w:rPr>
            </w:pPr>
            <w:r w:rsidRPr="00E538C1">
              <w:rPr>
                <w:lang w:val="en-US"/>
              </w:rPr>
              <w:t>5</w:t>
            </w:r>
          </w:p>
        </w:tc>
      </w:tr>
    </w:tbl>
    <w:p w:rsidR="00072AA8" w:rsidRPr="00E538C1" w:rsidRDefault="00072AA8" w:rsidP="00C40D7B">
      <w:pPr>
        <w:pStyle w:val="NormalWeb"/>
        <w:spacing w:line="480" w:lineRule="auto"/>
        <w:rPr>
          <w:lang w:val="en-US"/>
        </w:rPr>
      </w:pPr>
    </w:p>
    <w:sectPr w:rsidR="00072AA8" w:rsidRPr="00E538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B23"/>
    <w:multiLevelType w:val="multilevel"/>
    <w:tmpl w:val="C4BE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F18ED"/>
    <w:multiLevelType w:val="multilevel"/>
    <w:tmpl w:val="BDB2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D7276"/>
    <w:multiLevelType w:val="multilevel"/>
    <w:tmpl w:val="F5A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55FA1"/>
    <w:multiLevelType w:val="multilevel"/>
    <w:tmpl w:val="F942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04F8C"/>
    <w:multiLevelType w:val="multilevel"/>
    <w:tmpl w:val="0D02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835BA"/>
    <w:multiLevelType w:val="multilevel"/>
    <w:tmpl w:val="BCE6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15B94"/>
    <w:multiLevelType w:val="multilevel"/>
    <w:tmpl w:val="0198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86761"/>
    <w:multiLevelType w:val="multilevel"/>
    <w:tmpl w:val="80AE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F3AEC"/>
    <w:multiLevelType w:val="multilevel"/>
    <w:tmpl w:val="7D46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F33AFF"/>
    <w:multiLevelType w:val="multilevel"/>
    <w:tmpl w:val="3586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B1D88"/>
    <w:multiLevelType w:val="multilevel"/>
    <w:tmpl w:val="4884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AE23C6"/>
    <w:multiLevelType w:val="multilevel"/>
    <w:tmpl w:val="35CE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DC542F"/>
    <w:multiLevelType w:val="hybridMultilevel"/>
    <w:tmpl w:val="D8106A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908BB"/>
    <w:multiLevelType w:val="multilevel"/>
    <w:tmpl w:val="3976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C13D9D"/>
    <w:multiLevelType w:val="multilevel"/>
    <w:tmpl w:val="BF06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527200"/>
    <w:multiLevelType w:val="multilevel"/>
    <w:tmpl w:val="6608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BB7072"/>
    <w:multiLevelType w:val="multilevel"/>
    <w:tmpl w:val="49D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B05F29"/>
    <w:multiLevelType w:val="multilevel"/>
    <w:tmpl w:val="D70E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E2458"/>
    <w:multiLevelType w:val="multilevel"/>
    <w:tmpl w:val="DA081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150A58"/>
    <w:multiLevelType w:val="multilevel"/>
    <w:tmpl w:val="09FC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60AB1"/>
    <w:multiLevelType w:val="hybridMultilevel"/>
    <w:tmpl w:val="C414E222"/>
    <w:lvl w:ilvl="0" w:tplc="BA04DBB6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87D38"/>
    <w:multiLevelType w:val="multilevel"/>
    <w:tmpl w:val="2EE6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A5551B"/>
    <w:multiLevelType w:val="multilevel"/>
    <w:tmpl w:val="7142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E24F4B"/>
    <w:multiLevelType w:val="multilevel"/>
    <w:tmpl w:val="7E72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9A6735"/>
    <w:multiLevelType w:val="multilevel"/>
    <w:tmpl w:val="643E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81741E"/>
    <w:multiLevelType w:val="multilevel"/>
    <w:tmpl w:val="0660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33421A"/>
    <w:multiLevelType w:val="hybridMultilevel"/>
    <w:tmpl w:val="627CA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64D67"/>
    <w:multiLevelType w:val="multilevel"/>
    <w:tmpl w:val="4FF8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80422C"/>
    <w:multiLevelType w:val="multilevel"/>
    <w:tmpl w:val="952C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C64A9B"/>
    <w:multiLevelType w:val="multilevel"/>
    <w:tmpl w:val="B07C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CE462A"/>
    <w:multiLevelType w:val="multilevel"/>
    <w:tmpl w:val="07A2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CA4226"/>
    <w:multiLevelType w:val="multilevel"/>
    <w:tmpl w:val="D3BA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3E1FED"/>
    <w:multiLevelType w:val="multilevel"/>
    <w:tmpl w:val="FE2C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FC3BE8"/>
    <w:multiLevelType w:val="multilevel"/>
    <w:tmpl w:val="C95A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562F64"/>
    <w:multiLevelType w:val="hybridMultilevel"/>
    <w:tmpl w:val="D8106A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A1BA9"/>
    <w:multiLevelType w:val="multilevel"/>
    <w:tmpl w:val="9F20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5C4A2D"/>
    <w:multiLevelType w:val="multilevel"/>
    <w:tmpl w:val="D144D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"/>
  </w:num>
  <w:num w:numId="3">
    <w:abstractNumId w:val="24"/>
  </w:num>
  <w:num w:numId="4">
    <w:abstractNumId w:val="23"/>
  </w:num>
  <w:num w:numId="5">
    <w:abstractNumId w:val="20"/>
  </w:num>
  <w:num w:numId="6">
    <w:abstractNumId w:val="12"/>
  </w:num>
  <w:num w:numId="7">
    <w:abstractNumId w:val="34"/>
  </w:num>
  <w:num w:numId="8">
    <w:abstractNumId w:val="21"/>
  </w:num>
  <w:num w:numId="9">
    <w:abstractNumId w:val="29"/>
  </w:num>
  <w:num w:numId="10">
    <w:abstractNumId w:val="1"/>
  </w:num>
  <w:num w:numId="11">
    <w:abstractNumId w:val="7"/>
  </w:num>
  <w:num w:numId="12">
    <w:abstractNumId w:val="8"/>
  </w:num>
  <w:num w:numId="13">
    <w:abstractNumId w:val="35"/>
  </w:num>
  <w:num w:numId="14">
    <w:abstractNumId w:val="19"/>
  </w:num>
  <w:num w:numId="15">
    <w:abstractNumId w:val="6"/>
  </w:num>
  <w:num w:numId="16">
    <w:abstractNumId w:val="25"/>
  </w:num>
  <w:num w:numId="17">
    <w:abstractNumId w:val="10"/>
  </w:num>
  <w:num w:numId="18">
    <w:abstractNumId w:val="16"/>
  </w:num>
  <w:num w:numId="19">
    <w:abstractNumId w:val="28"/>
  </w:num>
  <w:num w:numId="20">
    <w:abstractNumId w:val="13"/>
  </w:num>
  <w:num w:numId="21">
    <w:abstractNumId w:val="36"/>
  </w:num>
  <w:num w:numId="22">
    <w:abstractNumId w:val="22"/>
  </w:num>
  <w:num w:numId="23">
    <w:abstractNumId w:val="33"/>
  </w:num>
  <w:num w:numId="24">
    <w:abstractNumId w:val="27"/>
  </w:num>
  <w:num w:numId="25">
    <w:abstractNumId w:val="2"/>
  </w:num>
  <w:num w:numId="26">
    <w:abstractNumId w:val="4"/>
  </w:num>
  <w:num w:numId="27">
    <w:abstractNumId w:val="32"/>
  </w:num>
  <w:num w:numId="28">
    <w:abstractNumId w:val="9"/>
  </w:num>
  <w:num w:numId="29">
    <w:abstractNumId w:val="17"/>
  </w:num>
  <w:num w:numId="30">
    <w:abstractNumId w:val="11"/>
  </w:num>
  <w:num w:numId="31">
    <w:abstractNumId w:val="31"/>
  </w:num>
  <w:num w:numId="32">
    <w:abstractNumId w:val="30"/>
  </w:num>
  <w:num w:numId="33">
    <w:abstractNumId w:val="15"/>
  </w:num>
  <w:num w:numId="34">
    <w:abstractNumId w:val="18"/>
  </w:num>
  <w:num w:numId="35">
    <w:abstractNumId w:val="0"/>
  </w:num>
  <w:num w:numId="36">
    <w:abstractNumId w:val="1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6F"/>
    <w:rsid w:val="000428A1"/>
    <w:rsid w:val="00046C9B"/>
    <w:rsid w:val="00047908"/>
    <w:rsid w:val="00072AA8"/>
    <w:rsid w:val="00080101"/>
    <w:rsid w:val="000A72F2"/>
    <w:rsid w:val="000E23D7"/>
    <w:rsid w:val="000F3300"/>
    <w:rsid w:val="00115ECD"/>
    <w:rsid w:val="00117493"/>
    <w:rsid w:val="001329B8"/>
    <w:rsid w:val="00152E26"/>
    <w:rsid w:val="00162E94"/>
    <w:rsid w:val="00185793"/>
    <w:rsid w:val="00194E2A"/>
    <w:rsid w:val="001B5C91"/>
    <w:rsid w:val="001C019D"/>
    <w:rsid w:val="001C2303"/>
    <w:rsid w:val="001D7124"/>
    <w:rsid w:val="001E3DB8"/>
    <w:rsid w:val="001F4769"/>
    <w:rsid w:val="00216077"/>
    <w:rsid w:val="00217CA9"/>
    <w:rsid w:val="002379F7"/>
    <w:rsid w:val="00242FD7"/>
    <w:rsid w:val="002511B8"/>
    <w:rsid w:val="002630E7"/>
    <w:rsid w:val="002646C5"/>
    <w:rsid w:val="002739A3"/>
    <w:rsid w:val="00285AC5"/>
    <w:rsid w:val="002B04DC"/>
    <w:rsid w:val="002E6F58"/>
    <w:rsid w:val="00306E25"/>
    <w:rsid w:val="00307BBD"/>
    <w:rsid w:val="00374559"/>
    <w:rsid w:val="00381C2C"/>
    <w:rsid w:val="003A22E2"/>
    <w:rsid w:val="003D1F4C"/>
    <w:rsid w:val="003D759A"/>
    <w:rsid w:val="003F1613"/>
    <w:rsid w:val="00423241"/>
    <w:rsid w:val="00425AB6"/>
    <w:rsid w:val="00431C45"/>
    <w:rsid w:val="00433F5A"/>
    <w:rsid w:val="0044164E"/>
    <w:rsid w:val="00446A36"/>
    <w:rsid w:val="00491C04"/>
    <w:rsid w:val="00491DA7"/>
    <w:rsid w:val="004C6B57"/>
    <w:rsid w:val="004F031E"/>
    <w:rsid w:val="00577559"/>
    <w:rsid w:val="005B12D7"/>
    <w:rsid w:val="005B3526"/>
    <w:rsid w:val="00606F27"/>
    <w:rsid w:val="006372AA"/>
    <w:rsid w:val="006449D3"/>
    <w:rsid w:val="006509EF"/>
    <w:rsid w:val="00653103"/>
    <w:rsid w:val="00657BE1"/>
    <w:rsid w:val="00684611"/>
    <w:rsid w:val="0069707F"/>
    <w:rsid w:val="006A21A7"/>
    <w:rsid w:val="006A6D78"/>
    <w:rsid w:val="006B5691"/>
    <w:rsid w:val="006C7A29"/>
    <w:rsid w:val="006D35EF"/>
    <w:rsid w:val="006F66FC"/>
    <w:rsid w:val="00713C63"/>
    <w:rsid w:val="00714212"/>
    <w:rsid w:val="0075124F"/>
    <w:rsid w:val="007648B7"/>
    <w:rsid w:val="0076701A"/>
    <w:rsid w:val="00773832"/>
    <w:rsid w:val="00774530"/>
    <w:rsid w:val="007814D6"/>
    <w:rsid w:val="00791267"/>
    <w:rsid w:val="007919BC"/>
    <w:rsid w:val="007B7332"/>
    <w:rsid w:val="007F0DBD"/>
    <w:rsid w:val="008108F5"/>
    <w:rsid w:val="0082293F"/>
    <w:rsid w:val="008235BD"/>
    <w:rsid w:val="00850ABC"/>
    <w:rsid w:val="00867EF5"/>
    <w:rsid w:val="00891030"/>
    <w:rsid w:val="00892F56"/>
    <w:rsid w:val="00894D72"/>
    <w:rsid w:val="00897268"/>
    <w:rsid w:val="008A52FD"/>
    <w:rsid w:val="008B7F1C"/>
    <w:rsid w:val="008D3617"/>
    <w:rsid w:val="009354C5"/>
    <w:rsid w:val="0095120F"/>
    <w:rsid w:val="009766C2"/>
    <w:rsid w:val="00987CF9"/>
    <w:rsid w:val="009A183B"/>
    <w:rsid w:val="009C77B9"/>
    <w:rsid w:val="009E63A4"/>
    <w:rsid w:val="009F25E2"/>
    <w:rsid w:val="009F33F0"/>
    <w:rsid w:val="009F69A2"/>
    <w:rsid w:val="00A0509A"/>
    <w:rsid w:val="00A10417"/>
    <w:rsid w:val="00A10E90"/>
    <w:rsid w:val="00A12D3E"/>
    <w:rsid w:val="00A1597F"/>
    <w:rsid w:val="00A21ECB"/>
    <w:rsid w:val="00A2672F"/>
    <w:rsid w:val="00A64FF2"/>
    <w:rsid w:val="00A87137"/>
    <w:rsid w:val="00AA2871"/>
    <w:rsid w:val="00AA2BC6"/>
    <w:rsid w:val="00AD25F2"/>
    <w:rsid w:val="00B04A5A"/>
    <w:rsid w:val="00B20826"/>
    <w:rsid w:val="00B22C91"/>
    <w:rsid w:val="00B6706F"/>
    <w:rsid w:val="00B814D9"/>
    <w:rsid w:val="00BE1EB5"/>
    <w:rsid w:val="00C40D7B"/>
    <w:rsid w:val="00C4256F"/>
    <w:rsid w:val="00C45265"/>
    <w:rsid w:val="00C70F51"/>
    <w:rsid w:val="00CA3F1F"/>
    <w:rsid w:val="00CB2935"/>
    <w:rsid w:val="00CB7996"/>
    <w:rsid w:val="00CD62CA"/>
    <w:rsid w:val="00CF21E5"/>
    <w:rsid w:val="00D06401"/>
    <w:rsid w:val="00D428D6"/>
    <w:rsid w:val="00D43F01"/>
    <w:rsid w:val="00D51000"/>
    <w:rsid w:val="00D61005"/>
    <w:rsid w:val="00D61E9B"/>
    <w:rsid w:val="00D83841"/>
    <w:rsid w:val="00D842DB"/>
    <w:rsid w:val="00DB6F19"/>
    <w:rsid w:val="00DC1B78"/>
    <w:rsid w:val="00DD331F"/>
    <w:rsid w:val="00DD3429"/>
    <w:rsid w:val="00DE3F82"/>
    <w:rsid w:val="00DE6B56"/>
    <w:rsid w:val="00E07528"/>
    <w:rsid w:val="00E32247"/>
    <w:rsid w:val="00E43074"/>
    <w:rsid w:val="00E538C1"/>
    <w:rsid w:val="00E67053"/>
    <w:rsid w:val="00E73717"/>
    <w:rsid w:val="00E77958"/>
    <w:rsid w:val="00E87D47"/>
    <w:rsid w:val="00EB306C"/>
    <w:rsid w:val="00EC237A"/>
    <w:rsid w:val="00ED1CE1"/>
    <w:rsid w:val="00ED3EC9"/>
    <w:rsid w:val="00EE1152"/>
    <w:rsid w:val="00F17B41"/>
    <w:rsid w:val="00F50D0B"/>
    <w:rsid w:val="00F96C96"/>
    <w:rsid w:val="00F96DFB"/>
    <w:rsid w:val="00FA167F"/>
    <w:rsid w:val="00FA7F8C"/>
    <w:rsid w:val="00F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6F"/>
    <w:rPr>
      <w:rFonts w:eastAsia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C425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256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256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C4256F"/>
    <w:rPr>
      <w:rFonts w:eastAsia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link w:val="Ttulo2"/>
    <w:uiPriority w:val="9"/>
    <w:semiHidden/>
    <w:rsid w:val="00C4256F"/>
    <w:rPr>
      <w:rFonts w:ascii="Calibri Light" w:eastAsia="Times New Roman" w:hAnsi="Calibri Light" w:cs="Times New Roman"/>
      <w:color w:val="2E74B5"/>
      <w:sz w:val="26"/>
      <w:szCs w:val="26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C4256F"/>
    <w:rPr>
      <w:rFonts w:ascii="Calibri Light" w:eastAsia="Times New Roman" w:hAnsi="Calibri Light" w:cs="Times New Roman"/>
      <w:color w:val="1F4D78"/>
      <w:lang w:val="es-ES" w:eastAsia="es-ES"/>
    </w:rPr>
  </w:style>
  <w:style w:type="paragraph" w:styleId="Prrafodelista">
    <w:name w:val="List Paragraph"/>
    <w:basedOn w:val="Normal"/>
    <w:uiPriority w:val="34"/>
    <w:qFormat/>
    <w:rsid w:val="00C4256F"/>
    <w:pPr>
      <w:ind w:left="720"/>
    </w:pPr>
  </w:style>
  <w:style w:type="paragraph" w:styleId="Textoindependiente2">
    <w:name w:val="Body Text 2"/>
    <w:basedOn w:val="Normal"/>
    <w:link w:val="Textoindependiente2Car"/>
    <w:semiHidden/>
    <w:rsid w:val="00C4256F"/>
    <w:pPr>
      <w:spacing w:line="360" w:lineRule="auto"/>
      <w:jc w:val="both"/>
    </w:pPr>
    <w:rPr>
      <w:szCs w:val="20"/>
      <w:lang w:val="x-none"/>
    </w:rPr>
  </w:style>
  <w:style w:type="character" w:customStyle="1" w:styleId="Textoindependiente2Car">
    <w:name w:val="Texto independiente 2 Car"/>
    <w:link w:val="Textoindependiente2"/>
    <w:semiHidden/>
    <w:rsid w:val="00C4256F"/>
    <w:rPr>
      <w:rFonts w:eastAsia="Times New Roman" w:cs="Times New Roman"/>
      <w:szCs w:val="20"/>
      <w:lang w:val="x-none" w:eastAsia="es-ES"/>
    </w:rPr>
  </w:style>
  <w:style w:type="character" w:styleId="Textoennegrita">
    <w:name w:val="Strong"/>
    <w:uiPriority w:val="22"/>
    <w:qFormat/>
    <w:rsid w:val="00C4256F"/>
    <w:rPr>
      <w:b/>
      <w:bCs/>
    </w:rPr>
  </w:style>
  <w:style w:type="character" w:styleId="nfasis">
    <w:name w:val="Emphasis"/>
    <w:uiPriority w:val="20"/>
    <w:qFormat/>
    <w:rsid w:val="00C4256F"/>
    <w:rPr>
      <w:i/>
      <w:iCs/>
    </w:rPr>
  </w:style>
  <w:style w:type="character" w:customStyle="1" w:styleId="slug-doi">
    <w:name w:val="slug-doi"/>
    <w:rsid w:val="00C4256F"/>
  </w:style>
  <w:style w:type="character" w:customStyle="1" w:styleId="value">
    <w:name w:val="value"/>
    <w:rsid w:val="00C4256F"/>
  </w:style>
  <w:style w:type="character" w:customStyle="1" w:styleId="singlehighlightclass">
    <w:name w:val="single_highlight_class"/>
    <w:rsid w:val="00C4256F"/>
  </w:style>
  <w:style w:type="character" w:customStyle="1" w:styleId="label">
    <w:name w:val="label"/>
    <w:rsid w:val="00C4256F"/>
  </w:style>
  <w:style w:type="character" w:customStyle="1" w:styleId="pagination">
    <w:name w:val="pagination"/>
    <w:rsid w:val="00C4256F"/>
  </w:style>
  <w:style w:type="character" w:customStyle="1" w:styleId="doi">
    <w:name w:val="doi"/>
    <w:rsid w:val="00C4256F"/>
  </w:style>
  <w:style w:type="character" w:customStyle="1" w:styleId="apple-converted-space">
    <w:name w:val="apple-converted-space"/>
    <w:rsid w:val="00C4256F"/>
  </w:style>
  <w:style w:type="paragraph" w:styleId="NormalWeb">
    <w:name w:val="Normal (Web)"/>
    <w:basedOn w:val="Normal"/>
    <w:uiPriority w:val="99"/>
    <w:unhideWhenUsed/>
    <w:rsid w:val="00C4256F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uiPriority w:val="99"/>
    <w:unhideWhenUsed/>
    <w:rsid w:val="00C4256F"/>
    <w:rPr>
      <w:color w:val="0000FF"/>
      <w:u w:val="single"/>
    </w:rPr>
  </w:style>
  <w:style w:type="character" w:customStyle="1" w:styleId="documenttype">
    <w:name w:val="documenttype"/>
    <w:rsid w:val="00C4256F"/>
  </w:style>
  <w:style w:type="character" w:customStyle="1" w:styleId="correspondence-addressover">
    <w:name w:val="correspondence-address_over"/>
    <w:rsid w:val="00C4256F"/>
  </w:style>
  <w:style w:type="paragraph" w:customStyle="1" w:styleId="affiltxt">
    <w:name w:val="affiltxt"/>
    <w:basedOn w:val="Normal"/>
    <w:rsid w:val="00C4256F"/>
    <w:pPr>
      <w:spacing w:before="100" w:beforeAutospacing="1" w:after="100" w:afterAutospacing="1"/>
    </w:pPr>
    <w:rPr>
      <w:lang w:val="es-CO" w:eastAsia="es-CO"/>
    </w:rPr>
  </w:style>
  <w:style w:type="character" w:customStyle="1" w:styleId="online-date">
    <w:name w:val="online-date"/>
    <w:rsid w:val="00C4256F"/>
  </w:style>
  <w:style w:type="paragraph" w:styleId="Textodeglobo">
    <w:name w:val="Balloon Text"/>
    <w:basedOn w:val="Normal"/>
    <w:link w:val="TextodegloboCar"/>
    <w:uiPriority w:val="99"/>
    <w:semiHidden/>
    <w:unhideWhenUsed/>
    <w:rsid w:val="00C42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4256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et-number">
    <w:name w:val="met-number"/>
    <w:rsid w:val="00C4256F"/>
  </w:style>
  <w:style w:type="paragraph" w:customStyle="1" w:styleId="Default">
    <w:name w:val="Default"/>
    <w:rsid w:val="00C4256F"/>
    <w:pPr>
      <w:autoSpaceDE w:val="0"/>
      <w:autoSpaceDN w:val="0"/>
      <w:adjustRightInd w:val="0"/>
    </w:pPr>
    <w:rPr>
      <w:rFonts w:ascii="DINPro-Regular" w:hAnsi="DINPro-Regular" w:cs="DINPro-Regular"/>
      <w:color w:val="000000"/>
      <w:sz w:val="24"/>
      <w:szCs w:val="24"/>
      <w:lang w:eastAsia="en-US"/>
    </w:rPr>
  </w:style>
  <w:style w:type="character" w:customStyle="1" w:styleId="A8">
    <w:name w:val="A8"/>
    <w:uiPriority w:val="99"/>
    <w:rsid w:val="00C4256F"/>
    <w:rPr>
      <w:rFonts w:cs="DINPro-Regular"/>
      <w:color w:val="000000"/>
      <w:sz w:val="60"/>
      <w:szCs w:val="60"/>
    </w:rPr>
  </w:style>
  <w:style w:type="paragraph" w:styleId="Sinespaciado">
    <w:name w:val="No Spacing"/>
    <w:uiPriority w:val="1"/>
    <w:qFormat/>
    <w:rsid w:val="00C4256F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C4256F"/>
    <w:rPr>
      <w:sz w:val="16"/>
      <w:szCs w:val="16"/>
    </w:rPr>
  </w:style>
  <w:style w:type="table" w:styleId="Tablaconcuadrcula">
    <w:name w:val="Table Grid"/>
    <w:basedOn w:val="Tablanormal"/>
    <w:uiPriority w:val="39"/>
    <w:rsid w:val="00C4256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256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4256F"/>
    <w:rPr>
      <w:rFonts w:eastAsia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256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4256F"/>
    <w:rPr>
      <w:rFonts w:eastAsia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4256F"/>
    <w:rPr>
      <w:rFonts w:eastAsia="Times New Roman"/>
      <w:sz w:val="24"/>
      <w:szCs w:val="24"/>
      <w:lang w:val="es-ES" w:eastAsia="es-ES"/>
    </w:rPr>
  </w:style>
  <w:style w:type="character" w:customStyle="1" w:styleId="goog-gtc-unit">
    <w:name w:val="goog-gtc-unit"/>
    <w:rsid w:val="00714212"/>
  </w:style>
  <w:style w:type="character" w:customStyle="1" w:styleId="goog-gtc-translatable">
    <w:name w:val="goog-gtc-translatable"/>
    <w:rsid w:val="00714212"/>
  </w:style>
  <w:style w:type="character" w:styleId="Hipervnculovisitado">
    <w:name w:val="FollowedHyperlink"/>
    <w:uiPriority w:val="99"/>
    <w:semiHidden/>
    <w:unhideWhenUsed/>
    <w:rsid w:val="00714212"/>
    <w:rPr>
      <w:color w:val="800080"/>
      <w:u w:val="single"/>
    </w:rPr>
  </w:style>
  <w:style w:type="character" w:customStyle="1" w:styleId="notranslate">
    <w:name w:val="notranslate"/>
    <w:rsid w:val="00714212"/>
  </w:style>
  <w:style w:type="character" w:customStyle="1" w:styleId="Ninguno">
    <w:name w:val="Ninguno"/>
    <w:rsid w:val="00C40D7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6F"/>
    <w:rPr>
      <w:rFonts w:eastAsia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C425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256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256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C4256F"/>
    <w:rPr>
      <w:rFonts w:eastAsia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link w:val="Ttulo2"/>
    <w:uiPriority w:val="9"/>
    <w:semiHidden/>
    <w:rsid w:val="00C4256F"/>
    <w:rPr>
      <w:rFonts w:ascii="Calibri Light" w:eastAsia="Times New Roman" w:hAnsi="Calibri Light" w:cs="Times New Roman"/>
      <w:color w:val="2E74B5"/>
      <w:sz w:val="26"/>
      <w:szCs w:val="26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C4256F"/>
    <w:rPr>
      <w:rFonts w:ascii="Calibri Light" w:eastAsia="Times New Roman" w:hAnsi="Calibri Light" w:cs="Times New Roman"/>
      <w:color w:val="1F4D78"/>
      <w:lang w:val="es-ES" w:eastAsia="es-ES"/>
    </w:rPr>
  </w:style>
  <w:style w:type="paragraph" w:styleId="Prrafodelista">
    <w:name w:val="List Paragraph"/>
    <w:basedOn w:val="Normal"/>
    <w:uiPriority w:val="34"/>
    <w:qFormat/>
    <w:rsid w:val="00C4256F"/>
    <w:pPr>
      <w:ind w:left="720"/>
    </w:pPr>
  </w:style>
  <w:style w:type="paragraph" w:styleId="Textoindependiente2">
    <w:name w:val="Body Text 2"/>
    <w:basedOn w:val="Normal"/>
    <w:link w:val="Textoindependiente2Car"/>
    <w:semiHidden/>
    <w:rsid w:val="00C4256F"/>
    <w:pPr>
      <w:spacing w:line="360" w:lineRule="auto"/>
      <w:jc w:val="both"/>
    </w:pPr>
    <w:rPr>
      <w:szCs w:val="20"/>
      <w:lang w:val="x-none"/>
    </w:rPr>
  </w:style>
  <w:style w:type="character" w:customStyle="1" w:styleId="Textoindependiente2Car">
    <w:name w:val="Texto independiente 2 Car"/>
    <w:link w:val="Textoindependiente2"/>
    <w:semiHidden/>
    <w:rsid w:val="00C4256F"/>
    <w:rPr>
      <w:rFonts w:eastAsia="Times New Roman" w:cs="Times New Roman"/>
      <w:szCs w:val="20"/>
      <w:lang w:val="x-none" w:eastAsia="es-ES"/>
    </w:rPr>
  </w:style>
  <w:style w:type="character" w:styleId="Textoennegrita">
    <w:name w:val="Strong"/>
    <w:uiPriority w:val="22"/>
    <w:qFormat/>
    <w:rsid w:val="00C4256F"/>
    <w:rPr>
      <w:b/>
      <w:bCs/>
    </w:rPr>
  </w:style>
  <w:style w:type="character" w:styleId="nfasis">
    <w:name w:val="Emphasis"/>
    <w:uiPriority w:val="20"/>
    <w:qFormat/>
    <w:rsid w:val="00C4256F"/>
    <w:rPr>
      <w:i/>
      <w:iCs/>
    </w:rPr>
  </w:style>
  <w:style w:type="character" w:customStyle="1" w:styleId="slug-doi">
    <w:name w:val="slug-doi"/>
    <w:rsid w:val="00C4256F"/>
  </w:style>
  <w:style w:type="character" w:customStyle="1" w:styleId="value">
    <w:name w:val="value"/>
    <w:rsid w:val="00C4256F"/>
  </w:style>
  <w:style w:type="character" w:customStyle="1" w:styleId="singlehighlightclass">
    <w:name w:val="single_highlight_class"/>
    <w:rsid w:val="00C4256F"/>
  </w:style>
  <w:style w:type="character" w:customStyle="1" w:styleId="label">
    <w:name w:val="label"/>
    <w:rsid w:val="00C4256F"/>
  </w:style>
  <w:style w:type="character" w:customStyle="1" w:styleId="pagination">
    <w:name w:val="pagination"/>
    <w:rsid w:val="00C4256F"/>
  </w:style>
  <w:style w:type="character" w:customStyle="1" w:styleId="doi">
    <w:name w:val="doi"/>
    <w:rsid w:val="00C4256F"/>
  </w:style>
  <w:style w:type="character" w:customStyle="1" w:styleId="apple-converted-space">
    <w:name w:val="apple-converted-space"/>
    <w:rsid w:val="00C4256F"/>
  </w:style>
  <w:style w:type="paragraph" w:styleId="NormalWeb">
    <w:name w:val="Normal (Web)"/>
    <w:basedOn w:val="Normal"/>
    <w:uiPriority w:val="99"/>
    <w:unhideWhenUsed/>
    <w:rsid w:val="00C4256F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uiPriority w:val="99"/>
    <w:unhideWhenUsed/>
    <w:rsid w:val="00C4256F"/>
    <w:rPr>
      <w:color w:val="0000FF"/>
      <w:u w:val="single"/>
    </w:rPr>
  </w:style>
  <w:style w:type="character" w:customStyle="1" w:styleId="documenttype">
    <w:name w:val="documenttype"/>
    <w:rsid w:val="00C4256F"/>
  </w:style>
  <w:style w:type="character" w:customStyle="1" w:styleId="correspondence-addressover">
    <w:name w:val="correspondence-address_over"/>
    <w:rsid w:val="00C4256F"/>
  </w:style>
  <w:style w:type="paragraph" w:customStyle="1" w:styleId="affiltxt">
    <w:name w:val="affiltxt"/>
    <w:basedOn w:val="Normal"/>
    <w:rsid w:val="00C4256F"/>
    <w:pPr>
      <w:spacing w:before="100" w:beforeAutospacing="1" w:after="100" w:afterAutospacing="1"/>
    </w:pPr>
    <w:rPr>
      <w:lang w:val="es-CO" w:eastAsia="es-CO"/>
    </w:rPr>
  </w:style>
  <w:style w:type="character" w:customStyle="1" w:styleId="online-date">
    <w:name w:val="online-date"/>
    <w:rsid w:val="00C4256F"/>
  </w:style>
  <w:style w:type="paragraph" w:styleId="Textodeglobo">
    <w:name w:val="Balloon Text"/>
    <w:basedOn w:val="Normal"/>
    <w:link w:val="TextodegloboCar"/>
    <w:uiPriority w:val="99"/>
    <w:semiHidden/>
    <w:unhideWhenUsed/>
    <w:rsid w:val="00C42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4256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et-number">
    <w:name w:val="met-number"/>
    <w:rsid w:val="00C4256F"/>
  </w:style>
  <w:style w:type="paragraph" w:customStyle="1" w:styleId="Default">
    <w:name w:val="Default"/>
    <w:rsid w:val="00C4256F"/>
    <w:pPr>
      <w:autoSpaceDE w:val="0"/>
      <w:autoSpaceDN w:val="0"/>
      <w:adjustRightInd w:val="0"/>
    </w:pPr>
    <w:rPr>
      <w:rFonts w:ascii="DINPro-Regular" w:hAnsi="DINPro-Regular" w:cs="DINPro-Regular"/>
      <w:color w:val="000000"/>
      <w:sz w:val="24"/>
      <w:szCs w:val="24"/>
      <w:lang w:eastAsia="en-US"/>
    </w:rPr>
  </w:style>
  <w:style w:type="character" w:customStyle="1" w:styleId="A8">
    <w:name w:val="A8"/>
    <w:uiPriority w:val="99"/>
    <w:rsid w:val="00C4256F"/>
    <w:rPr>
      <w:rFonts w:cs="DINPro-Regular"/>
      <w:color w:val="000000"/>
      <w:sz w:val="60"/>
      <w:szCs w:val="60"/>
    </w:rPr>
  </w:style>
  <w:style w:type="paragraph" w:styleId="Sinespaciado">
    <w:name w:val="No Spacing"/>
    <w:uiPriority w:val="1"/>
    <w:qFormat/>
    <w:rsid w:val="00C4256F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C4256F"/>
    <w:rPr>
      <w:sz w:val="16"/>
      <w:szCs w:val="16"/>
    </w:rPr>
  </w:style>
  <w:style w:type="table" w:styleId="Tablaconcuadrcula">
    <w:name w:val="Table Grid"/>
    <w:basedOn w:val="Tablanormal"/>
    <w:uiPriority w:val="39"/>
    <w:rsid w:val="00C4256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256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4256F"/>
    <w:rPr>
      <w:rFonts w:eastAsia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256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4256F"/>
    <w:rPr>
      <w:rFonts w:eastAsia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4256F"/>
    <w:rPr>
      <w:rFonts w:eastAsia="Times New Roman"/>
      <w:sz w:val="24"/>
      <w:szCs w:val="24"/>
      <w:lang w:val="es-ES" w:eastAsia="es-ES"/>
    </w:rPr>
  </w:style>
  <w:style w:type="character" w:customStyle="1" w:styleId="goog-gtc-unit">
    <w:name w:val="goog-gtc-unit"/>
    <w:rsid w:val="00714212"/>
  </w:style>
  <w:style w:type="character" w:customStyle="1" w:styleId="goog-gtc-translatable">
    <w:name w:val="goog-gtc-translatable"/>
    <w:rsid w:val="00714212"/>
  </w:style>
  <w:style w:type="character" w:styleId="Hipervnculovisitado">
    <w:name w:val="FollowedHyperlink"/>
    <w:uiPriority w:val="99"/>
    <w:semiHidden/>
    <w:unhideWhenUsed/>
    <w:rsid w:val="00714212"/>
    <w:rPr>
      <w:color w:val="800080"/>
      <w:u w:val="single"/>
    </w:rPr>
  </w:style>
  <w:style w:type="character" w:customStyle="1" w:styleId="notranslate">
    <w:name w:val="notranslate"/>
    <w:rsid w:val="00714212"/>
  </w:style>
  <w:style w:type="character" w:customStyle="1" w:styleId="Ninguno">
    <w:name w:val="Ninguno"/>
    <w:rsid w:val="00C40D7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spada@umh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yraa.gomezl@konradlorenz.edu.co" TargetMode="External"/><Relationship Id="rId12" Type="http://schemas.openxmlformats.org/officeDocument/2006/relationships/hyperlink" Target="http://link.springer.com/journal/11199/60/3/page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klin.soler@urosario.edu.co" TargetMode="External"/><Relationship Id="rId11" Type="http://schemas.openxmlformats.org/officeDocument/2006/relationships/hyperlink" Target="mailto:pablo.vallejom@konradlorenz.edu.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urent.marchalb@konradlorenz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a.moraless@umh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7774</Words>
  <Characters>42757</Characters>
  <Application>Microsoft Office Word</Application>
  <DocSecurity>0</DocSecurity>
  <Lines>356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50431</CharactersWithSpaces>
  <SharedDoc>false</SharedDoc>
  <HLinks>
    <vt:vector size="48" baseType="variant">
      <vt:variant>
        <vt:i4>6684787</vt:i4>
      </vt:variant>
      <vt:variant>
        <vt:i4>21</vt:i4>
      </vt:variant>
      <vt:variant>
        <vt:i4>0</vt:i4>
      </vt:variant>
      <vt:variant>
        <vt:i4>5</vt:i4>
      </vt:variant>
      <vt:variant>
        <vt:lpwstr>http://www-scopus-com.ez.urosario.edu.co/record/display.url?eid=2-s2.0-84886706387&amp;origin=resultslist&amp;sort=plf-f&amp;src=s&amp;st1=sexual+esteem&amp;st2=wiederman&amp;sid=79F9CC8C93054BBFAF0D89F1EECF2A34.zQKnzAySRvJOZYcdfIziQ%3a220&amp;sot=b&amp;sdt=b&amp;sl=58&amp;s=%28ABS%28sexual+esteem%29+AND+ALL%28wiederman%29%29+AND+PUBYEAR+%3e+2004&amp;relpos=8&amp;relpos=8&amp;citeCnt=0&amp;searchTerm=%28ABS%28sexual+esteem%29+AND+ALL%28wiederman%29%29+AND+PUBYEAR+%26gt%3B+2004</vt:lpwstr>
      </vt:variant>
      <vt:variant>
        <vt:lpwstr>corrAuthorFooter</vt:lpwstr>
      </vt:variant>
      <vt:variant>
        <vt:i4>2228256</vt:i4>
      </vt:variant>
      <vt:variant>
        <vt:i4>18</vt:i4>
      </vt:variant>
      <vt:variant>
        <vt:i4>0</vt:i4>
      </vt:variant>
      <vt:variant>
        <vt:i4>5</vt:i4>
      </vt:variant>
      <vt:variant>
        <vt:lpwstr>http://link.springer.com/journal/11199/60/3/page/1</vt:lpwstr>
      </vt:variant>
      <vt:variant>
        <vt:lpwstr/>
      </vt:variant>
      <vt:variant>
        <vt:i4>3473427</vt:i4>
      </vt:variant>
      <vt:variant>
        <vt:i4>15</vt:i4>
      </vt:variant>
      <vt:variant>
        <vt:i4>0</vt:i4>
      </vt:variant>
      <vt:variant>
        <vt:i4>5</vt:i4>
      </vt:variant>
      <vt:variant>
        <vt:lpwstr>mailto:pablo.vallejom@konradlorenz.edu.co</vt:lpwstr>
      </vt:variant>
      <vt:variant>
        <vt:lpwstr/>
      </vt:variant>
      <vt:variant>
        <vt:i4>4915304</vt:i4>
      </vt:variant>
      <vt:variant>
        <vt:i4>12</vt:i4>
      </vt:variant>
      <vt:variant>
        <vt:i4>0</vt:i4>
      </vt:variant>
      <vt:variant>
        <vt:i4>5</vt:i4>
      </vt:variant>
      <vt:variant>
        <vt:lpwstr>mailto:laurent.marchalb@konradlorenz.edu.co</vt:lpwstr>
      </vt:variant>
      <vt:variant>
        <vt:lpwstr/>
      </vt:variant>
      <vt:variant>
        <vt:i4>7471116</vt:i4>
      </vt:variant>
      <vt:variant>
        <vt:i4>9</vt:i4>
      </vt:variant>
      <vt:variant>
        <vt:i4>0</vt:i4>
      </vt:variant>
      <vt:variant>
        <vt:i4>5</vt:i4>
      </vt:variant>
      <vt:variant>
        <vt:lpwstr>mailto:alexandra.moraless@umh.es</vt:lpwstr>
      </vt:variant>
      <vt:variant>
        <vt:lpwstr/>
      </vt:variant>
      <vt:variant>
        <vt:i4>589873</vt:i4>
      </vt:variant>
      <vt:variant>
        <vt:i4>6</vt:i4>
      </vt:variant>
      <vt:variant>
        <vt:i4>0</vt:i4>
      </vt:variant>
      <vt:variant>
        <vt:i4>5</vt:i4>
      </vt:variant>
      <vt:variant>
        <vt:lpwstr>mailto:jpespada@umh.es</vt:lpwstr>
      </vt:variant>
      <vt:variant>
        <vt:lpwstr/>
      </vt:variant>
      <vt:variant>
        <vt:i4>4194418</vt:i4>
      </vt:variant>
      <vt:variant>
        <vt:i4>3</vt:i4>
      </vt:variant>
      <vt:variant>
        <vt:i4>0</vt:i4>
      </vt:variant>
      <vt:variant>
        <vt:i4>5</vt:i4>
      </vt:variant>
      <vt:variant>
        <vt:lpwstr>mailto:mayraa.gomezl@konradlorenz.edu.co</vt:lpwstr>
      </vt:variant>
      <vt:variant>
        <vt:lpwstr/>
      </vt:variant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mailto:franklin.soler@urosario.edu.co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 IAGO TRANSLATIONS &amp; SERVICES SAS</dc:creator>
  <cp:lastModifiedBy>Pablo Vallejo</cp:lastModifiedBy>
  <cp:revision>2</cp:revision>
  <dcterms:created xsi:type="dcterms:W3CDTF">2015-10-27T20:44:00Z</dcterms:created>
  <dcterms:modified xsi:type="dcterms:W3CDTF">2015-10-27T20:44:00Z</dcterms:modified>
</cp:coreProperties>
</file>