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353" w:rsidRPr="00A10353" w:rsidRDefault="00A10353" w:rsidP="00A10353">
      <w:pPr>
        <w:spacing w:line="480" w:lineRule="auto"/>
        <w:rPr>
          <w:b/>
          <w:sz w:val="36"/>
          <w:szCs w:val="36"/>
          <w:lang w:val="en-US"/>
        </w:rPr>
      </w:pPr>
      <w:r w:rsidRPr="00A10353">
        <w:rPr>
          <w:b/>
          <w:sz w:val="36"/>
          <w:szCs w:val="36"/>
          <w:lang w:val="en-US"/>
        </w:rPr>
        <w:t>Appendix</w:t>
      </w:r>
      <w:r w:rsidR="00FC25DB">
        <w:rPr>
          <w:b/>
          <w:sz w:val="36"/>
          <w:szCs w:val="36"/>
          <w:lang w:val="en-US"/>
        </w:rPr>
        <w:t xml:space="preserve"> S1</w:t>
      </w:r>
      <w:r w:rsidRPr="00A10353">
        <w:rPr>
          <w:b/>
          <w:sz w:val="36"/>
          <w:szCs w:val="36"/>
          <w:lang w:val="en-US"/>
        </w:rPr>
        <w:t>: Fluorescence measurements, carbon to particle number conversions and image analysis</w:t>
      </w:r>
      <w:r>
        <w:rPr>
          <w:b/>
          <w:sz w:val="36"/>
          <w:szCs w:val="36"/>
          <w:lang w:val="en-US"/>
        </w:rPr>
        <w:t>.</w:t>
      </w:r>
    </w:p>
    <w:p w:rsidR="00A10353" w:rsidRPr="00B00A6C" w:rsidRDefault="00A10353" w:rsidP="00A10353">
      <w:pPr>
        <w:spacing w:line="480" w:lineRule="auto"/>
        <w:rPr>
          <w:i/>
          <w:lang w:val="en-US"/>
        </w:rPr>
      </w:pPr>
    </w:p>
    <w:p w:rsidR="00A10353" w:rsidRPr="00A10353" w:rsidRDefault="00F45B6C" w:rsidP="00A10353">
      <w:pPr>
        <w:spacing w:line="480" w:lineRule="auto"/>
        <w:rPr>
          <w:b/>
          <w:sz w:val="32"/>
          <w:szCs w:val="32"/>
          <w:lang w:val="en-US"/>
        </w:rPr>
      </w:pPr>
      <w:r>
        <w:rPr>
          <w:b/>
          <w:sz w:val="32"/>
          <w:szCs w:val="32"/>
          <w:lang w:val="en-US"/>
        </w:rPr>
        <w:t xml:space="preserve">S </w:t>
      </w:r>
      <w:bookmarkStart w:id="0" w:name="_GoBack"/>
      <w:bookmarkEnd w:id="0"/>
      <w:r w:rsidR="00A10353" w:rsidRPr="00A10353">
        <w:rPr>
          <w:b/>
          <w:sz w:val="32"/>
          <w:szCs w:val="32"/>
          <w:lang w:val="en-US"/>
        </w:rPr>
        <w:t>1.1. Fluorescence to carbon and carbon to particle number</w:t>
      </w:r>
      <w:r w:rsidR="00A10353">
        <w:rPr>
          <w:b/>
          <w:sz w:val="32"/>
          <w:szCs w:val="32"/>
          <w:lang w:val="en-US"/>
        </w:rPr>
        <w:t xml:space="preserve"> </w:t>
      </w:r>
      <w:r w:rsidR="00A10353" w:rsidRPr="00A10353">
        <w:rPr>
          <w:b/>
          <w:sz w:val="32"/>
          <w:szCs w:val="32"/>
          <w:lang w:val="en-US"/>
        </w:rPr>
        <w:t>conversions</w:t>
      </w:r>
    </w:p>
    <w:p w:rsidR="00A10353" w:rsidRDefault="00A10353" w:rsidP="00A10353">
      <w:pPr>
        <w:spacing w:line="480" w:lineRule="auto"/>
        <w:rPr>
          <w:i/>
          <w:lang w:val="en-US"/>
        </w:rPr>
      </w:pPr>
    </w:p>
    <w:p w:rsidR="00A10353" w:rsidRPr="00A474B3" w:rsidRDefault="00A10353" w:rsidP="00A10353">
      <w:pPr>
        <w:spacing w:line="480" w:lineRule="auto"/>
        <w:rPr>
          <w:lang w:val="en-US"/>
        </w:rPr>
      </w:pPr>
      <w:r w:rsidRPr="008C422C">
        <w:rPr>
          <w:lang w:val="en-US"/>
        </w:rPr>
        <w:t xml:space="preserve">The carbon content of </w:t>
      </w:r>
      <w:r w:rsidRPr="00E9575B">
        <w:rPr>
          <w:lang w:val="en-US"/>
        </w:rPr>
        <w:t xml:space="preserve">the algae in the </w:t>
      </w:r>
      <w:r>
        <w:rPr>
          <w:lang w:val="en-US"/>
        </w:rPr>
        <w:t xml:space="preserve">feeding </w:t>
      </w:r>
      <w:r w:rsidRPr="008C422C">
        <w:rPr>
          <w:lang w:val="en-US"/>
        </w:rPr>
        <w:t>suspension</w:t>
      </w:r>
      <w:r>
        <w:rPr>
          <w:lang w:val="en-US"/>
        </w:rPr>
        <w:t>s</w:t>
      </w:r>
      <w:r w:rsidRPr="008C422C">
        <w:rPr>
          <w:lang w:val="en-US"/>
        </w:rPr>
        <w:t xml:space="preserve"> used in Exp</w:t>
      </w:r>
      <w:r>
        <w:rPr>
          <w:lang w:val="en-US"/>
        </w:rPr>
        <w:t>.</w:t>
      </w:r>
      <w:r w:rsidRPr="008C422C">
        <w:rPr>
          <w:lang w:val="en-US"/>
        </w:rPr>
        <w:t xml:space="preserve"> III</w:t>
      </w:r>
      <w:r>
        <w:rPr>
          <w:lang w:val="en-US"/>
        </w:rPr>
        <w:t xml:space="preserve"> was established using empirically derived standard curves run in a FLUOSTAR Optima microplate reader (BMG Labtech, Offenburg, Germany). To establish the relationship between the fluorescence and carbon content of the algae, we logarithmically diluted an algal stock suspension containing 9 </w:t>
      </w:r>
      <w:r>
        <w:rPr>
          <w:rFonts w:ascii="Calibri" w:hAnsi="Calibri"/>
          <w:lang w:val="en-US"/>
        </w:rPr>
        <w:t>µ</w:t>
      </w:r>
      <w:r>
        <w:rPr>
          <w:lang w:val="en-US"/>
        </w:rPr>
        <w:t>g C mL</w:t>
      </w:r>
      <w:r w:rsidRPr="008C422C">
        <w:rPr>
          <w:vertAlign w:val="superscript"/>
          <w:lang w:val="en-US"/>
        </w:rPr>
        <w:t>-1</w:t>
      </w:r>
      <w:r>
        <w:rPr>
          <w:vertAlign w:val="superscript"/>
          <w:lang w:val="en-US"/>
        </w:rPr>
        <w:t xml:space="preserve"> </w:t>
      </w:r>
      <w:r w:rsidRPr="008C422C">
        <w:rPr>
          <w:i/>
          <w:lang w:val="en-US"/>
        </w:rPr>
        <w:t>Pseudokirch</w:t>
      </w:r>
      <w:r>
        <w:rPr>
          <w:i/>
          <w:lang w:val="en-US"/>
        </w:rPr>
        <w:t>ner</w:t>
      </w:r>
      <w:r w:rsidRPr="008C422C">
        <w:rPr>
          <w:i/>
          <w:lang w:val="en-US"/>
        </w:rPr>
        <w:t>iella subcapitata</w:t>
      </w:r>
      <w:r>
        <w:rPr>
          <w:vertAlign w:val="superscript"/>
          <w:lang w:val="en-US"/>
        </w:rPr>
        <w:t xml:space="preserve"> </w:t>
      </w:r>
      <w:r w:rsidRPr="008C422C">
        <w:rPr>
          <w:lang w:val="en-US"/>
        </w:rPr>
        <w:t xml:space="preserve">and either PMP, SMP or kaolin particles at 2.25 </w:t>
      </w:r>
      <w:r>
        <w:rPr>
          <w:rFonts w:cs="Times New Roman"/>
          <w:lang w:val="en-US"/>
        </w:rPr>
        <w:t>×</w:t>
      </w:r>
      <w:r w:rsidRPr="008C422C">
        <w:rPr>
          <w:lang w:val="en-US"/>
        </w:rPr>
        <w:t xml:space="preserve"> 10</w:t>
      </w:r>
      <w:r w:rsidRPr="00C8439A">
        <w:rPr>
          <w:vertAlign w:val="superscript"/>
          <w:lang w:val="en-US"/>
        </w:rPr>
        <w:t>5</w:t>
      </w:r>
      <w:r w:rsidRPr="008C422C">
        <w:rPr>
          <w:lang w:val="en-US"/>
        </w:rPr>
        <w:t xml:space="preserve"> particles mL</w:t>
      </w:r>
      <w:r w:rsidRPr="00026F17">
        <w:rPr>
          <w:vertAlign w:val="superscript"/>
          <w:lang w:val="en-US"/>
        </w:rPr>
        <w:t>-1</w:t>
      </w:r>
      <w:r>
        <w:rPr>
          <w:lang w:val="en-US"/>
        </w:rPr>
        <w:t xml:space="preserve"> ranging 0-10</w:t>
      </w:r>
      <w:r w:rsidRPr="008C422C">
        <w:rPr>
          <w:vertAlign w:val="superscript"/>
          <w:lang w:val="en-US"/>
        </w:rPr>
        <w:t>4</w:t>
      </w:r>
      <w:r>
        <w:rPr>
          <w:rFonts w:cs="Times New Roman"/>
          <w:lang w:val="en-US"/>
        </w:rPr>
        <w:t>×</w:t>
      </w:r>
      <w:r>
        <w:rPr>
          <w:vertAlign w:val="superscript"/>
          <w:lang w:val="en-US"/>
        </w:rPr>
        <w:t xml:space="preserve"> </w:t>
      </w:r>
      <w:r>
        <w:rPr>
          <w:lang w:val="en-US"/>
        </w:rPr>
        <w:t>dilution. The standard curve for the control contained only algae; M7 was used for the blanks and each concentration was run in triplicate. Filter wavelengths were 400-480 nm (excitation) and 640-680 nm (emission); gain = 1407. Goodness of fit for the linear relationship between carbon content and fluorescence was high (R</w:t>
      </w:r>
      <w:r w:rsidRPr="008C422C">
        <w:rPr>
          <w:vertAlign w:val="superscript"/>
          <w:lang w:val="en-US"/>
        </w:rPr>
        <w:t>2</w:t>
      </w:r>
      <w:r>
        <w:rPr>
          <w:lang w:val="en-US"/>
        </w:rPr>
        <w:t xml:space="preserve"> &gt; 0.99) for all treatments. The slope parameter </w:t>
      </w:r>
      <w:r w:rsidRPr="008C422C">
        <w:rPr>
          <w:i/>
          <w:lang w:val="en-US"/>
        </w:rPr>
        <w:t>k</w:t>
      </w:r>
      <w:r>
        <w:rPr>
          <w:lang w:val="en-US"/>
        </w:rPr>
        <w:t xml:space="preserve"> of the linear relationship: </w:t>
      </w:r>
      <m:oMath>
        <m:r>
          <w:rPr>
            <w:rFonts w:ascii="Cambria Math" w:hAnsi="Cambria Math"/>
            <w:lang w:val="en-US"/>
          </w:rPr>
          <m:t xml:space="preserve">C=kF-m </m:t>
        </m:r>
      </m:oMath>
      <w:r>
        <w:rPr>
          <w:rFonts w:eastAsiaTheme="minorEastAsia"/>
          <w:lang w:val="en-US"/>
        </w:rPr>
        <w:t xml:space="preserve"> where </w:t>
      </w:r>
      <w:r w:rsidRPr="008C422C">
        <w:rPr>
          <w:rFonts w:eastAsiaTheme="minorEastAsia"/>
          <w:i/>
          <w:lang w:val="en-US"/>
        </w:rPr>
        <w:t>C</w:t>
      </w:r>
      <w:r>
        <w:rPr>
          <w:rFonts w:eastAsiaTheme="minorEastAsia"/>
          <w:lang w:val="en-US"/>
        </w:rPr>
        <w:t xml:space="preserve"> = the carbon content of algae, </w:t>
      </w:r>
      <w:r w:rsidRPr="008C422C">
        <w:rPr>
          <w:rFonts w:eastAsiaTheme="minorEastAsia"/>
          <w:i/>
          <w:lang w:val="en-US"/>
        </w:rPr>
        <w:t>F</w:t>
      </w:r>
      <w:r>
        <w:rPr>
          <w:rFonts w:eastAsiaTheme="minorEastAsia"/>
          <w:lang w:val="en-US"/>
        </w:rPr>
        <w:t xml:space="preserve"> = the fluorescence and </w:t>
      </w:r>
      <w:r w:rsidRPr="008C422C">
        <w:rPr>
          <w:rFonts w:eastAsiaTheme="minorEastAsia"/>
          <w:i/>
          <w:lang w:val="en-US"/>
        </w:rPr>
        <w:t>m</w:t>
      </w:r>
      <w:r>
        <w:rPr>
          <w:rFonts w:eastAsiaTheme="minorEastAsia"/>
          <w:lang w:val="en-US"/>
        </w:rPr>
        <w:t xml:space="preserve"> = the intercept, </w:t>
      </w:r>
      <w:r>
        <w:rPr>
          <w:lang w:val="en-US"/>
        </w:rPr>
        <w:t xml:space="preserve">was equal for all treatments (0.0002); only the intercepts differed; </w:t>
      </w:r>
      <w:proofErr w:type="spellStart"/>
      <w:r w:rsidRPr="00B05FCE">
        <w:rPr>
          <w:i/>
          <w:lang w:val="en-US"/>
        </w:rPr>
        <w:t>m</w:t>
      </w:r>
      <w:r w:rsidRPr="008C422C">
        <w:rPr>
          <w:vertAlign w:val="subscript"/>
          <w:lang w:val="en-US"/>
        </w:rPr>
        <w:t>Control</w:t>
      </w:r>
      <w:proofErr w:type="spellEnd"/>
      <w:r>
        <w:rPr>
          <w:lang w:val="en-US"/>
        </w:rPr>
        <w:t xml:space="preserve"> = -0.0814, </w:t>
      </w:r>
      <w:proofErr w:type="spellStart"/>
      <w:r w:rsidRPr="0024624C">
        <w:rPr>
          <w:i/>
          <w:lang w:val="en-US"/>
        </w:rPr>
        <w:t>m</w:t>
      </w:r>
      <w:r>
        <w:rPr>
          <w:vertAlign w:val="subscript"/>
          <w:lang w:val="en-US"/>
        </w:rPr>
        <w:t>SMP</w:t>
      </w:r>
      <w:proofErr w:type="spellEnd"/>
      <w:r>
        <w:rPr>
          <w:lang w:val="en-US"/>
        </w:rPr>
        <w:t xml:space="preserve"> = -0.434, </w:t>
      </w:r>
      <w:proofErr w:type="spellStart"/>
      <w:r w:rsidRPr="0024624C">
        <w:rPr>
          <w:i/>
          <w:lang w:val="en-US"/>
        </w:rPr>
        <w:t>m</w:t>
      </w:r>
      <w:r>
        <w:rPr>
          <w:vertAlign w:val="subscript"/>
          <w:lang w:val="en-US"/>
        </w:rPr>
        <w:t>PMP</w:t>
      </w:r>
      <w:proofErr w:type="spellEnd"/>
      <w:r>
        <w:rPr>
          <w:lang w:val="en-US"/>
        </w:rPr>
        <w:t xml:space="preserve"> = -1.744, </w:t>
      </w:r>
      <w:proofErr w:type="spellStart"/>
      <w:r w:rsidRPr="0024624C">
        <w:rPr>
          <w:i/>
          <w:lang w:val="en-US"/>
        </w:rPr>
        <w:t>m</w:t>
      </w:r>
      <w:r>
        <w:rPr>
          <w:vertAlign w:val="subscript"/>
          <w:lang w:val="en-US"/>
        </w:rPr>
        <w:t>Kaolin</w:t>
      </w:r>
      <w:proofErr w:type="spellEnd"/>
      <w:r>
        <w:rPr>
          <w:lang w:val="en-US"/>
        </w:rPr>
        <w:t xml:space="preserve"> = -0.1113. The numerical concentration of algal cells </w:t>
      </w:r>
      <w:r w:rsidRPr="00C8439A">
        <w:rPr>
          <w:i/>
          <w:lang w:val="en-US"/>
        </w:rPr>
        <w:t>P</w:t>
      </w:r>
      <w:r>
        <w:rPr>
          <w:lang w:val="en-US"/>
        </w:rPr>
        <w:t xml:space="preserve"> was estimated using the following conversion formula</w:t>
      </w:r>
      <w:proofErr w:type="gramStart"/>
      <w:r>
        <w:rPr>
          <w:lang w:val="en-US"/>
        </w:rPr>
        <w:t xml:space="preserve">: </w:t>
      </w:r>
      <w:proofErr w:type="gramEnd"/>
      <m:oMath>
        <m:r>
          <w:rPr>
            <w:rFonts w:ascii="Cambria Math" w:hAnsi="Cambria Math"/>
            <w:lang w:val="en-US"/>
          </w:rPr>
          <m:t>P=90785×C</m:t>
        </m:r>
      </m:oMath>
      <w:r>
        <w:rPr>
          <w:rFonts w:eastAsiaTheme="minorEastAsia"/>
          <w:lang w:val="en-US"/>
        </w:rPr>
        <w:t xml:space="preserve">, where </w:t>
      </w:r>
      <w:r w:rsidRPr="00C8439A">
        <w:rPr>
          <w:rFonts w:eastAsiaTheme="minorEastAsia"/>
          <w:i/>
          <w:lang w:val="en-US"/>
        </w:rPr>
        <w:t>P</w:t>
      </w:r>
      <w:r>
        <w:rPr>
          <w:rFonts w:eastAsiaTheme="minorEastAsia"/>
          <w:i/>
          <w:lang w:val="en-US"/>
        </w:rPr>
        <w:t xml:space="preserve"> </w:t>
      </w:r>
      <w:r w:rsidRPr="00C8439A">
        <w:rPr>
          <w:rFonts w:eastAsiaTheme="minorEastAsia"/>
          <w:lang w:val="en-US"/>
        </w:rPr>
        <w:t xml:space="preserve">was measured using </w:t>
      </w:r>
      <w:r>
        <w:rPr>
          <w:rFonts w:eastAsiaTheme="minorEastAsia"/>
          <w:lang w:val="en-US"/>
        </w:rPr>
        <w:t xml:space="preserve">a </w:t>
      </w:r>
      <w:r w:rsidRPr="00C8439A">
        <w:rPr>
          <w:rFonts w:eastAsiaTheme="minorEastAsia"/>
          <w:lang w:val="en-US"/>
        </w:rPr>
        <w:t xml:space="preserve">hemocytometer. </w:t>
      </w:r>
    </w:p>
    <w:p w:rsidR="00A10353" w:rsidRPr="00B00A6C" w:rsidRDefault="00A10353" w:rsidP="00A10353">
      <w:pPr>
        <w:spacing w:line="480" w:lineRule="auto"/>
        <w:rPr>
          <w:i/>
          <w:lang w:val="en-US"/>
        </w:rPr>
      </w:pPr>
    </w:p>
    <w:p w:rsidR="00A10353" w:rsidRPr="00A10353" w:rsidRDefault="00A10353" w:rsidP="00A10353">
      <w:pPr>
        <w:spacing w:line="480" w:lineRule="auto"/>
        <w:rPr>
          <w:b/>
          <w:sz w:val="32"/>
          <w:szCs w:val="32"/>
          <w:lang w:val="en-US"/>
        </w:rPr>
      </w:pPr>
      <w:r w:rsidRPr="00A10353">
        <w:rPr>
          <w:b/>
          <w:sz w:val="32"/>
          <w:szCs w:val="32"/>
          <w:lang w:val="en-US"/>
        </w:rPr>
        <w:t>S 1.2 Image analysis</w:t>
      </w:r>
    </w:p>
    <w:p w:rsidR="00A10353" w:rsidRPr="00B00A6C" w:rsidRDefault="00A10353" w:rsidP="00A10353">
      <w:pPr>
        <w:spacing w:line="480" w:lineRule="auto"/>
        <w:rPr>
          <w:lang w:val="en-US"/>
        </w:rPr>
      </w:pPr>
    </w:p>
    <w:p w:rsidR="00A10353" w:rsidRDefault="00A10353" w:rsidP="00A10353">
      <w:pPr>
        <w:spacing w:line="480" w:lineRule="auto"/>
        <w:rPr>
          <w:lang w:val="en-US"/>
        </w:rPr>
      </w:pPr>
      <w:r w:rsidRPr="00B00A6C">
        <w:rPr>
          <w:lang w:val="en-US"/>
        </w:rPr>
        <w:t xml:space="preserve">Individual </w:t>
      </w:r>
      <w:r w:rsidRPr="00B00A6C">
        <w:rPr>
          <w:i/>
          <w:lang w:val="en-US"/>
        </w:rPr>
        <w:t xml:space="preserve">Daphnia </w:t>
      </w:r>
      <w:r w:rsidRPr="00B00A6C">
        <w:rPr>
          <w:lang w:val="en-US"/>
        </w:rPr>
        <w:t xml:space="preserve">were photographed on their lateral side using a fluorescence microscope (Leica DMBR, Leitz, Germany) fitted with a digital camera (Canon 5D mark III)  to visualize the fluorescent plastic MPs followed by image analysis using ImageJ software </w:t>
      </w:r>
      <w:r w:rsidRPr="00B00A6C">
        <w:rPr>
          <w:lang w:val="en-US"/>
        </w:rPr>
        <w:fldChar w:fldCharType="begin"/>
      </w:r>
      <w:r>
        <w:rPr>
          <w:lang w:val="en-US"/>
        </w:rPr>
        <w:instrText xml:space="preserve"> ADDIN ZOTERO_ITEM CSL_CITATION {"citationID":"ccpi5phtd","properties":{"formattedCitation":"[67]","plainCitation":"[67]"},"citationItems":[{"id":7899,"uris":["http://zotero.org/users/1179399/items/S6CCBQMM"],"uri":["http://zotero.org/users/1179399/items/S6CCBQMM"],"itemData":{"id":7899,"type":"article-journal","title":"NIH Image to ImageJ: 25 years of image analysis","container-title":"Nature Methods","page":"671-675","volume":"9","issue":"7","source":"www.nature.com","abstract":"For the past 25 years NIH Image and ImageJ software have been pioneers as open tools for the analysis of scientific images. We discuss the origins, challenges and solutions of these two programs, and how their history can serve to advise and inform other software projects.","DOI":"10.1038/nmeth.2089","ISSN":"1548-7091","note":"03489","shortTitle":"NIH Image to ImageJ","journalAbbreviation":"Nat Meth","language":"en","author":[{"family":"Schneider","given":"Caroline A."},{"family":"Rasband","given":"Wayne S."},{"family":"Eliceiri","given":"Kevin W."}],"issued":{"date-parts":[["2012",7]]}}}],"schema":"https://github.com/citation-style-language/schema/raw/master/csl-citation.json"} </w:instrText>
      </w:r>
      <w:r w:rsidRPr="00B00A6C">
        <w:rPr>
          <w:lang w:val="en-US"/>
        </w:rPr>
        <w:fldChar w:fldCharType="separate"/>
      </w:r>
      <w:r w:rsidRPr="00C8439A">
        <w:rPr>
          <w:rFonts w:cs="Times New Roman"/>
          <w:lang w:val="en-US"/>
        </w:rPr>
        <w:t>[67]</w:t>
      </w:r>
      <w:r w:rsidRPr="00B00A6C">
        <w:fldChar w:fldCharType="end"/>
      </w:r>
      <w:r w:rsidRPr="00B00A6C">
        <w:rPr>
          <w:lang w:val="en-US"/>
        </w:rPr>
        <w:t xml:space="preserve">. To calculate the amount of MPs in the guts, the image was cropped leaving only the gut for examination. To isolate the particles, color thresholding was used, and the image was transformed to black and white </w:t>
      </w:r>
      <w:r w:rsidRPr="00B00A6C">
        <w:rPr>
          <w:lang w:val="en-US"/>
        </w:rPr>
        <w:fldChar w:fldCharType="begin"/>
      </w:r>
      <w:r>
        <w:rPr>
          <w:lang w:val="en-US"/>
        </w:rPr>
        <w:instrText xml:space="preserve"> ADDIN ZOTERO_ITEM CSL_CITATION {"citationID":"fgjqkekft","properties":{"formattedCitation":"[68]","plainCitation":"[68]"},"citationItems":[{"id":8025,"uris":["http://zotero.org/users/1179399/items/3FVB7SMC"],"uri":["http://zotero.org/users/1179399/items/3FVB7SMC"],"itemData":{"id":8025,"type":"paper-conference","title":"Grading Method of Leaf Spot Disease Based on Image Processing","container-title":"2008 International Conference on Computer Science and Software Engineering","page":"491-494","volume":"6","source":"IEEE Xplore","event":"2008 International Conference on Computer Science and Software Engineering","abstract":"Since current grading of plant diseases is mainly based on eyeballing, a new method is developed based on computer image processing. All influencing factors existed in the process of image segmentation was analyzed and leaf region was segmented by using Otsu method. In the HSI color system, H component was chosen to segment disease spot to reduce the disturbance of illumination changes and the vein. Then, disease spot regions were segmented by using Sobel operator to examine disease spot edges. Finally, plant diseases are graded by calculating the quotient of disease spot and leaf areas. Researches indicate that this method to grade plant leaf spot diseases is fast and accurate.","DOI":"10.1109/CSSE.2008.1649","note":"00046","author":[{"family":"Weizheng","given":"Shen"},{"family":"Yachun","given":"Wu"},{"family":"Zhanliang","given":"Chen"},{"family":"Hongda","given":"Wei"}],"issued":{"date-parts":[["2008",12]]}}}],"schema":"https://github.com/citation-style-language/schema/raw/master/csl-citation.json"} </w:instrText>
      </w:r>
      <w:r w:rsidRPr="00B00A6C">
        <w:rPr>
          <w:lang w:val="en-US"/>
        </w:rPr>
        <w:fldChar w:fldCharType="separate"/>
      </w:r>
      <w:r w:rsidRPr="00C8439A">
        <w:rPr>
          <w:rFonts w:cs="Times New Roman"/>
          <w:lang w:val="en-US"/>
        </w:rPr>
        <w:t>[68]</w:t>
      </w:r>
      <w:r w:rsidRPr="00B00A6C">
        <w:fldChar w:fldCharType="end"/>
      </w:r>
      <w:r w:rsidRPr="00B00A6C">
        <w:rPr>
          <w:lang w:val="en-US"/>
        </w:rPr>
        <w:t xml:space="preserve">. Subsequently, the total integrated pixel area was measured. Five daphnids that received algae but no MPs were used as blanks, and the mean integrated pixel area of MPs in the digestive tract was subtracted from the values obtained for the exposed animals. Moreover, because SMP particles were found to aggregate, we also measured the size (area) and size distribution of such aggregates in the guts using the particle counter plug-in in Image J. MP-aggregates were </w:t>
      </w:r>
      <w:r>
        <w:rPr>
          <w:lang w:val="en-US"/>
        </w:rPr>
        <w:t>operationally defined</w:t>
      </w:r>
      <w:r w:rsidRPr="00B00A6C">
        <w:rPr>
          <w:lang w:val="en-US"/>
        </w:rPr>
        <w:t xml:space="preserve"> as particles having an area larger than individual MPs administered in the feeding suspension, i.e. &gt;80 µm</w:t>
      </w:r>
      <w:r w:rsidRPr="00B00A6C">
        <w:rPr>
          <w:vertAlign w:val="superscript"/>
          <w:lang w:val="en-US"/>
        </w:rPr>
        <w:t>2</w:t>
      </w:r>
      <w:r w:rsidRPr="00B00A6C">
        <w:rPr>
          <w:lang w:val="en-US"/>
        </w:rPr>
        <w:t>.</w:t>
      </w:r>
    </w:p>
    <w:p w:rsidR="004B247F" w:rsidRDefault="004B247F"/>
    <w:sectPr w:rsidR="004B247F">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353"/>
    <w:rsid w:val="004B247F"/>
    <w:rsid w:val="00A10353"/>
    <w:rsid w:val="00F45B6C"/>
    <w:rsid w:val="00FC2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353"/>
    <w:rPr>
      <w:rFonts w:ascii="Times New Roman" w:hAnsi="Times New Roman"/>
      <w:sz w:val="24"/>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A1035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10353"/>
    <w:rPr>
      <w:rFonts w:ascii="Tahoma" w:hAnsi="Tahoma" w:cs="Tahoma"/>
      <w:sz w:val="16"/>
      <w:szCs w:val="16"/>
      <w:lang w:val="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353"/>
    <w:rPr>
      <w:rFonts w:ascii="Times New Roman" w:hAnsi="Times New Roman"/>
      <w:sz w:val="24"/>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A1035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10353"/>
    <w:rPr>
      <w:rFonts w:ascii="Tahoma" w:hAnsi="Tahoma" w:cs="Tahoma"/>
      <w:sz w:val="16"/>
      <w:szCs w:val="16"/>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804</Words>
  <Characters>4584</Characters>
  <Application>Microsoft Office Word</Application>
  <DocSecurity>0</DocSecurity>
  <Lines>38</Lines>
  <Paragraphs>10</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5378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Ogonowski</dc:creator>
  <cp:lastModifiedBy>Martin Ogonowski</cp:lastModifiedBy>
  <cp:revision>3</cp:revision>
  <dcterms:created xsi:type="dcterms:W3CDTF">2016-03-13T12:03:00Z</dcterms:created>
  <dcterms:modified xsi:type="dcterms:W3CDTF">2016-03-14T13:25:00Z</dcterms:modified>
</cp:coreProperties>
</file>