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64" w:rsidRDefault="00932CB6" w:rsidP="000F2F6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S2</w:t>
      </w:r>
      <w:r w:rsidR="000F2F64" w:rsidRPr="00F05707">
        <w:rPr>
          <w:rFonts w:asciiTheme="minorHAnsi" w:hAnsiTheme="minorHAnsi"/>
          <w:b/>
        </w:rPr>
        <w:t xml:space="preserve"> Table</w:t>
      </w:r>
      <w:bookmarkStart w:id="0" w:name="_GoBack"/>
      <w:bookmarkEnd w:id="0"/>
      <w:r w:rsidR="000F2F64" w:rsidRPr="00F05707">
        <w:rPr>
          <w:rFonts w:asciiTheme="minorHAnsi" w:hAnsiTheme="minorHAnsi"/>
        </w:rPr>
        <w:t xml:space="preserve">: </w:t>
      </w:r>
      <w:r w:rsidR="005F379C" w:rsidRPr="005F379C">
        <w:rPr>
          <w:rFonts w:asciiTheme="minorHAnsi" w:hAnsiTheme="minorHAnsi"/>
        </w:rPr>
        <w:t>Linear regression analysis of the effect of the smaller (pre Shungin et al, 2015 publication) WHRadjBMI-increasing SNPscore on lipolysis phenotypes</w:t>
      </w:r>
      <w:r w:rsidR="005F379C">
        <w:rPr>
          <w:rFonts w:asciiTheme="minorHAnsi" w:hAnsiTheme="minorHAnsi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9"/>
        <w:gridCol w:w="599"/>
        <w:gridCol w:w="784"/>
        <w:gridCol w:w="785"/>
        <w:gridCol w:w="781"/>
        <w:gridCol w:w="785"/>
        <w:gridCol w:w="781"/>
        <w:gridCol w:w="903"/>
        <w:gridCol w:w="906"/>
        <w:gridCol w:w="599"/>
        <w:gridCol w:w="784"/>
        <w:gridCol w:w="785"/>
        <w:gridCol w:w="781"/>
        <w:gridCol w:w="785"/>
        <w:gridCol w:w="782"/>
        <w:gridCol w:w="904"/>
        <w:gridCol w:w="907"/>
      </w:tblGrid>
      <w:tr w:rsidR="00A246AF" w:rsidRPr="00A246AF" w:rsidTr="00A246AF">
        <w:trPr>
          <w:trHeight w:val="300"/>
        </w:trPr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pre Shungin SNP score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pre Shungin SNP score no pleiotropy</w:t>
            </w:r>
          </w:p>
        </w:tc>
      </w:tr>
      <w:tr w:rsidR="00A246AF" w:rsidRPr="00A246AF" w:rsidTr="00A246AF">
        <w:trPr>
          <w:trHeight w:val="360"/>
        </w:trPr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adjR2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Beta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Se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L95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U95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P</w:t>
            </w:r>
            <w:r w:rsidRPr="00A246AF">
              <w:rPr>
                <w:rFonts w:eastAsia="Times New Roman"/>
                <w:color w:val="000000"/>
                <w:vertAlign w:val="subscript"/>
                <w:lang w:eastAsia="en-GB"/>
              </w:rPr>
              <w:t>main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P</w:t>
            </w:r>
            <w:r w:rsidRPr="00A246AF">
              <w:rPr>
                <w:rFonts w:eastAsia="Times New Roman"/>
                <w:color w:val="000000"/>
                <w:vertAlign w:val="subscript"/>
                <w:lang w:eastAsia="en-GB"/>
              </w:rPr>
              <w:t>inter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adjR2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Beta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Se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L95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U95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P</w:t>
            </w:r>
            <w:r w:rsidRPr="00A246AF">
              <w:rPr>
                <w:rFonts w:eastAsia="Times New Roman"/>
                <w:color w:val="000000"/>
                <w:vertAlign w:val="subscript"/>
                <w:lang w:eastAsia="en-GB"/>
              </w:rPr>
              <w:t>main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P</w:t>
            </w:r>
            <w:r w:rsidRPr="00A246AF">
              <w:rPr>
                <w:rFonts w:eastAsia="Times New Roman"/>
                <w:color w:val="000000"/>
                <w:vertAlign w:val="subscript"/>
                <w:lang w:eastAsia="en-GB"/>
              </w:rPr>
              <w:t>inter</w:t>
            </w:r>
          </w:p>
        </w:tc>
      </w:tr>
      <w:tr w:rsidR="00A246AF" w:rsidRPr="00A246AF" w:rsidTr="00A246AF">
        <w:trPr>
          <w:trHeight w:val="600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Spontaneous lipolysis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322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0.321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0.4850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0.3130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322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0.323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0.2960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0.5780</w:t>
            </w:r>
          </w:p>
        </w:tc>
      </w:tr>
      <w:tr w:rsidR="00A246AF" w:rsidRPr="00A246AF" w:rsidTr="00A246AF">
        <w:trPr>
          <w:trHeight w:val="900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246AF">
              <w:rPr>
                <w:rFonts w:eastAsia="Times New Roman"/>
                <w:lang w:eastAsia="en-GB"/>
              </w:rPr>
              <w:t>Isoprenaline-stimulated lipolysis*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551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0.182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0.9920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0.3400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551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0.182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0.8230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0.5610</w:t>
            </w:r>
          </w:p>
        </w:tc>
      </w:tr>
      <w:tr w:rsidR="00A246AF" w:rsidRPr="00A246AF" w:rsidTr="00A246AF">
        <w:trPr>
          <w:trHeight w:val="900"/>
        </w:trPr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246AF">
              <w:rPr>
                <w:rFonts w:eastAsia="Times New Roman"/>
                <w:lang w:eastAsia="en-GB"/>
              </w:rPr>
              <w:t>dcAMP-stimulated lipolysis*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534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0.163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0.6450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0.8880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534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0.163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-0.015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0.4380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6AF" w:rsidRPr="00A246AF" w:rsidRDefault="00A246AF" w:rsidP="00A24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0.6650</w:t>
            </w:r>
          </w:p>
        </w:tc>
      </w:tr>
      <w:tr w:rsidR="00A246AF" w:rsidRPr="00A246AF" w:rsidTr="00A246AF">
        <w:trPr>
          <w:trHeight w:val="13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6AF" w:rsidRPr="00A246AF" w:rsidRDefault="00A246AF" w:rsidP="00A246A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246AF">
              <w:rPr>
                <w:rFonts w:eastAsia="Times New Roman"/>
                <w:color w:val="000000"/>
                <w:lang w:eastAsia="en-GB"/>
              </w:rPr>
              <w:t>Where:  adjR2, adjusted R2 from regression models; L95, lower boundry of 95% confidence interval; U95, upper boundry of 95% confidence interval; Pmain, P value for main effect; Pinter, Pvalue for sex interaction; * compared to basal lipolysis levels. The limited score based upon 14 lead SNPs reported by Randall et al and Heid et al (</w:t>
            </w:r>
            <w:r w:rsidRPr="00A246AF">
              <w:rPr>
                <w:rFonts w:eastAsia="Times New Roman"/>
                <w:i/>
                <w:iCs/>
                <w:color w:val="000000"/>
                <w:lang w:eastAsia="en-GB"/>
              </w:rPr>
              <w:t>TBX15-WARS2, DNM3, LYPLAL1, GRB14-COBBL1, PPARG, NISCH-STAB, ADAMTS9, MAP3K1, HSD17B4, VEGFA, RSPO3, NFE2L3, HOXC13, ZNRF3-KREMEN1</w:t>
            </w:r>
            <w:r w:rsidRPr="00A246AF">
              <w:rPr>
                <w:rFonts w:eastAsia="Times New Roman"/>
                <w:color w:val="000000"/>
                <w:lang w:eastAsia="en-GB"/>
              </w:rPr>
              <w:t xml:space="preserve"> loci).</w:t>
            </w:r>
          </w:p>
        </w:tc>
      </w:tr>
    </w:tbl>
    <w:p w:rsidR="00A246AF" w:rsidRPr="00F05707" w:rsidRDefault="00A246AF" w:rsidP="000F2F64">
      <w:pPr>
        <w:spacing w:line="480" w:lineRule="auto"/>
        <w:rPr>
          <w:rFonts w:asciiTheme="minorHAnsi" w:hAnsiTheme="minorHAnsi"/>
        </w:rPr>
      </w:pPr>
    </w:p>
    <w:p w:rsidR="00A246AF" w:rsidRDefault="00A246AF" w:rsidP="000F2F64">
      <w:pPr>
        <w:rPr>
          <w:rFonts w:asciiTheme="minorHAnsi" w:hAnsiTheme="minorHAnsi"/>
          <w:b/>
        </w:rPr>
      </w:pPr>
    </w:p>
    <w:p w:rsidR="00A246AF" w:rsidRDefault="00A246AF" w:rsidP="000F2F64">
      <w:pPr>
        <w:rPr>
          <w:rFonts w:asciiTheme="minorHAnsi" w:hAnsiTheme="minorHAnsi"/>
          <w:b/>
        </w:rPr>
      </w:pPr>
    </w:p>
    <w:p w:rsidR="00A246AF" w:rsidRDefault="00A246AF" w:rsidP="000F2F64">
      <w:pPr>
        <w:rPr>
          <w:rFonts w:asciiTheme="minorHAnsi" w:hAnsiTheme="minorHAnsi"/>
          <w:b/>
        </w:rPr>
      </w:pPr>
    </w:p>
    <w:p w:rsidR="00A246AF" w:rsidRDefault="00A246AF" w:rsidP="000F2F64">
      <w:pPr>
        <w:rPr>
          <w:rFonts w:asciiTheme="minorHAnsi" w:hAnsiTheme="minorHAnsi"/>
          <w:b/>
        </w:rPr>
      </w:pPr>
    </w:p>
    <w:p w:rsidR="00A246AF" w:rsidRDefault="00A246AF" w:rsidP="000F2F64">
      <w:pPr>
        <w:rPr>
          <w:rFonts w:asciiTheme="minorHAnsi" w:hAnsiTheme="minorHAnsi"/>
          <w:b/>
        </w:rPr>
      </w:pPr>
    </w:p>
    <w:p w:rsidR="00A246AF" w:rsidRDefault="00A246AF" w:rsidP="000F2F64">
      <w:pPr>
        <w:rPr>
          <w:rFonts w:asciiTheme="minorHAnsi" w:hAnsiTheme="minorHAnsi"/>
          <w:b/>
        </w:rPr>
        <w:sectPr w:rsidR="00A246AF" w:rsidSect="005F379C"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51248D" w:rsidRDefault="00D524C4" w:rsidP="000F2F6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S1</w:t>
      </w:r>
      <w:r w:rsidR="000F2F64" w:rsidRPr="00F05707">
        <w:rPr>
          <w:rFonts w:asciiTheme="minorHAnsi" w:hAnsiTheme="minorHAnsi"/>
          <w:b/>
        </w:rPr>
        <w:t xml:space="preserve"> Figure</w:t>
      </w:r>
      <w:r w:rsidR="003B00C7">
        <w:rPr>
          <w:rFonts w:asciiTheme="minorHAnsi" w:hAnsiTheme="minorHAnsi"/>
          <w:b/>
        </w:rPr>
        <w:t xml:space="preserve"> 1</w:t>
      </w:r>
      <w:r w:rsidR="000F2F64" w:rsidRPr="00F05707">
        <w:rPr>
          <w:rFonts w:asciiTheme="minorHAnsi" w:hAnsiTheme="minorHAnsi"/>
          <w:b/>
        </w:rPr>
        <w:t>: Schematic demonstrating the different steps by which isoprenaline and dibutyryl cyclic AMP (dcAMP) stimulate activation of lipolysis to produce release of glycerol.</w:t>
      </w:r>
      <w:r w:rsidR="000F2F64" w:rsidRPr="00F05707">
        <w:rPr>
          <w:rFonts w:asciiTheme="minorHAnsi" w:hAnsiTheme="minorHAnsi"/>
        </w:rPr>
        <w:t xml:space="preserve"> In blue, endogenous cellular components, in red the 2 stimuli used in this study. Isoprenaline-stimulated activation relies upon the efficient function of the β-adrenergic receptor signalling to activation of protein kinase A. In contrast, dcAMP directly activates Protein kinase A to initiate glycerol release.</w:t>
      </w:r>
    </w:p>
    <w:p w:rsidR="00A246AF" w:rsidRDefault="00A246AF" w:rsidP="000F2F64">
      <w:r w:rsidRPr="00F179B9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D3CE053" wp14:editId="0376BE60">
            <wp:extent cx="5759450" cy="4319588"/>
            <wp:effectExtent l="0" t="0" r="0" b="5080"/>
            <wp:docPr id="2" name="Picture 2" descr="C:\Projects\ID_2014\manuscript_2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jects\ID_2014\manuscript_2\Figur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6AF" w:rsidSect="00A246AF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4"/>
    <w:rsid w:val="000F2F64"/>
    <w:rsid w:val="003B00C7"/>
    <w:rsid w:val="0051248D"/>
    <w:rsid w:val="005F379C"/>
    <w:rsid w:val="00782477"/>
    <w:rsid w:val="007C7B60"/>
    <w:rsid w:val="00932CB6"/>
    <w:rsid w:val="009F7257"/>
    <w:rsid w:val="00A246AF"/>
    <w:rsid w:val="00D524C4"/>
    <w:rsid w:val="00F77BE6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6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F2F6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0F2F64"/>
    <w:rPr>
      <w:rFonts w:ascii="Calibri" w:eastAsia="Calibri" w:hAnsi="Calibri" w:cs="Times New Roman"/>
      <w:noProof/>
      <w:lang w:val="en-US"/>
    </w:rPr>
  </w:style>
  <w:style w:type="character" w:styleId="Radnummer">
    <w:name w:val="line number"/>
    <w:basedOn w:val="Standardstycketeckensnitt"/>
    <w:uiPriority w:val="99"/>
    <w:semiHidden/>
    <w:unhideWhenUsed/>
    <w:rsid w:val="000F2F64"/>
  </w:style>
  <w:style w:type="paragraph" w:styleId="Ballongtext">
    <w:name w:val="Balloon Text"/>
    <w:basedOn w:val="Normal"/>
    <w:link w:val="BallongtextChar"/>
    <w:uiPriority w:val="99"/>
    <w:semiHidden/>
    <w:unhideWhenUsed/>
    <w:rsid w:val="00D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6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F2F6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0F2F64"/>
    <w:rPr>
      <w:rFonts w:ascii="Calibri" w:eastAsia="Calibri" w:hAnsi="Calibri" w:cs="Times New Roman"/>
      <w:noProof/>
      <w:lang w:val="en-US"/>
    </w:rPr>
  </w:style>
  <w:style w:type="character" w:styleId="Radnummer">
    <w:name w:val="line number"/>
    <w:basedOn w:val="Standardstycketeckensnitt"/>
    <w:uiPriority w:val="99"/>
    <w:semiHidden/>
    <w:unhideWhenUsed/>
    <w:rsid w:val="000F2F64"/>
  </w:style>
  <w:style w:type="paragraph" w:styleId="Ballongtext">
    <w:name w:val="Balloon Text"/>
    <w:basedOn w:val="Normal"/>
    <w:link w:val="BallongtextChar"/>
    <w:uiPriority w:val="99"/>
    <w:semiHidden/>
    <w:unhideWhenUsed/>
    <w:rsid w:val="00D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Strawbridge</dc:creator>
  <cp:lastModifiedBy>IngridD</cp:lastModifiedBy>
  <cp:revision>4</cp:revision>
  <dcterms:created xsi:type="dcterms:W3CDTF">2016-03-22T11:50:00Z</dcterms:created>
  <dcterms:modified xsi:type="dcterms:W3CDTF">2016-03-22T11:52:00Z</dcterms:modified>
</cp:coreProperties>
</file>