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8A" w:rsidRPr="00CF6A8E" w:rsidRDefault="00DB038F" w:rsidP="000C2F8A">
      <w:pPr>
        <w:tabs>
          <w:tab w:val="left" w:pos="7852"/>
        </w:tabs>
        <w:spacing w:after="0" w:line="240" w:lineRule="auto"/>
        <w:rPr>
          <w:rFonts w:ascii="Calibri" w:eastAsia="Times New Roman" w:hAnsi="Calibri" w:cs="Times New Roman"/>
          <w:kern w:val="28"/>
          <w:sz w:val="24"/>
          <w:szCs w:val="24"/>
          <w:lang w:val="en-CA" w:eastAsia="en-CA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 xml:space="preserve">S2 </w:t>
      </w:r>
      <w:r w:rsidR="000C2F8A" w:rsidRPr="00CF6A8E">
        <w:rPr>
          <w:rFonts w:ascii="Calibri" w:eastAsia="Times New Roman" w:hAnsi="Calibri" w:cs="Times New Roman"/>
          <w:b/>
          <w:kern w:val="28"/>
          <w:sz w:val="24"/>
          <w:szCs w:val="24"/>
          <w:lang w:val="en-CA" w:eastAsia="en-CA"/>
        </w:rPr>
        <w:t xml:space="preserve">Table. </w:t>
      </w:r>
      <w:r w:rsidR="000C2F8A" w:rsidRPr="00CF6A8E">
        <w:rPr>
          <w:rFonts w:ascii="Calibri" w:eastAsia="Times New Roman" w:hAnsi="Calibri" w:cs="Times New Roman"/>
          <w:kern w:val="28"/>
          <w:sz w:val="24"/>
          <w:szCs w:val="24"/>
          <w:lang w:val="en-CA" w:eastAsia="en-CA"/>
        </w:rPr>
        <w:t>Table of reports included in updated review (</w:t>
      </w:r>
      <w:r w:rsidR="003A3549" w:rsidRPr="00CF6A8E">
        <w:rPr>
          <w:rFonts w:ascii="Calibri" w:eastAsia="Times New Roman" w:hAnsi="Calibri" w:cs="Times New Roman"/>
          <w:kern w:val="28"/>
          <w:sz w:val="24"/>
          <w:szCs w:val="24"/>
          <w:lang w:val="en-CA" w:eastAsia="en-CA"/>
        </w:rPr>
        <w:t>n=</w:t>
      </w:r>
      <w:r w:rsidR="000C2F8A" w:rsidRPr="00CF6A8E">
        <w:rPr>
          <w:rFonts w:ascii="Calibri" w:eastAsia="Times New Roman" w:hAnsi="Calibri" w:cs="Times New Roman"/>
          <w:kern w:val="28"/>
          <w:sz w:val="24"/>
          <w:szCs w:val="24"/>
          <w:lang w:val="en-CA" w:eastAsia="en-CA"/>
        </w:rPr>
        <w:t xml:space="preserve">32) </w:t>
      </w:r>
    </w:p>
    <w:p w:rsidR="000C2F8A" w:rsidRPr="001D0046" w:rsidRDefault="000C2F8A" w:rsidP="000C2F8A">
      <w:pPr>
        <w:tabs>
          <w:tab w:val="left" w:pos="2218"/>
        </w:tabs>
        <w:spacing w:after="160" w:line="240" w:lineRule="auto"/>
        <w:rPr>
          <w:b/>
          <w:lang w:val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3935"/>
      </w:tblGrid>
      <w:tr w:rsidR="000C2F8A" w:rsidRPr="00CF6A8E" w:rsidTr="00243E3D">
        <w:trPr>
          <w:cantSplit/>
          <w:trHeight w:val="132"/>
          <w:tblHeader/>
        </w:trPr>
        <w:tc>
          <w:tcPr>
            <w:tcW w:w="2552" w:type="dxa"/>
            <w:shd w:val="clear" w:color="auto" w:fill="auto"/>
          </w:tcPr>
          <w:p w:rsidR="000C2F8A" w:rsidRPr="00CF6A8E" w:rsidRDefault="000C2F8A" w:rsidP="00DC6767">
            <w:pPr>
              <w:rPr>
                <w:b/>
                <w:sz w:val="24"/>
                <w:szCs w:val="24"/>
              </w:rPr>
            </w:pPr>
            <w:r w:rsidRPr="00CF6A8E">
              <w:rPr>
                <w:b/>
                <w:sz w:val="24"/>
                <w:szCs w:val="24"/>
              </w:rPr>
              <w:t xml:space="preserve">Study </w:t>
            </w:r>
          </w:p>
        </w:tc>
        <w:tc>
          <w:tcPr>
            <w:tcW w:w="2693" w:type="dxa"/>
            <w:shd w:val="clear" w:color="auto" w:fill="auto"/>
          </w:tcPr>
          <w:p w:rsidR="000C2F8A" w:rsidRPr="00CF6A8E" w:rsidRDefault="000C2F8A" w:rsidP="00DC6767">
            <w:pPr>
              <w:rPr>
                <w:b/>
                <w:sz w:val="24"/>
                <w:szCs w:val="24"/>
              </w:rPr>
            </w:pPr>
            <w:r w:rsidRPr="00CF6A8E">
              <w:rPr>
                <w:b/>
                <w:sz w:val="24"/>
                <w:szCs w:val="24"/>
              </w:rPr>
              <w:t>Disease category</w:t>
            </w:r>
          </w:p>
        </w:tc>
        <w:tc>
          <w:tcPr>
            <w:tcW w:w="3935" w:type="dxa"/>
            <w:shd w:val="clear" w:color="auto" w:fill="auto"/>
          </w:tcPr>
          <w:p w:rsidR="000C2F8A" w:rsidRPr="00CF6A8E" w:rsidRDefault="000C2F8A" w:rsidP="00DC6767">
            <w:pPr>
              <w:rPr>
                <w:b/>
                <w:sz w:val="24"/>
                <w:szCs w:val="24"/>
              </w:rPr>
            </w:pPr>
            <w:r w:rsidRPr="00CF6A8E">
              <w:rPr>
                <w:b/>
                <w:sz w:val="24"/>
                <w:szCs w:val="24"/>
              </w:rPr>
              <w:t xml:space="preserve">Disease name 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Chen 2014 [1]**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Prostate cancer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Chera</w:t>
            </w:r>
            <w:proofErr w:type="spellEnd"/>
            <w:r w:rsidRPr="00CF6A8E">
              <w:rPr>
                <w:sz w:val="24"/>
                <w:szCs w:val="24"/>
              </w:rPr>
              <w:t xml:space="preserve"> 2014 [2]**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Head and neck cancer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Fraser 2013 [3]**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Head and neck cancer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Donovan 2014 [4]**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Ovarian cancer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Glynne</w:t>
            </w:r>
            <w:proofErr w:type="spellEnd"/>
            <w:r w:rsidRPr="00CF6A8E">
              <w:rPr>
                <w:sz w:val="24"/>
                <w:szCs w:val="24"/>
              </w:rPr>
              <w:t>-Jones 2014 [5]**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Anal cancer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Reeve 2014 [6]**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Cancer/Malignant disease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Wildiers</w:t>
            </w:r>
            <w:proofErr w:type="spellEnd"/>
            <w:r w:rsidRPr="00CF6A8E">
              <w:rPr>
                <w:sz w:val="24"/>
                <w:szCs w:val="24"/>
              </w:rPr>
              <w:t xml:space="preserve"> 2013 [7]**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Cancer/Malignant disease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Buch</w:t>
            </w:r>
            <w:proofErr w:type="spellEnd"/>
            <w:r w:rsidRPr="00CF6A8E">
              <w:rPr>
                <w:sz w:val="24"/>
                <w:szCs w:val="24"/>
              </w:rPr>
              <w:t xml:space="preserve"> 2014 [8]*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Rheumatology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Rheumatic disease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Ward 2014 [9]*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Rheumatology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Rheumatic disease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Kloppenburg 2014 [10]**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Rheumatology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Hand osteoarthritis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Ball 2013 [11]**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Orthopaedics &amp; trauma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Dupuytren’s</w:t>
            </w:r>
            <w:proofErr w:type="spellEnd"/>
            <w:r w:rsidRPr="00CF6A8E">
              <w:rPr>
                <w:sz w:val="24"/>
                <w:szCs w:val="24"/>
              </w:rPr>
              <w:t xml:space="preserve"> disease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Goldhahn</w:t>
            </w:r>
            <w:proofErr w:type="spellEnd"/>
            <w:r w:rsidRPr="00CF6A8E">
              <w:rPr>
                <w:sz w:val="24"/>
                <w:szCs w:val="24"/>
              </w:rPr>
              <w:t xml:space="preserve"> 2014 [12]**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Orthopaedics &amp; trauma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Distal radius fractures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Haywood 2014 [13]**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Orthopaedics &amp; trauma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Hip fracture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Saketkoo</w:t>
            </w:r>
            <w:proofErr w:type="spellEnd"/>
            <w:r w:rsidRPr="00CF6A8E">
              <w:rPr>
                <w:sz w:val="24"/>
                <w:szCs w:val="24"/>
              </w:rPr>
              <w:t xml:space="preserve"> 2014 [14]**</w:t>
            </w:r>
          </w:p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Saketkoo</w:t>
            </w:r>
            <w:proofErr w:type="spellEnd"/>
            <w:r w:rsidRPr="00CF6A8E">
              <w:rPr>
                <w:sz w:val="24"/>
                <w:szCs w:val="24"/>
              </w:rPr>
              <w:t xml:space="preserve"> 2014 [15]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Lungs &amp; airways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connective tissue disease associated interstitial lung disease (CTD-ILD) and idiopathic pulmonary fibrosis (IPF)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Spragg</w:t>
            </w:r>
            <w:proofErr w:type="spellEnd"/>
            <w:r w:rsidRPr="00CF6A8E">
              <w:rPr>
                <w:sz w:val="24"/>
                <w:szCs w:val="24"/>
              </w:rPr>
              <w:t xml:space="preserve"> 2010 [16]*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Lungs &amp; airways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Acute lung injury (ALI)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Eliasson</w:t>
            </w:r>
            <w:proofErr w:type="spellEnd"/>
            <w:r w:rsidRPr="00CF6A8E">
              <w:rPr>
                <w:sz w:val="24"/>
                <w:szCs w:val="24"/>
              </w:rPr>
              <w:t xml:space="preserve"> 2014 [17]*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Neurology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Unilateral cerebral palsy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Smelt 2014 [18]**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Neurology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Migraine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Fong 2014 [19]**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Pregnancy &amp; childbirth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Pre-eclampsia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Smith 2014 [20]*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Pregnancy &amp; childbirth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Breech presentation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Diehm</w:t>
            </w:r>
            <w:proofErr w:type="spellEnd"/>
            <w:r w:rsidRPr="00CF6A8E">
              <w:rPr>
                <w:sz w:val="24"/>
                <w:szCs w:val="24"/>
              </w:rPr>
              <w:t xml:space="preserve"> 2013 [21]**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Heart &amp; circulation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Aortic dissection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Zannad</w:t>
            </w:r>
            <w:proofErr w:type="spellEnd"/>
            <w:r w:rsidRPr="00CF6A8E">
              <w:rPr>
                <w:sz w:val="24"/>
                <w:szCs w:val="24"/>
              </w:rPr>
              <w:t xml:space="preserve"> 2013 [22]**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Heart &amp; circulation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Heart failure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Plotkin</w:t>
            </w:r>
            <w:proofErr w:type="spellEnd"/>
            <w:r w:rsidRPr="00CF6A8E">
              <w:rPr>
                <w:sz w:val="24"/>
                <w:szCs w:val="24"/>
              </w:rPr>
              <w:t xml:space="preserve"> 2013 [23]**</w:t>
            </w:r>
          </w:p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Wolters 2013 [24]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Genetic disorders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Neurofibromatosis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Ruemmele</w:t>
            </w:r>
            <w:proofErr w:type="spellEnd"/>
            <w:r w:rsidRPr="00CF6A8E">
              <w:rPr>
                <w:sz w:val="24"/>
                <w:szCs w:val="24"/>
              </w:rPr>
              <w:t xml:space="preserve"> 2014 [25]**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Gastroenterology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Inflammatory bowel disease (IBD)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Samuel 2013 [26]*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Wounds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Venous leg ulcers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Simpson 2013 [27]**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Skin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Vulval skin condition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proofErr w:type="spellStart"/>
            <w:r w:rsidRPr="00CF6A8E">
              <w:rPr>
                <w:sz w:val="24"/>
                <w:szCs w:val="24"/>
              </w:rPr>
              <w:t>Wylde</w:t>
            </w:r>
            <w:proofErr w:type="spellEnd"/>
            <w:r w:rsidRPr="00CF6A8E">
              <w:rPr>
                <w:sz w:val="24"/>
                <w:szCs w:val="24"/>
              </w:rPr>
              <w:t xml:space="preserve"> 2014 [28]**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Anaesthesia &amp; pain control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Chronic post-surgical pain after total knee replacement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Feldman 2014 [29]**</w:t>
            </w:r>
          </w:p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 xml:space="preserve">Neville 2014 [30]  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Rehabilitation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Recovery after surgery</w:t>
            </w:r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Chiu 2014 [31]**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Eyes &amp; vision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Intermittent </w:t>
            </w:r>
            <w:proofErr w:type="spellStart"/>
            <w:r w:rsidRPr="00CF6A8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exotropia</w:t>
            </w:r>
            <w:proofErr w:type="spellEnd"/>
          </w:p>
        </w:tc>
      </w:tr>
      <w:tr w:rsidR="000C2F8A" w:rsidRPr="00CF6A8E" w:rsidTr="00243E3D">
        <w:trPr>
          <w:cantSplit/>
        </w:trPr>
        <w:tc>
          <w:tcPr>
            <w:tcW w:w="2552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Cook 2013 [32]*</w:t>
            </w:r>
          </w:p>
        </w:tc>
        <w:tc>
          <w:tcPr>
            <w:tcW w:w="2693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Other</w:t>
            </w:r>
          </w:p>
        </w:tc>
        <w:tc>
          <w:tcPr>
            <w:tcW w:w="3935" w:type="dxa"/>
          </w:tcPr>
          <w:p w:rsidR="000C2F8A" w:rsidRPr="00CF6A8E" w:rsidRDefault="000C2F8A" w:rsidP="00DC6767">
            <w:pPr>
              <w:rPr>
                <w:sz w:val="24"/>
                <w:szCs w:val="24"/>
              </w:rPr>
            </w:pPr>
            <w:r w:rsidRPr="00CF6A8E">
              <w:rPr>
                <w:sz w:val="24"/>
                <w:szCs w:val="24"/>
              </w:rPr>
              <w:t>Platelet transfusion trials</w:t>
            </w:r>
          </w:p>
        </w:tc>
      </w:tr>
    </w:tbl>
    <w:p w:rsidR="000C2F8A" w:rsidRPr="001D0046" w:rsidRDefault="000C2F8A" w:rsidP="000C2F8A">
      <w:pPr>
        <w:tabs>
          <w:tab w:val="left" w:pos="2218"/>
        </w:tabs>
        <w:spacing w:after="0" w:line="240" w:lineRule="auto"/>
        <w:rPr>
          <w:b/>
          <w:lang w:val="en-US"/>
        </w:rPr>
      </w:pPr>
    </w:p>
    <w:p w:rsidR="000C2F8A" w:rsidRPr="00CF6A8E" w:rsidRDefault="000C2F8A" w:rsidP="000C2F8A">
      <w:pPr>
        <w:spacing w:after="0" w:line="240" w:lineRule="auto"/>
        <w:rPr>
          <w:i/>
          <w:sz w:val="20"/>
          <w:szCs w:val="20"/>
        </w:rPr>
      </w:pPr>
      <w:r w:rsidRPr="00CF6A8E">
        <w:rPr>
          <w:i/>
          <w:sz w:val="20"/>
          <w:szCs w:val="20"/>
        </w:rPr>
        <w:t>* Considered outcomes while addressing wider clinical trial design issues</w:t>
      </w:r>
    </w:p>
    <w:p w:rsidR="000C2F8A" w:rsidRPr="00CF6A8E" w:rsidRDefault="000C2F8A" w:rsidP="000C2F8A">
      <w:pPr>
        <w:spacing w:after="0" w:line="240" w:lineRule="auto"/>
        <w:rPr>
          <w:i/>
          <w:sz w:val="20"/>
          <w:szCs w:val="20"/>
        </w:rPr>
      </w:pPr>
    </w:p>
    <w:p w:rsidR="000C2F8A" w:rsidRPr="00CF6A8E" w:rsidRDefault="000C2F8A" w:rsidP="000C2F8A">
      <w:pPr>
        <w:spacing w:after="0" w:line="240" w:lineRule="auto"/>
        <w:rPr>
          <w:i/>
          <w:sz w:val="20"/>
          <w:szCs w:val="20"/>
        </w:rPr>
      </w:pPr>
      <w:r w:rsidRPr="00CF6A8E">
        <w:rPr>
          <w:i/>
          <w:sz w:val="20"/>
          <w:szCs w:val="20"/>
        </w:rPr>
        <w:t>** Specifically considered outcome selection and measurement</w:t>
      </w:r>
    </w:p>
    <w:p w:rsidR="000C2F8A" w:rsidRDefault="000C2F8A" w:rsidP="000C2F8A">
      <w:pPr>
        <w:tabs>
          <w:tab w:val="left" w:pos="2218"/>
        </w:tabs>
        <w:spacing w:after="160" w:line="240" w:lineRule="auto"/>
        <w:rPr>
          <w:b/>
          <w:lang w:val="en-US"/>
        </w:rPr>
      </w:pPr>
    </w:p>
    <w:p w:rsidR="000C2F8A" w:rsidRDefault="000C2F8A" w:rsidP="000C2F8A">
      <w:pPr>
        <w:tabs>
          <w:tab w:val="left" w:pos="2218"/>
        </w:tabs>
        <w:spacing w:after="160" w:line="240" w:lineRule="auto"/>
        <w:rPr>
          <w:b/>
          <w:lang w:val="en-US"/>
        </w:rPr>
      </w:pPr>
    </w:p>
    <w:p w:rsidR="000C2F8A" w:rsidRPr="00CF6A8E" w:rsidRDefault="000C2F8A" w:rsidP="000C2F8A">
      <w:pPr>
        <w:tabs>
          <w:tab w:val="left" w:pos="2218"/>
        </w:tabs>
        <w:spacing w:after="160" w:line="240" w:lineRule="auto"/>
        <w:rPr>
          <w:b/>
          <w:sz w:val="24"/>
          <w:szCs w:val="24"/>
          <w:lang w:val="en-US"/>
        </w:rPr>
      </w:pPr>
      <w:r w:rsidRPr="00CF6A8E">
        <w:rPr>
          <w:b/>
          <w:sz w:val="24"/>
          <w:szCs w:val="24"/>
          <w:lang w:val="en-US"/>
        </w:rPr>
        <w:lastRenderedPageBreak/>
        <w:t>References</w:t>
      </w: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Chen RC, Chang P, Vetter RJ,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Lukka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H, Stokes WA,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Sanda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MG, et al. Recommended patient-reported core set of symptoms to measure in prostate cancer treatment trials.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Natl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Cancer Inst.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;106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(7).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Chera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BS,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Eisbruch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A, Murphy BA, Ridge JA, Gavin P, Reeve BB, et al. Recommended patient-reported core set of symptoms to measure in head and neck cancer treatment trials.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Natl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Cancer Inst.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;106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(7).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Fraser JF, Hussain MS,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Eskey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Abruzzo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Bulsara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K, English J, et al. Reporting standards for endovascular chemotherapy of head, neck and CNS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tumors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Neurointerv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Surg. 2013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;5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(5):396-399.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Donovan KA, Donovan HS,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Cella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D, Gaines ME,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Penson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RT,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Plaxe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SC, et al., Recommended patient-reported core set of symptoms and quality-of-life domains to measure in ovarian cancer treatment trials.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Natl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Cancer Inst.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;106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(7).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Glynne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-Jones R, Adams RA, </w:t>
      </w:r>
      <w:proofErr w:type="spellStart"/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Jitlal</w:t>
      </w:r>
      <w:proofErr w:type="spellEnd"/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M, Meadows H. End points in anal cancer: hopes for a common language.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Clin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Oncol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;32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(12):1281-1282.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Reeve BB, Mitchell SA,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Dueck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AC,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Basch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Cella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D, Reilly CM, et al. Recommended patient-reported core set of symptoms to measure in adult cancer treatment trials.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Natl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Cancer Inst.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;106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(7).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Wildiers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Mauer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Pallis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Hurria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Mohile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SG,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Luciani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A, et al. End points and trial design in geriatric oncology research: a joint European organisation for research and treatment of cancer--Alliance for Clinical Trials in Oncology--International Society 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Of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Geriatric Oncology position article.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Clin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Onco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. 2013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;31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(29):3711-3718.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noProof/>
          <w:sz w:val="24"/>
          <w:szCs w:val="24"/>
          <w:lang w:eastAsia="en-GB"/>
        </w:rPr>
        <w:t xml:space="preserve">Buch MH, Silva-Fernandez L, Carmona L, Aletah D, Christensen R, Combe B, et al.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Development of EULAR recommendations for the reporting of clinical trial extension studies in rheumatology. Ann Rheum Dis. 2014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Ward L,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Stebbings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S, Sherman KJ,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Cherkin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D, Baxter GD, et al. 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Establishing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key components of yoga interventions for musculoskeletal conditions: a Delphi survey. </w:t>
      </w:r>
      <w:r w:rsidRPr="00CF6A8E">
        <w:rPr>
          <w:sz w:val="24"/>
          <w:szCs w:val="24"/>
        </w:rPr>
        <w:t xml:space="preserve">BMC Complement </w:t>
      </w:r>
      <w:proofErr w:type="spellStart"/>
      <w:r w:rsidRPr="00CF6A8E">
        <w:rPr>
          <w:sz w:val="24"/>
          <w:szCs w:val="24"/>
        </w:rPr>
        <w:t>Altern</w:t>
      </w:r>
      <w:proofErr w:type="spellEnd"/>
      <w:r w:rsidRPr="00CF6A8E">
        <w:rPr>
          <w:sz w:val="24"/>
          <w:szCs w:val="24"/>
        </w:rPr>
        <w:t xml:space="preserve"> Med. 2014</w:t>
      </w:r>
      <w:proofErr w:type="gramStart"/>
      <w:r w:rsidRPr="00CF6A8E">
        <w:rPr>
          <w:sz w:val="24"/>
          <w:szCs w:val="24"/>
        </w:rPr>
        <w:t>;14:196</w:t>
      </w:r>
      <w:proofErr w:type="gramEnd"/>
      <w:r w:rsidRPr="00CF6A8E">
        <w:rPr>
          <w:sz w:val="24"/>
          <w:szCs w:val="24"/>
        </w:rPr>
        <w:t xml:space="preserve">.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sz w:val="24"/>
          <w:szCs w:val="24"/>
        </w:rPr>
        <w:t xml:space="preserve">Kloppenburg M, </w:t>
      </w:r>
      <w:proofErr w:type="spellStart"/>
      <w:r w:rsidRPr="00CF6A8E">
        <w:rPr>
          <w:sz w:val="24"/>
          <w:szCs w:val="24"/>
        </w:rPr>
        <w:t>Bøyesen</w:t>
      </w:r>
      <w:proofErr w:type="spellEnd"/>
      <w:r w:rsidRPr="00CF6A8E">
        <w:rPr>
          <w:sz w:val="24"/>
          <w:szCs w:val="24"/>
        </w:rPr>
        <w:t xml:space="preserve"> P, </w:t>
      </w:r>
      <w:proofErr w:type="spellStart"/>
      <w:r w:rsidRPr="00CF6A8E">
        <w:rPr>
          <w:sz w:val="24"/>
          <w:szCs w:val="24"/>
        </w:rPr>
        <w:t>Smeets</w:t>
      </w:r>
      <w:proofErr w:type="spellEnd"/>
      <w:r w:rsidRPr="00CF6A8E">
        <w:rPr>
          <w:sz w:val="24"/>
          <w:szCs w:val="24"/>
        </w:rPr>
        <w:t xml:space="preserve"> W, Haugen IK, Liu R, </w:t>
      </w:r>
      <w:proofErr w:type="spellStart"/>
      <w:r w:rsidRPr="00CF6A8E">
        <w:rPr>
          <w:sz w:val="24"/>
          <w:szCs w:val="24"/>
        </w:rPr>
        <w:t>Visser</w:t>
      </w:r>
      <w:proofErr w:type="spellEnd"/>
      <w:r w:rsidRPr="00CF6A8E">
        <w:rPr>
          <w:sz w:val="24"/>
          <w:szCs w:val="24"/>
        </w:rPr>
        <w:t xml:space="preserve"> W, et al.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Report from the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omeract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hand osteoarthritis special interest group: Advances and future research priorities.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Rheumatol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;41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(4):810-818.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en-GB"/>
        </w:rPr>
      </w:pPr>
      <w:r w:rsidRPr="00CF6A8E">
        <w:rPr>
          <w:rFonts w:eastAsia="Times New Roman" w:cs="Times New Roman"/>
          <w:sz w:val="24"/>
          <w:szCs w:val="24"/>
          <w:lang w:eastAsia="en-GB"/>
        </w:rPr>
        <w:t xml:space="preserve">Ball C, Pratt AL, </w:t>
      </w:r>
      <w:proofErr w:type="spellStart"/>
      <w:r w:rsidRPr="00CF6A8E">
        <w:rPr>
          <w:rFonts w:eastAsia="Times New Roman" w:cs="Times New Roman"/>
          <w:sz w:val="24"/>
          <w:szCs w:val="24"/>
          <w:lang w:eastAsia="en-GB"/>
        </w:rPr>
        <w:t>Nanchahal</w:t>
      </w:r>
      <w:proofErr w:type="spellEnd"/>
      <w:r w:rsidRPr="00CF6A8E">
        <w:rPr>
          <w:rFonts w:eastAsia="Times New Roman" w:cs="Times New Roman"/>
          <w:sz w:val="24"/>
          <w:szCs w:val="24"/>
          <w:lang w:eastAsia="en-GB"/>
        </w:rPr>
        <w:t xml:space="preserve"> J. Optimal functional outcome measures for assessing treatment for </w:t>
      </w:r>
      <w:proofErr w:type="spellStart"/>
      <w:r w:rsidRPr="00CF6A8E">
        <w:rPr>
          <w:rFonts w:eastAsia="Times New Roman" w:cs="Times New Roman"/>
          <w:sz w:val="24"/>
          <w:szCs w:val="24"/>
          <w:lang w:eastAsia="en-GB"/>
        </w:rPr>
        <w:t>Dupuytren’s</w:t>
      </w:r>
      <w:proofErr w:type="spellEnd"/>
      <w:r w:rsidRPr="00CF6A8E">
        <w:rPr>
          <w:rFonts w:eastAsia="Times New Roman" w:cs="Times New Roman"/>
          <w:sz w:val="24"/>
          <w:szCs w:val="24"/>
          <w:lang w:eastAsia="en-GB"/>
        </w:rPr>
        <w:t xml:space="preserve"> disease: a systematic review and recommendations for future practice. </w:t>
      </w:r>
      <w:r w:rsidRPr="00CF6A8E">
        <w:rPr>
          <w:rStyle w:val="Emphasis"/>
          <w:i w:val="0"/>
          <w:sz w:val="24"/>
          <w:szCs w:val="24"/>
        </w:rPr>
        <w:t xml:space="preserve">BMC </w:t>
      </w:r>
      <w:proofErr w:type="spellStart"/>
      <w:r w:rsidRPr="00CF6A8E">
        <w:rPr>
          <w:rStyle w:val="Emphasis"/>
          <w:i w:val="0"/>
          <w:sz w:val="24"/>
          <w:szCs w:val="24"/>
        </w:rPr>
        <w:t>Musculoskelet</w:t>
      </w:r>
      <w:proofErr w:type="spellEnd"/>
      <w:r w:rsidRPr="00CF6A8E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CF6A8E">
        <w:rPr>
          <w:rStyle w:val="Emphasis"/>
          <w:i w:val="0"/>
          <w:sz w:val="24"/>
          <w:szCs w:val="24"/>
        </w:rPr>
        <w:t>Disord</w:t>
      </w:r>
      <w:proofErr w:type="spellEnd"/>
      <w:r w:rsidRPr="00CF6A8E">
        <w:rPr>
          <w:rStyle w:val="Emphasis"/>
          <w:i w:val="0"/>
          <w:sz w:val="24"/>
          <w:szCs w:val="24"/>
        </w:rPr>
        <w:t>. 2013</w:t>
      </w:r>
      <w:proofErr w:type="gramStart"/>
      <w:r w:rsidRPr="00CF6A8E">
        <w:rPr>
          <w:rStyle w:val="Emphasis"/>
          <w:i w:val="0"/>
          <w:sz w:val="24"/>
          <w:szCs w:val="24"/>
        </w:rPr>
        <w:t>;14:131</w:t>
      </w:r>
      <w:proofErr w:type="gramEnd"/>
      <w:r w:rsidRPr="00CF6A8E">
        <w:rPr>
          <w:rStyle w:val="Emphasis"/>
          <w:i w:val="0"/>
          <w:sz w:val="24"/>
          <w:szCs w:val="24"/>
        </w:rPr>
        <w:t>.</w:t>
      </w:r>
      <w:r w:rsidRPr="00CF6A8E">
        <w:rPr>
          <w:i/>
          <w:sz w:val="24"/>
          <w:szCs w:val="24"/>
        </w:rPr>
        <w:t xml:space="preserve">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Goldhahn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J, Beaton D, Ladd A,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Macdermid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J, Hoang-Kim A; </w:t>
      </w:r>
      <w:r w:rsidRPr="00CF6A8E">
        <w:rPr>
          <w:sz w:val="24"/>
          <w:szCs w:val="24"/>
        </w:rPr>
        <w:t xml:space="preserve">Distal Radius Working Group of the International Society for Fracture Repair (ISFR); International Osteoporosis Foundation (IOF).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Recommendation for measuring clinical outcome in distal radius fractures: a core set of domains for standardized reporting in clinical practice and research. Arch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Orthop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Trauma Surg.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;134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(2):197-205.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Haywood KL, Griffin XL,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Achten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J, 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Costa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ML. Developing a core outcome set for hip fracture trials. Bone Joint J.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;96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-B(8):1016-1023.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Saketkoo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LA,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Mittoo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S, Frankel S,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LeSage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D, Saver C, Phillips K, et al. Reconciling healthcare professional and patient perspectives in the development of disease activity and response criteria in connective tissue disease-related interstitial lung diseases.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Rheumatol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;41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(4):792-798.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Saketkoo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LA,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Mittoo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Huscher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D, Khanna D,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Dellaripa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PF,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Distler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O, et al. Connective tissue disease related interstitial lung diseases and idiopathic pulmonary fibrosis: provisional core sets of domains and instruments for use in clinical trials. Thorax.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;69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(5): 428-436.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Spragg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RG, Bernard GR,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Checkley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W, Curtis JR,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Gajic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Guyatt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G, et al. Beyond Mortality - Future Clinical Research in Acute Lung Injury. Am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Respir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Crit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Care Med. 2010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;181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(10): 1121-1127.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i/>
          <w:sz w:val="24"/>
          <w:szCs w:val="24"/>
        </w:rPr>
      </w:pPr>
      <w:proofErr w:type="spellStart"/>
      <w:r w:rsidRPr="00CF6A8E">
        <w:rPr>
          <w:sz w:val="24"/>
          <w:szCs w:val="24"/>
        </w:rPr>
        <w:t>Eliasson</w:t>
      </w:r>
      <w:proofErr w:type="spellEnd"/>
      <w:r w:rsidRPr="00CF6A8E">
        <w:rPr>
          <w:sz w:val="24"/>
          <w:szCs w:val="24"/>
        </w:rPr>
        <w:t xml:space="preserve"> AC, </w:t>
      </w:r>
      <w:proofErr w:type="spellStart"/>
      <w:r w:rsidRPr="00CF6A8E">
        <w:rPr>
          <w:sz w:val="24"/>
          <w:szCs w:val="24"/>
        </w:rPr>
        <w:t>Krumlinde-Sundholm</w:t>
      </w:r>
      <w:proofErr w:type="spellEnd"/>
      <w:r w:rsidRPr="00CF6A8E">
        <w:rPr>
          <w:sz w:val="24"/>
          <w:szCs w:val="24"/>
        </w:rPr>
        <w:t xml:space="preserve"> L, Gordon AM, </w:t>
      </w:r>
      <w:proofErr w:type="spellStart"/>
      <w:r w:rsidRPr="00CF6A8E">
        <w:rPr>
          <w:sz w:val="24"/>
          <w:szCs w:val="24"/>
        </w:rPr>
        <w:t>Feys</w:t>
      </w:r>
      <w:proofErr w:type="spellEnd"/>
      <w:r w:rsidRPr="00CF6A8E">
        <w:rPr>
          <w:sz w:val="24"/>
          <w:szCs w:val="24"/>
        </w:rPr>
        <w:t xml:space="preserve"> H, </w:t>
      </w:r>
      <w:proofErr w:type="spellStart"/>
      <w:r w:rsidRPr="00CF6A8E">
        <w:rPr>
          <w:sz w:val="24"/>
          <w:szCs w:val="24"/>
        </w:rPr>
        <w:t>Klingels</w:t>
      </w:r>
      <w:proofErr w:type="spellEnd"/>
      <w:r w:rsidRPr="00CF6A8E">
        <w:rPr>
          <w:sz w:val="24"/>
          <w:szCs w:val="24"/>
        </w:rPr>
        <w:t xml:space="preserve"> K, </w:t>
      </w:r>
      <w:proofErr w:type="spellStart"/>
      <w:r w:rsidRPr="00CF6A8E">
        <w:rPr>
          <w:sz w:val="24"/>
          <w:szCs w:val="24"/>
        </w:rPr>
        <w:t>Aarts</w:t>
      </w:r>
      <w:proofErr w:type="spellEnd"/>
      <w:r w:rsidRPr="00CF6A8E">
        <w:rPr>
          <w:sz w:val="24"/>
          <w:szCs w:val="24"/>
        </w:rPr>
        <w:t xml:space="preserve"> PB, et al.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Guidelines for future research in constraint-induced movement therapy for children with unilateral cerebral palsy: an expert consensus. </w:t>
      </w:r>
      <w:r w:rsidRPr="00CF6A8E">
        <w:rPr>
          <w:sz w:val="24"/>
          <w:szCs w:val="24"/>
        </w:rPr>
        <w:t>Dev Med Child Neurol. 2014</w:t>
      </w:r>
      <w:proofErr w:type="gramStart"/>
      <w:r w:rsidRPr="00CF6A8E">
        <w:rPr>
          <w:sz w:val="24"/>
          <w:szCs w:val="24"/>
        </w:rPr>
        <w:t>;56</w:t>
      </w:r>
      <w:proofErr w:type="gramEnd"/>
      <w:r w:rsidRPr="00CF6A8E">
        <w:rPr>
          <w:sz w:val="24"/>
          <w:szCs w:val="24"/>
        </w:rPr>
        <w:t>(2):125-137.</w:t>
      </w:r>
    </w:p>
    <w:p w:rsidR="000C2F8A" w:rsidRPr="00CF6A8E" w:rsidRDefault="000C2F8A" w:rsidP="000C2F8A">
      <w:pPr>
        <w:spacing w:after="0" w:line="240" w:lineRule="auto"/>
        <w:rPr>
          <w:i/>
          <w:sz w:val="24"/>
          <w:szCs w:val="24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sz w:val="24"/>
          <w:szCs w:val="24"/>
        </w:rPr>
        <w:t xml:space="preserve">Smelt AF, </w:t>
      </w:r>
      <w:proofErr w:type="spellStart"/>
      <w:r w:rsidRPr="00CF6A8E">
        <w:rPr>
          <w:sz w:val="24"/>
          <w:szCs w:val="24"/>
        </w:rPr>
        <w:t>Louter</w:t>
      </w:r>
      <w:proofErr w:type="spellEnd"/>
      <w:r w:rsidRPr="00CF6A8E">
        <w:rPr>
          <w:sz w:val="24"/>
          <w:szCs w:val="24"/>
        </w:rPr>
        <w:t xml:space="preserve"> MA, </w:t>
      </w:r>
      <w:proofErr w:type="spellStart"/>
      <w:r w:rsidRPr="00CF6A8E">
        <w:rPr>
          <w:sz w:val="24"/>
          <w:szCs w:val="24"/>
        </w:rPr>
        <w:t>Kies</w:t>
      </w:r>
      <w:proofErr w:type="spellEnd"/>
      <w:r w:rsidRPr="00CF6A8E">
        <w:rPr>
          <w:sz w:val="24"/>
          <w:szCs w:val="24"/>
        </w:rPr>
        <w:t xml:space="preserve"> D, </w:t>
      </w:r>
      <w:proofErr w:type="spellStart"/>
      <w:r w:rsidRPr="00CF6A8E">
        <w:rPr>
          <w:sz w:val="24"/>
          <w:szCs w:val="24"/>
        </w:rPr>
        <w:t>Blom</w:t>
      </w:r>
      <w:proofErr w:type="spellEnd"/>
      <w:r w:rsidRPr="00CF6A8E">
        <w:rPr>
          <w:sz w:val="24"/>
          <w:szCs w:val="24"/>
        </w:rPr>
        <w:t xml:space="preserve"> J, </w:t>
      </w:r>
      <w:proofErr w:type="spellStart"/>
      <w:r w:rsidRPr="00CF6A8E">
        <w:rPr>
          <w:sz w:val="24"/>
          <w:szCs w:val="24"/>
        </w:rPr>
        <w:t>Terwindt</w:t>
      </w:r>
      <w:proofErr w:type="spellEnd"/>
      <w:r w:rsidRPr="00CF6A8E">
        <w:rPr>
          <w:sz w:val="24"/>
          <w:szCs w:val="24"/>
        </w:rPr>
        <w:t xml:space="preserve"> G, van der </w:t>
      </w:r>
      <w:proofErr w:type="spellStart"/>
      <w:r w:rsidRPr="00CF6A8E">
        <w:rPr>
          <w:sz w:val="24"/>
          <w:szCs w:val="24"/>
        </w:rPr>
        <w:t>Heijden</w:t>
      </w:r>
      <w:proofErr w:type="spellEnd"/>
      <w:r w:rsidRPr="00CF6A8E">
        <w:rPr>
          <w:sz w:val="24"/>
          <w:szCs w:val="24"/>
        </w:rPr>
        <w:t xml:space="preserve"> GJ, et al.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What do patients consider to be the most important outcomes for effectiveness studies on migraine treatment? Results of a Delphi study.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PLoS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One.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;6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;9(6):e98933.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Fong F,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Rogozinska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Allotey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Kempley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S, Shah DK,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Thangaratinam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S., et al. Development of maternal and neonatal composite outcomes for trials evaluating management of late-onset pre-eclampsia.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Hypertens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Pregnancy.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;33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(2):115-131.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Smith CA, Betts D. The practice of acupuncture and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moxibustion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promote cephalic version for women with a breech presentation: implications for clinical practice and research. Complement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Ther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Med.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;22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(1):75-80.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sz w:val="24"/>
          <w:szCs w:val="24"/>
        </w:rPr>
        <w:t>Diehm</w:t>
      </w:r>
      <w:proofErr w:type="spellEnd"/>
      <w:r w:rsidRPr="00CF6A8E">
        <w:rPr>
          <w:sz w:val="24"/>
          <w:szCs w:val="24"/>
        </w:rPr>
        <w:t xml:space="preserve"> N, </w:t>
      </w:r>
      <w:proofErr w:type="spellStart"/>
      <w:r w:rsidRPr="00CF6A8E">
        <w:rPr>
          <w:sz w:val="24"/>
          <w:szCs w:val="24"/>
        </w:rPr>
        <w:t>Vermassen</w:t>
      </w:r>
      <w:proofErr w:type="spellEnd"/>
      <w:r w:rsidRPr="00CF6A8E">
        <w:rPr>
          <w:sz w:val="24"/>
          <w:szCs w:val="24"/>
        </w:rPr>
        <w:t xml:space="preserve"> F, van </w:t>
      </w:r>
      <w:proofErr w:type="spellStart"/>
      <w:r w:rsidRPr="00CF6A8E">
        <w:rPr>
          <w:sz w:val="24"/>
          <w:szCs w:val="24"/>
        </w:rPr>
        <w:t>Sambeek</w:t>
      </w:r>
      <w:proofErr w:type="spellEnd"/>
      <w:r w:rsidRPr="00CF6A8E">
        <w:rPr>
          <w:sz w:val="24"/>
          <w:szCs w:val="24"/>
        </w:rPr>
        <w:t xml:space="preserve"> MR; DEFINE Investigators.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Standardized definitions and clinical endpoints in trials investigating endovascular repair of aortic dissections. </w:t>
      </w:r>
      <w:proofErr w:type="spellStart"/>
      <w:r w:rsidRPr="00CF6A8E">
        <w:rPr>
          <w:sz w:val="24"/>
          <w:szCs w:val="24"/>
        </w:rPr>
        <w:t>Eur</w:t>
      </w:r>
      <w:proofErr w:type="spellEnd"/>
      <w:r w:rsidRPr="00CF6A8E">
        <w:rPr>
          <w:sz w:val="24"/>
          <w:szCs w:val="24"/>
        </w:rPr>
        <w:t xml:space="preserve"> J </w:t>
      </w:r>
      <w:proofErr w:type="spellStart"/>
      <w:r w:rsidRPr="00CF6A8E">
        <w:rPr>
          <w:sz w:val="24"/>
          <w:szCs w:val="24"/>
        </w:rPr>
        <w:t>Vasc</w:t>
      </w:r>
      <w:proofErr w:type="spellEnd"/>
      <w:r w:rsidRPr="00CF6A8E">
        <w:rPr>
          <w:sz w:val="24"/>
          <w:szCs w:val="24"/>
        </w:rPr>
        <w:t xml:space="preserve"> </w:t>
      </w:r>
      <w:proofErr w:type="spellStart"/>
      <w:r w:rsidRPr="00CF6A8E">
        <w:rPr>
          <w:sz w:val="24"/>
          <w:szCs w:val="24"/>
        </w:rPr>
        <w:t>Endovasc</w:t>
      </w:r>
      <w:proofErr w:type="spellEnd"/>
      <w:r w:rsidRPr="00CF6A8E">
        <w:rPr>
          <w:sz w:val="24"/>
          <w:szCs w:val="24"/>
        </w:rPr>
        <w:t xml:space="preserve"> Surg. 2013</w:t>
      </w:r>
      <w:proofErr w:type="gramStart"/>
      <w:r w:rsidRPr="00CF6A8E">
        <w:rPr>
          <w:sz w:val="24"/>
          <w:szCs w:val="24"/>
        </w:rPr>
        <w:t>;46</w:t>
      </w:r>
      <w:proofErr w:type="gramEnd"/>
      <w:r w:rsidRPr="00CF6A8E">
        <w:rPr>
          <w:sz w:val="24"/>
          <w:szCs w:val="24"/>
        </w:rPr>
        <w:t xml:space="preserve">(6):645-650.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proofErr w:type="spellStart"/>
      <w:r w:rsidRPr="00CF6A8E">
        <w:rPr>
          <w:sz w:val="24"/>
          <w:szCs w:val="24"/>
        </w:rPr>
        <w:t>Zannad</w:t>
      </w:r>
      <w:proofErr w:type="spellEnd"/>
      <w:r w:rsidRPr="00CF6A8E">
        <w:rPr>
          <w:sz w:val="24"/>
          <w:szCs w:val="24"/>
        </w:rPr>
        <w:t xml:space="preserve"> F, Garcia AA, Anker SD, Armstrong PW, </w:t>
      </w:r>
      <w:proofErr w:type="spellStart"/>
      <w:r w:rsidRPr="00CF6A8E">
        <w:rPr>
          <w:sz w:val="24"/>
          <w:szCs w:val="24"/>
        </w:rPr>
        <w:t>Calvo</w:t>
      </w:r>
      <w:proofErr w:type="spellEnd"/>
      <w:r w:rsidRPr="00CF6A8E">
        <w:rPr>
          <w:sz w:val="24"/>
          <w:szCs w:val="24"/>
        </w:rPr>
        <w:t xml:space="preserve"> G, Cleland JG, et al.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Clinical outcome endpoints in heart failure trials: a European Society of Cardiology Heart Failure Association consensus document.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Eur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 Heart Fail. 2013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;15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(10): 1082-1094.</w:t>
      </w:r>
      <w:r w:rsidRPr="00CF6A8E">
        <w:rPr>
          <w:sz w:val="24"/>
          <w:szCs w:val="24"/>
        </w:rPr>
        <w:t xml:space="preserve"> 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CF6A8E">
        <w:rPr>
          <w:sz w:val="24"/>
          <w:szCs w:val="24"/>
        </w:rPr>
        <w:t>Plotkin</w:t>
      </w:r>
      <w:proofErr w:type="spellEnd"/>
      <w:r w:rsidRPr="00CF6A8E">
        <w:rPr>
          <w:sz w:val="24"/>
          <w:szCs w:val="24"/>
        </w:rPr>
        <w:t xml:space="preserve"> SR, Blakeley JO, </w:t>
      </w:r>
      <w:proofErr w:type="spellStart"/>
      <w:r w:rsidRPr="00CF6A8E">
        <w:rPr>
          <w:sz w:val="24"/>
          <w:szCs w:val="24"/>
        </w:rPr>
        <w:t>Dombi</w:t>
      </w:r>
      <w:proofErr w:type="spellEnd"/>
      <w:r w:rsidRPr="00CF6A8E">
        <w:rPr>
          <w:sz w:val="24"/>
          <w:szCs w:val="24"/>
        </w:rPr>
        <w:t xml:space="preserve"> E, Fisher MJ, </w:t>
      </w:r>
      <w:proofErr w:type="spellStart"/>
      <w:r w:rsidRPr="00CF6A8E">
        <w:rPr>
          <w:sz w:val="24"/>
          <w:szCs w:val="24"/>
        </w:rPr>
        <w:t>Hanemann</w:t>
      </w:r>
      <w:proofErr w:type="spellEnd"/>
      <w:r w:rsidRPr="00CF6A8E">
        <w:rPr>
          <w:sz w:val="24"/>
          <w:szCs w:val="24"/>
        </w:rPr>
        <w:t xml:space="preserve"> CO, Walsh KS, et al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Achieving consensus for clinical trials: the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REiNS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International Collaboration. Neurology. 2013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;81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(21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Suppl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1):S1-5.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Wolters</w:t>
      </w:r>
      <w:r w:rsidRPr="00CF6A8E">
        <w:rPr>
          <w:sz w:val="24"/>
          <w:szCs w:val="24"/>
        </w:rPr>
        <w:t xml:space="preserve"> PL, Martin S, </w:t>
      </w:r>
      <w:proofErr w:type="spellStart"/>
      <w:r w:rsidRPr="00CF6A8E">
        <w:rPr>
          <w:sz w:val="24"/>
          <w:szCs w:val="24"/>
        </w:rPr>
        <w:t>Merker</w:t>
      </w:r>
      <w:proofErr w:type="spellEnd"/>
      <w:r w:rsidRPr="00CF6A8E">
        <w:rPr>
          <w:sz w:val="24"/>
          <w:szCs w:val="24"/>
        </w:rPr>
        <w:t xml:space="preserve"> VL, Gardner KL, </w:t>
      </w:r>
      <w:proofErr w:type="spellStart"/>
      <w:r w:rsidRPr="00CF6A8E">
        <w:rPr>
          <w:sz w:val="24"/>
          <w:szCs w:val="24"/>
        </w:rPr>
        <w:t>Hingtgen</w:t>
      </w:r>
      <w:proofErr w:type="spellEnd"/>
      <w:r w:rsidRPr="00CF6A8E">
        <w:rPr>
          <w:sz w:val="24"/>
          <w:szCs w:val="24"/>
        </w:rPr>
        <w:t xml:space="preserve"> CM, </w:t>
      </w:r>
      <w:proofErr w:type="spellStart"/>
      <w:r w:rsidRPr="00CF6A8E">
        <w:rPr>
          <w:sz w:val="24"/>
          <w:szCs w:val="24"/>
        </w:rPr>
        <w:t>Tonsgard</w:t>
      </w:r>
      <w:proofErr w:type="spellEnd"/>
      <w:r w:rsidRPr="00CF6A8E">
        <w:rPr>
          <w:sz w:val="24"/>
          <w:szCs w:val="24"/>
        </w:rPr>
        <w:t xml:space="preserve"> JH, et al.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Patient-reported outcomes in neurofibromatosis and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schwannomatosis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clinical trials. Neurology. 2013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;81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(21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Suppl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1):S6-14.</w:t>
      </w:r>
    </w:p>
    <w:p w:rsidR="000C2F8A" w:rsidRPr="00CF6A8E" w:rsidRDefault="000C2F8A" w:rsidP="000C2F8A">
      <w:pPr>
        <w:spacing w:after="0" w:line="240" w:lineRule="auto"/>
        <w:rPr>
          <w:sz w:val="24"/>
          <w:szCs w:val="24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Ruemmele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FM,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Hyams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JS, Otley A, Griffiths 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Kolho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KL, Dias JA, et al. Outcome measures for clinical trials in paediatric IBD: An evidence-based, expert-driven practical statement paper of the paediatric ECCO committee. </w:t>
      </w:r>
      <w:r w:rsidRPr="00CF6A8E">
        <w:rPr>
          <w:sz w:val="24"/>
          <w:szCs w:val="24"/>
        </w:rPr>
        <w:t>Gut. 2015</w:t>
      </w:r>
      <w:proofErr w:type="gramStart"/>
      <w:r w:rsidRPr="00CF6A8E">
        <w:rPr>
          <w:sz w:val="24"/>
          <w:szCs w:val="24"/>
        </w:rPr>
        <w:t>;64</w:t>
      </w:r>
      <w:proofErr w:type="gramEnd"/>
      <w:r w:rsidRPr="00CF6A8E">
        <w:rPr>
          <w:sz w:val="24"/>
          <w:szCs w:val="24"/>
        </w:rPr>
        <w:t xml:space="preserve">(3):438-46.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sz w:val="24"/>
          <w:szCs w:val="24"/>
        </w:rPr>
        <w:t xml:space="preserve">Samuel N, </w:t>
      </w:r>
      <w:proofErr w:type="spellStart"/>
      <w:r w:rsidRPr="00CF6A8E">
        <w:rPr>
          <w:sz w:val="24"/>
          <w:szCs w:val="24"/>
        </w:rPr>
        <w:t>Carradice</w:t>
      </w:r>
      <w:proofErr w:type="spellEnd"/>
      <w:r w:rsidRPr="00CF6A8E">
        <w:rPr>
          <w:sz w:val="24"/>
          <w:szCs w:val="24"/>
        </w:rPr>
        <w:t xml:space="preserve"> D, Wallace T, Smith GE, </w:t>
      </w:r>
      <w:proofErr w:type="spellStart"/>
      <w:r w:rsidRPr="00CF6A8E">
        <w:rPr>
          <w:sz w:val="24"/>
          <w:szCs w:val="24"/>
        </w:rPr>
        <w:t>Chetter</w:t>
      </w:r>
      <w:proofErr w:type="spellEnd"/>
      <w:r w:rsidRPr="00CF6A8E">
        <w:rPr>
          <w:sz w:val="24"/>
          <w:szCs w:val="24"/>
        </w:rPr>
        <w:t xml:space="preserve"> IC.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Endovenous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thermal ablation for healing venous ulcers and preventing recurrence. Cochrane Database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Syst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Rev. 2013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;10:CD009494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r w:rsidRPr="00CF6A8E">
        <w:rPr>
          <w:rFonts w:eastAsia="Times New Roman" w:cs="Times New Roman"/>
          <w:sz w:val="24"/>
          <w:szCs w:val="24"/>
          <w:lang w:eastAsia="en-GB"/>
        </w:rPr>
        <w:t xml:space="preserve">Simpson RC, Thomas KS, Murphy R. Outcome measures for vulval skin conditions: a systematic review of randomized controlled trials. Br J </w:t>
      </w:r>
      <w:proofErr w:type="spellStart"/>
      <w:r w:rsidRPr="00CF6A8E">
        <w:rPr>
          <w:rFonts w:eastAsia="Times New Roman" w:cs="Times New Roman"/>
          <w:sz w:val="24"/>
          <w:szCs w:val="24"/>
          <w:lang w:eastAsia="en-GB"/>
        </w:rPr>
        <w:t>Dermatol</w:t>
      </w:r>
      <w:proofErr w:type="spellEnd"/>
      <w:r w:rsidRPr="00CF6A8E">
        <w:rPr>
          <w:rFonts w:eastAsia="Times New Roman" w:cs="Times New Roman"/>
          <w:sz w:val="24"/>
          <w:szCs w:val="24"/>
          <w:lang w:eastAsia="en-GB"/>
        </w:rPr>
        <w:t>. 2013</w:t>
      </w:r>
      <w:proofErr w:type="gramStart"/>
      <w:r w:rsidRPr="00CF6A8E">
        <w:rPr>
          <w:rFonts w:eastAsia="Times New Roman" w:cs="Times New Roman"/>
          <w:sz w:val="24"/>
          <w:szCs w:val="24"/>
          <w:lang w:eastAsia="en-GB"/>
        </w:rPr>
        <w:t>;169</w:t>
      </w:r>
      <w:proofErr w:type="gramEnd"/>
      <w:r w:rsidRPr="00CF6A8E">
        <w:rPr>
          <w:rFonts w:eastAsia="Times New Roman" w:cs="Times New Roman"/>
          <w:sz w:val="24"/>
          <w:szCs w:val="24"/>
          <w:lang w:eastAsia="en-GB"/>
        </w:rPr>
        <w:t>(3):494-501.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Wylde</w:t>
      </w:r>
      <w:proofErr w:type="spellEnd"/>
      <w:r w:rsidRPr="00CF6A8E">
        <w:rPr>
          <w:sz w:val="24"/>
          <w:szCs w:val="24"/>
        </w:rPr>
        <w:t xml:space="preserve"> V, </w:t>
      </w:r>
      <w:proofErr w:type="spellStart"/>
      <w:r w:rsidRPr="00CF6A8E">
        <w:rPr>
          <w:sz w:val="24"/>
          <w:szCs w:val="24"/>
        </w:rPr>
        <w:t>MacKichan</w:t>
      </w:r>
      <w:proofErr w:type="spellEnd"/>
      <w:r w:rsidRPr="00CF6A8E">
        <w:rPr>
          <w:sz w:val="24"/>
          <w:szCs w:val="24"/>
        </w:rPr>
        <w:t xml:space="preserve"> F, Bruce J, </w:t>
      </w:r>
      <w:proofErr w:type="spellStart"/>
      <w:proofErr w:type="gramStart"/>
      <w:r w:rsidRPr="00CF6A8E">
        <w:rPr>
          <w:sz w:val="24"/>
          <w:szCs w:val="24"/>
        </w:rPr>
        <w:t>Gooberman</w:t>
      </w:r>
      <w:proofErr w:type="spellEnd"/>
      <w:proofErr w:type="gramEnd"/>
      <w:r w:rsidRPr="00CF6A8E">
        <w:rPr>
          <w:sz w:val="24"/>
          <w:szCs w:val="24"/>
        </w:rPr>
        <w:t xml:space="preserve">-Hill R. </w:t>
      </w: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Assessment of chronic post-surgical pain after knee replacement: Development of a core outcome set.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Eur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 Pain. 2015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</w:t>
      </w:r>
      <w:r w:rsidRPr="00CF6A8E">
        <w:rPr>
          <w:sz w:val="24"/>
          <w:szCs w:val="24"/>
        </w:rPr>
        <w:t>19</w:t>
      </w:r>
      <w:proofErr w:type="gramEnd"/>
      <w:r w:rsidRPr="00CF6A8E">
        <w:rPr>
          <w:sz w:val="24"/>
          <w:szCs w:val="24"/>
        </w:rPr>
        <w:t>(5):611-20.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Feldman LS, Lee L, Fiore J Jr. What outcomes are important in the assessment of Enhanced Recovery 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After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Surgery (ERAS) pathways? Can J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Anesth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. 2015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</w:t>
      </w:r>
      <w:r w:rsidRPr="00CF6A8E">
        <w:rPr>
          <w:sz w:val="24"/>
          <w:szCs w:val="24"/>
        </w:rPr>
        <w:t>62</w:t>
      </w:r>
      <w:proofErr w:type="gramEnd"/>
      <w:r w:rsidRPr="00CF6A8E">
        <w:rPr>
          <w:sz w:val="24"/>
          <w:szCs w:val="24"/>
        </w:rPr>
        <w:t xml:space="preserve">(2):120-30. 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Neville A, Lee L,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Antonescu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I, Mayo NE,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Vassiliou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MC, Fried GM, et al. Systematic review of outcomes used to evaluate enhanced recovery after surgery. Br J Surg.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;101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(3):159-170.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Chiu AK, Din N, Ai N. Standardising reported outcomes of surgery for intermittent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exotropia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--a systematic literature review." Strabismus. 2014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;22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(1):32-36.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Cook RJ, Heddle NM. Clinical trials evaluating pathogen-reduced platelet products: </w:t>
      </w:r>
      <w:proofErr w:type="spell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methodologic</w:t>
      </w:r>
      <w:proofErr w:type="spell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issues and recommendations. Transfusion. 2013</w:t>
      </w:r>
      <w:proofErr w:type="gramStart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;53</w:t>
      </w:r>
      <w:proofErr w:type="gramEnd"/>
      <w:r w:rsidRPr="00CF6A8E">
        <w:rPr>
          <w:rFonts w:eastAsia="Times New Roman" w:cs="Times New Roman"/>
          <w:color w:val="000000"/>
          <w:sz w:val="24"/>
          <w:szCs w:val="24"/>
          <w:lang w:eastAsia="en-GB"/>
        </w:rPr>
        <w:t>(8):1843-1855.</w:t>
      </w: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C2F8A" w:rsidRPr="00CF6A8E" w:rsidRDefault="000C2F8A" w:rsidP="000C2F8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7F4450" w:rsidRPr="00CF6A8E" w:rsidRDefault="007F4450" w:rsidP="00CF6A8E">
      <w:pPr>
        <w:rPr>
          <w:sz w:val="24"/>
          <w:szCs w:val="24"/>
        </w:rPr>
      </w:pPr>
    </w:p>
    <w:sectPr w:rsidR="007F4450" w:rsidRPr="00CF6A8E" w:rsidSect="00252ED2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19" w:rsidRDefault="00A65519">
      <w:pPr>
        <w:spacing w:after="0" w:line="240" w:lineRule="auto"/>
      </w:pPr>
      <w:r>
        <w:separator/>
      </w:r>
    </w:p>
  </w:endnote>
  <w:endnote w:type="continuationSeparator" w:id="0">
    <w:p w:rsidR="00A65519" w:rsidRDefault="00A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19" w:rsidRDefault="00A65519">
      <w:pPr>
        <w:spacing w:after="0" w:line="240" w:lineRule="auto"/>
      </w:pPr>
      <w:r>
        <w:separator/>
      </w:r>
    </w:p>
  </w:footnote>
  <w:footnote w:type="continuationSeparator" w:id="0">
    <w:p w:rsidR="00A65519" w:rsidRDefault="00A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11" w:rsidRDefault="005C7F11">
    <w:pPr>
      <w:pStyle w:val="Header"/>
      <w:jc w:val="right"/>
    </w:pPr>
  </w:p>
  <w:p w:rsidR="005C7F11" w:rsidRDefault="005C7F11" w:rsidP="00AB40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4FA"/>
    <w:multiLevelType w:val="hybridMultilevel"/>
    <w:tmpl w:val="00D8D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6DC7"/>
    <w:multiLevelType w:val="hybridMultilevel"/>
    <w:tmpl w:val="550E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0917"/>
    <w:multiLevelType w:val="hybridMultilevel"/>
    <w:tmpl w:val="9EE8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01228"/>
    <w:multiLevelType w:val="hybridMultilevel"/>
    <w:tmpl w:val="94981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04DD"/>
    <w:multiLevelType w:val="hybridMultilevel"/>
    <w:tmpl w:val="00D8D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A"/>
    <w:rsid w:val="000317A2"/>
    <w:rsid w:val="000C2F8A"/>
    <w:rsid w:val="001656C2"/>
    <w:rsid w:val="00230BB3"/>
    <w:rsid w:val="00234F68"/>
    <w:rsid w:val="00243E3D"/>
    <w:rsid w:val="00252ED2"/>
    <w:rsid w:val="00294163"/>
    <w:rsid w:val="003100FF"/>
    <w:rsid w:val="00315270"/>
    <w:rsid w:val="00342E83"/>
    <w:rsid w:val="003A346A"/>
    <w:rsid w:val="003A3549"/>
    <w:rsid w:val="004273C7"/>
    <w:rsid w:val="004F0142"/>
    <w:rsid w:val="00541DA2"/>
    <w:rsid w:val="00543157"/>
    <w:rsid w:val="00561E2E"/>
    <w:rsid w:val="00592F4A"/>
    <w:rsid w:val="005C3F58"/>
    <w:rsid w:val="005C55B1"/>
    <w:rsid w:val="005C7F11"/>
    <w:rsid w:val="005F6E58"/>
    <w:rsid w:val="00693628"/>
    <w:rsid w:val="0073146F"/>
    <w:rsid w:val="007744D2"/>
    <w:rsid w:val="00795377"/>
    <w:rsid w:val="007A1B0D"/>
    <w:rsid w:val="007F4450"/>
    <w:rsid w:val="00801A99"/>
    <w:rsid w:val="00827905"/>
    <w:rsid w:val="00835585"/>
    <w:rsid w:val="008426A6"/>
    <w:rsid w:val="00872480"/>
    <w:rsid w:val="008B3067"/>
    <w:rsid w:val="00956693"/>
    <w:rsid w:val="009905E8"/>
    <w:rsid w:val="009F4773"/>
    <w:rsid w:val="00A518D7"/>
    <w:rsid w:val="00A605BD"/>
    <w:rsid w:val="00A65519"/>
    <w:rsid w:val="00AB405F"/>
    <w:rsid w:val="00AE3DE8"/>
    <w:rsid w:val="00B4329E"/>
    <w:rsid w:val="00B82EF2"/>
    <w:rsid w:val="00B85E61"/>
    <w:rsid w:val="00BA03D5"/>
    <w:rsid w:val="00BE5647"/>
    <w:rsid w:val="00C47EEF"/>
    <w:rsid w:val="00CF6A8E"/>
    <w:rsid w:val="00D60880"/>
    <w:rsid w:val="00DB038F"/>
    <w:rsid w:val="00DC6767"/>
    <w:rsid w:val="00DF3BF8"/>
    <w:rsid w:val="00E56E27"/>
    <w:rsid w:val="00E849A8"/>
    <w:rsid w:val="00E85AEE"/>
    <w:rsid w:val="00F13A42"/>
    <w:rsid w:val="00F47ACA"/>
    <w:rsid w:val="00FA674E"/>
    <w:rsid w:val="00FB36B3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C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F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F8A"/>
    <w:pPr>
      <w:ind w:left="720"/>
      <w:contextualSpacing/>
    </w:pPr>
  </w:style>
  <w:style w:type="table" w:styleId="TableGrid">
    <w:name w:val="Table Grid"/>
    <w:basedOn w:val="TableNormal"/>
    <w:uiPriority w:val="59"/>
    <w:rsid w:val="000C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8A"/>
  </w:style>
  <w:style w:type="paragraph" w:styleId="Footer">
    <w:name w:val="footer"/>
    <w:basedOn w:val="Normal"/>
    <w:link w:val="FooterChar"/>
    <w:uiPriority w:val="99"/>
    <w:unhideWhenUsed/>
    <w:rsid w:val="000C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8A"/>
  </w:style>
  <w:style w:type="character" w:styleId="Hyperlink">
    <w:name w:val="Hyperlink"/>
    <w:basedOn w:val="DefaultParagraphFont"/>
    <w:uiPriority w:val="99"/>
    <w:unhideWhenUsed/>
    <w:rsid w:val="000C2F8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C2F8A"/>
  </w:style>
  <w:style w:type="character" w:styleId="Strong">
    <w:name w:val="Strong"/>
    <w:uiPriority w:val="22"/>
    <w:qFormat/>
    <w:rsid w:val="000C2F8A"/>
    <w:rPr>
      <w:b/>
      <w:bCs/>
    </w:rPr>
  </w:style>
  <w:style w:type="paragraph" w:styleId="NoSpacing">
    <w:name w:val="No Spacing"/>
    <w:uiPriority w:val="1"/>
    <w:qFormat/>
    <w:rsid w:val="000C2F8A"/>
    <w:pPr>
      <w:spacing w:after="0" w:line="240" w:lineRule="auto"/>
    </w:pPr>
    <w:rPr>
      <w:lang w:val="nl-NL"/>
    </w:rPr>
  </w:style>
  <w:style w:type="character" w:styleId="Emphasis">
    <w:name w:val="Emphasis"/>
    <w:basedOn w:val="DefaultParagraphFont"/>
    <w:uiPriority w:val="20"/>
    <w:qFormat/>
    <w:rsid w:val="000C2F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2F8A"/>
    <w:rPr>
      <w:color w:val="800080" w:themeColor="followedHyperlink"/>
      <w:u w:val="single"/>
    </w:rPr>
  </w:style>
  <w:style w:type="paragraph" w:customStyle="1" w:styleId="Default">
    <w:name w:val="Default"/>
    <w:rsid w:val="000C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C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F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F8A"/>
    <w:pPr>
      <w:ind w:left="720"/>
      <w:contextualSpacing/>
    </w:pPr>
  </w:style>
  <w:style w:type="table" w:styleId="TableGrid">
    <w:name w:val="Table Grid"/>
    <w:basedOn w:val="TableNormal"/>
    <w:uiPriority w:val="59"/>
    <w:rsid w:val="000C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8A"/>
  </w:style>
  <w:style w:type="paragraph" w:styleId="Footer">
    <w:name w:val="footer"/>
    <w:basedOn w:val="Normal"/>
    <w:link w:val="FooterChar"/>
    <w:uiPriority w:val="99"/>
    <w:unhideWhenUsed/>
    <w:rsid w:val="000C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8A"/>
  </w:style>
  <w:style w:type="character" w:styleId="Hyperlink">
    <w:name w:val="Hyperlink"/>
    <w:basedOn w:val="DefaultParagraphFont"/>
    <w:uiPriority w:val="99"/>
    <w:unhideWhenUsed/>
    <w:rsid w:val="000C2F8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C2F8A"/>
  </w:style>
  <w:style w:type="character" w:styleId="Strong">
    <w:name w:val="Strong"/>
    <w:uiPriority w:val="22"/>
    <w:qFormat/>
    <w:rsid w:val="000C2F8A"/>
    <w:rPr>
      <w:b/>
      <w:bCs/>
    </w:rPr>
  </w:style>
  <w:style w:type="paragraph" w:styleId="NoSpacing">
    <w:name w:val="No Spacing"/>
    <w:uiPriority w:val="1"/>
    <w:qFormat/>
    <w:rsid w:val="000C2F8A"/>
    <w:pPr>
      <w:spacing w:after="0" w:line="240" w:lineRule="auto"/>
    </w:pPr>
    <w:rPr>
      <w:lang w:val="nl-NL"/>
    </w:rPr>
  </w:style>
  <w:style w:type="character" w:styleId="Emphasis">
    <w:name w:val="Emphasis"/>
    <w:basedOn w:val="DefaultParagraphFont"/>
    <w:uiPriority w:val="20"/>
    <w:qFormat/>
    <w:rsid w:val="000C2F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2F8A"/>
    <w:rPr>
      <w:color w:val="800080" w:themeColor="followedHyperlink"/>
      <w:u w:val="single"/>
    </w:rPr>
  </w:style>
  <w:style w:type="paragraph" w:customStyle="1" w:styleId="Default">
    <w:name w:val="Default"/>
    <w:rsid w:val="000C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53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4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6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9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4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64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3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7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0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15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514E-12D6-4400-89A1-4A62E8A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Gorst, Sarah [sgorst]</dc:creator>
  <cp:lastModifiedBy>Gorst, Sarah [sgorst]</cp:lastModifiedBy>
  <cp:revision>5</cp:revision>
  <dcterms:created xsi:type="dcterms:W3CDTF">2015-09-25T10:18:00Z</dcterms:created>
  <dcterms:modified xsi:type="dcterms:W3CDTF">2016-01-04T14:13:00Z</dcterms:modified>
</cp:coreProperties>
</file>