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6A639" w14:textId="227551F9" w:rsidR="000D2239" w:rsidRDefault="000D2239" w:rsidP="000D2239">
      <w:pPr>
        <w:rPr>
          <w:b/>
          <w:lang w:val="en-GB"/>
        </w:rPr>
      </w:pPr>
      <w:r w:rsidRPr="00DC232B">
        <w:rPr>
          <w:b/>
          <w:lang w:val="en-US"/>
        </w:rPr>
        <w:t xml:space="preserve">S1 </w:t>
      </w:r>
      <w:r w:rsidR="00D75EFE">
        <w:rPr>
          <w:b/>
          <w:lang w:val="en-GB"/>
        </w:rPr>
        <w:t>Table. Characteristics of Study P</w:t>
      </w:r>
      <w:r w:rsidRPr="000D2239">
        <w:rPr>
          <w:b/>
          <w:lang w:val="en-GB"/>
        </w:rPr>
        <w:t xml:space="preserve">articipants </w:t>
      </w:r>
      <w:r w:rsidR="00D75EFE">
        <w:rPr>
          <w:b/>
          <w:lang w:val="en-GB"/>
        </w:rPr>
        <w:t>included into the A</w:t>
      </w:r>
      <w:r w:rsidR="000136A6">
        <w:rPr>
          <w:b/>
          <w:lang w:val="en-GB"/>
        </w:rPr>
        <w:t xml:space="preserve">nalysis </w:t>
      </w:r>
      <w:r w:rsidRPr="000D2239">
        <w:rPr>
          <w:b/>
          <w:lang w:val="en-GB"/>
        </w:rPr>
        <w:t xml:space="preserve">and </w:t>
      </w:r>
      <w:r w:rsidR="00430FAE">
        <w:rPr>
          <w:b/>
          <w:lang w:val="en-GB"/>
        </w:rPr>
        <w:t xml:space="preserve">of </w:t>
      </w:r>
      <w:r w:rsidR="00D75EFE">
        <w:rPr>
          <w:b/>
          <w:lang w:val="en-GB"/>
        </w:rPr>
        <w:t>N</w:t>
      </w:r>
      <w:r w:rsidRPr="000D2239">
        <w:rPr>
          <w:b/>
          <w:lang w:val="en-GB"/>
        </w:rPr>
        <w:t>on-participants</w:t>
      </w:r>
    </w:p>
    <w:p w14:paraId="36A3A24A" w14:textId="77777777" w:rsidR="000D2239" w:rsidRPr="00DC232B" w:rsidRDefault="000D2239" w:rsidP="000D2239">
      <w:pPr>
        <w:rPr>
          <w:b/>
          <w:lang w:val="en-US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993"/>
        <w:gridCol w:w="992"/>
        <w:gridCol w:w="850"/>
        <w:gridCol w:w="1134"/>
      </w:tblGrid>
      <w:tr w:rsidR="000D2239" w:rsidRPr="00F53257" w14:paraId="328059EB" w14:textId="77777777" w:rsidTr="00A7591F">
        <w:tc>
          <w:tcPr>
            <w:tcW w:w="4361" w:type="dxa"/>
            <w:tcBorders>
              <w:bottom w:val="nil"/>
            </w:tcBorders>
          </w:tcPr>
          <w:p w14:paraId="3E95B298" w14:textId="77777777" w:rsidR="000D2239" w:rsidRPr="005C2278" w:rsidRDefault="000D2239" w:rsidP="00676CC2">
            <w:pPr>
              <w:pStyle w:val="Standa1"/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0FF15686" w14:textId="77777777" w:rsidR="000D2239" w:rsidRPr="005C2278" w:rsidRDefault="000D2239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C2278">
              <w:rPr>
                <w:sz w:val="24"/>
                <w:szCs w:val="24"/>
                <w:lang w:val="en-US"/>
              </w:rPr>
              <w:t xml:space="preserve">Participants </w:t>
            </w:r>
            <w:r w:rsidRPr="005C2278">
              <w:rPr>
                <w:sz w:val="24"/>
                <w:szCs w:val="24"/>
                <w:lang w:val="en-US"/>
              </w:rPr>
              <w:br/>
              <w:t>(N=133)</w:t>
            </w:r>
          </w:p>
        </w:tc>
        <w:tc>
          <w:tcPr>
            <w:tcW w:w="1842" w:type="dxa"/>
            <w:gridSpan w:val="2"/>
          </w:tcPr>
          <w:p w14:paraId="38911C56" w14:textId="2F779571" w:rsidR="000D2239" w:rsidRPr="005C2278" w:rsidRDefault="000D2239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  <w:r w:rsidRPr="005C2278">
              <w:rPr>
                <w:sz w:val="24"/>
                <w:szCs w:val="24"/>
              </w:rPr>
              <w:t>Non-</w:t>
            </w:r>
            <w:proofErr w:type="spellStart"/>
            <w:r w:rsidRPr="005C2278">
              <w:rPr>
                <w:sz w:val="24"/>
                <w:szCs w:val="24"/>
              </w:rPr>
              <w:t>participants</w:t>
            </w:r>
            <w:proofErr w:type="spellEnd"/>
            <w:r w:rsidRPr="005C2278">
              <w:rPr>
                <w:sz w:val="24"/>
                <w:szCs w:val="24"/>
              </w:rPr>
              <w:t xml:space="preserve"> (N=16</w:t>
            </w:r>
            <w:r w:rsidR="00FB69BC">
              <w:rPr>
                <w:sz w:val="24"/>
                <w:szCs w:val="24"/>
              </w:rPr>
              <w:t>4</w:t>
            </w:r>
            <w:r w:rsidRPr="005C227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31F8D7EC" w14:textId="35F81A75" w:rsidR="000D2239" w:rsidRPr="005C2278" w:rsidRDefault="000D2239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  <w:r w:rsidRPr="002A6185">
              <w:rPr>
                <w:sz w:val="24"/>
                <w:szCs w:val="24"/>
              </w:rPr>
              <w:t>p</w:t>
            </w:r>
            <w:r w:rsidRPr="005C2278">
              <w:rPr>
                <w:sz w:val="24"/>
                <w:szCs w:val="24"/>
              </w:rPr>
              <w:t>-</w:t>
            </w:r>
            <w:proofErr w:type="spellStart"/>
            <w:r w:rsidRPr="005C2278">
              <w:rPr>
                <w:sz w:val="24"/>
                <w:szCs w:val="24"/>
              </w:rPr>
              <w:t>value</w:t>
            </w:r>
            <w:proofErr w:type="spellEnd"/>
            <w:r w:rsidR="00A7591F">
              <w:rPr>
                <w:sz w:val="24"/>
                <w:szCs w:val="24"/>
              </w:rPr>
              <w:t xml:space="preserve"> </w:t>
            </w:r>
            <w:r w:rsidR="00A7591F" w:rsidRPr="00A7591F">
              <w:rPr>
                <w:sz w:val="24"/>
                <w:szCs w:val="24"/>
                <w:vertAlign w:val="superscript"/>
              </w:rPr>
              <w:t>a)</w:t>
            </w:r>
          </w:p>
        </w:tc>
      </w:tr>
      <w:tr w:rsidR="00606194" w:rsidRPr="00F53257" w14:paraId="4CFD7ABD" w14:textId="77777777" w:rsidTr="00A7591F">
        <w:trPr>
          <w:trHeight w:val="293"/>
        </w:trPr>
        <w:tc>
          <w:tcPr>
            <w:tcW w:w="4361" w:type="dxa"/>
            <w:tcBorders>
              <w:top w:val="nil"/>
            </w:tcBorders>
          </w:tcPr>
          <w:p w14:paraId="54C9D601" w14:textId="77777777" w:rsidR="00606194" w:rsidRDefault="00606194" w:rsidP="00676CC2">
            <w:pPr>
              <w:pStyle w:val="Standa1"/>
              <w:spacing w:line="480" w:lineRule="auto"/>
              <w:rPr>
                <w:i/>
                <w:lang w:val="en-GB"/>
              </w:rPr>
            </w:pPr>
          </w:p>
        </w:tc>
        <w:tc>
          <w:tcPr>
            <w:tcW w:w="850" w:type="dxa"/>
          </w:tcPr>
          <w:p w14:paraId="5E23C9BD" w14:textId="08A00AD4" w:rsidR="00606194" w:rsidRPr="005C2278" w:rsidRDefault="00606194" w:rsidP="00676CC2">
            <w:pPr>
              <w:pStyle w:val="Standa1"/>
              <w:spacing w:line="480" w:lineRule="auto"/>
              <w:jc w:val="right"/>
            </w:pPr>
            <w:r w:rsidRPr="005C2278">
              <w:rPr>
                <w:sz w:val="24"/>
                <w:szCs w:val="24"/>
              </w:rPr>
              <w:t xml:space="preserve"> n</w:t>
            </w:r>
          </w:p>
        </w:tc>
        <w:tc>
          <w:tcPr>
            <w:tcW w:w="993" w:type="dxa"/>
          </w:tcPr>
          <w:p w14:paraId="1DFF4EA6" w14:textId="7ECC1E3C" w:rsidR="00606194" w:rsidRPr="005C2278" w:rsidRDefault="00606194" w:rsidP="00676CC2">
            <w:pPr>
              <w:pStyle w:val="Standa1"/>
              <w:spacing w:line="480" w:lineRule="auto"/>
            </w:pPr>
            <w:r w:rsidRPr="005C2278">
              <w:rPr>
                <w:sz w:val="24"/>
                <w:szCs w:val="24"/>
              </w:rPr>
              <w:t xml:space="preserve">(%) </w:t>
            </w:r>
          </w:p>
        </w:tc>
        <w:tc>
          <w:tcPr>
            <w:tcW w:w="992" w:type="dxa"/>
          </w:tcPr>
          <w:p w14:paraId="6678FADD" w14:textId="537D357D" w:rsidR="00606194" w:rsidRPr="005C2278" w:rsidRDefault="00606194" w:rsidP="00676CC2">
            <w:pPr>
              <w:pStyle w:val="Standa1"/>
              <w:spacing w:line="480" w:lineRule="auto"/>
              <w:jc w:val="right"/>
            </w:pPr>
            <w:r w:rsidRPr="005C2278">
              <w:rPr>
                <w:sz w:val="24"/>
                <w:szCs w:val="24"/>
              </w:rPr>
              <w:t>n</w:t>
            </w:r>
          </w:p>
        </w:tc>
        <w:tc>
          <w:tcPr>
            <w:tcW w:w="850" w:type="dxa"/>
          </w:tcPr>
          <w:p w14:paraId="4A3CD1D7" w14:textId="0579EB62" w:rsidR="00606194" w:rsidRPr="005C2278" w:rsidRDefault="00606194" w:rsidP="00676CC2">
            <w:pPr>
              <w:pStyle w:val="Standa1"/>
              <w:spacing w:line="480" w:lineRule="auto"/>
            </w:pPr>
            <w:r w:rsidRPr="005C2278">
              <w:rPr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nil"/>
            </w:tcBorders>
          </w:tcPr>
          <w:p w14:paraId="1A4B11FB" w14:textId="77777777" w:rsidR="00606194" w:rsidRPr="005C2278" w:rsidRDefault="00606194" w:rsidP="00676CC2">
            <w:pPr>
              <w:pStyle w:val="Standa1"/>
              <w:spacing w:line="480" w:lineRule="auto"/>
              <w:jc w:val="center"/>
            </w:pPr>
          </w:p>
        </w:tc>
      </w:tr>
      <w:tr w:rsidR="00606194" w:rsidRPr="00FB69BC" w14:paraId="245AC228" w14:textId="77777777" w:rsidTr="00676CC2">
        <w:trPr>
          <w:trHeight w:val="293"/>
        </w:trPr>
        <w:tc>
          <w:tcPr>
            <w:tcW w:w="4361" w:type="dxa"/>
          </w:tcPr>
          <w:p w14:paraId="01065668" w14:textId="791E81A2" w:rsidR="00606194" w:rsidRPr="00FB69BC" w:rsidRDefault="00FB69BC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i/>
                <w:sz w:val="24"/>
                <w:szCs w:val="24"/>
                <w:lang w:val="en-GB"/>
              </w:rPr>
              <w:t>A</w:t>
            </w:r>
            <w:r w:rsidR="00606194" w:rsidRPr="00FB69BC">
              <w:rPr>
                <w:i/>
                <w:sz w:val="24"/>
                <w:szCs w:val="24"/>
                <w:lang w:val="en-GB"/>
              </w:rPr>
              <w:t xml:space="preserve">ge </w:t>
            </w:r>
            <w:r w:rsidRPr="00FB69BC">
              <w:rPr>
                <w:i/>
                <w:sz w:val="24"/>
                <w:szCs w:val="24"/>
                <w:lang w:val="en-GB"/>
              </w:rPr>
              <w:t xml:space="preserve">of patients </w:t>
            </w:r>
            <w:r w:rsidR="00606194" w:rsidRPr="00FB69BC">
              <w:rPr>
                <w:i/>
                <w:sz w:val="24"/>
                <w:szCs w:val="24"/>
                <w:lang w:val="en-GB"/>
              </w:rPr>
              <w:t>at diagnosis</w:t>
            </w:r>
          </w:p>
        </w:tc>
        <w:tc>
          <w:tcPr>
            <w:tcW w:w="850" w:type="dxa"/>
          </w:tcPr>
          <w:p w14:paraId="6B2D7293" w14:textId="16E8A00E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49916458" w14:textId="7550FCF8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9C35B68" w14:textId="3F05A5AA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0696A403" w14:textId="56B13011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C1ECAE6" w14:textId="5A5935D1" w:rsidR="00606194" w:rsidRPr="00FB69BC" w:rsidRDefault="00D83A15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0.140</w:t>
            </w:r>
          </w:p>
        </w:tc>
      </w:tr>
      <w:tr w:rsidR="00606194" w:rsidRPr="00FB69BC" w14:paraId="7550017C" w14:textId="77777777" w:rsidTr="00676CC2">
        <w:tc>
          <w:tcPr>
            <w:tcW w:w="4361" w:type="dxa"/>
          </w:tcPr>
          <w:p w14:paraId="48D741E3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US"/>
              </w:rPr>
            </w:pPr>
            <w:r w:rsidRPr="00FB69BC">
              <w:rPr>
                <w:sz w:val="24"/>
                <w:szCs w:val="24"/>
                <w:lang w:val="en-GB"/>
              </w:rPr>
              <w:t>0 – 4 years</w:t>
            </w:r>
          </w:p>
        </w:tc>
        <w:tc>
          <w:tcPr>
            <w:tcW w:w="850" w:type="dxa"/>
          </w:tcPr>
          <w:p w14:paraId="050774A4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60</w:t>
            </w:r>
          </w:p>
        </w:tc>
        <w:tc>
          <w:tcPr>
            <w:tcW w:w="993" w:type="dxa"/>
          </w:tcPr>
          <w:p w14:paraId="0A125C85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(45)</w:t>
            </w:r>
          </w:p>
        </w:tc>
        <w:tc>
          <w:tcPr>
            <w:tcW w:w="992" w:type="dxa"/>
          </w:tcPr>
          <w:p w14:paraId="7D7422D8" w14:textId="624D0FA5" w:rsidR="00606194" w:rsidRPr="00FB69BC" w:rsidRDefault="00D83A15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57</w:t>
            </w:r>
          </w:p>
        </w:tc>
        <w:tc>
          <w:tcPr>
            <w:tcW w:w="850" w:type="dxa"/>
          </w:tcPr>
          <w:p w14:paraId="6B69B213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(35)</w:t>
            </w:r>
          </w:p>
        </w:tc>
        <w:tc>
          <w:tcPr>
            <w:tcW w:w="1134" w:type="dxa"/>
          </w:tcPr>
          <w:p w14:paraId="50E17B9C" w14:textId="77777777" w:rsidR="00606194" w:rsidRPr="00FB69BC" w:rsidRDefault="00606194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606194" w:rsidRPr="00FB69BC" w14:paraId="43726F5C" w14:textId="77777777" w:rsidTr="00676CC2">
        <w:tc>
          <w:tcPr>
            <w:tcW w:w="4361" w:type="dxa"/>
          </w:tcPr>
          <w:p w14:paraId="1955EEE1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US"/>
              </w:rPr>
            </w:pPr>
            <w:r w:rsidRPr="00FB69BC">
              <w:rPr>
                <w:sz w:val="24"/>
                <w:szCs w:val="24"/>
                <w:lang w:val="en-GB"/>
              </w:rPr>
              <w:t>5 – 9 years</w:t>
            </w:r>
          </w:p>
        </w:tc>
        <w:tc>
          <w:tcPr>
            <w:tcW w:w="850" w:type="dxa"/>
          </w:tcPr>
          <w:p w14:paraId="10B9F8E5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29</w:t>
            </w:r>
          </w:p>
        </w:tc>
        <w:tc>
          <w:tcPr>
            <w:tcW w:w="993" w:type="dxa"/>
          </w:tcPr>
          <w:p w14:paraId="498E23C9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(22)</w:t>
            </w:r>
          </w:p>
        </w:tc>
        <w:tc>
          <w:tcPr>
            <w:tcW w:w="992" w:type="dxa"/>
          </w:tcPr>
          <w:p w14:paraId="6CFFB181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43</w:t>
            </w:r>
          </w:p>
        </w:tc>
        <w:tc>
          <w:tcPr>
            <w:tcW w:w="850" w:type="dxa"/>
          </w:tcPr>
          <w:p w14:paraId="284999C0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(26)</w:t>
            </w:r>
          </w:p>
        </w:tc>
        <w:tc>
          <w:tcPr>
            <w:tcW w:w="1134" w:type="dxa"/>
          </w:tcPr>
          <w:p w14:paraId="2A9C2634" w14:textId="77777777" w:rsidR="00606194" w:rsidRPr="00FB69BC" w:rsidRDefault="00606194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606194" w:rsidRPr="00FB69BC" w14:paraId="5279E635" w14:textId="77777777" w:rsidTr="00676CC2">
        <w:tc>
          <w:tcPr>
            <w:tcW w:w="4361" w:type="dxa"/>
          </w:tcPr>
          <w:p w14:paraId="1826E76E" w14:textId="77777777" w:rsidR="00606194" w:rsidRPr="00FB69BC" w:rsidRDefault="00606194" w:rsidP="00676CC2">
            <w:pPr>
              <w:pStyle w:val="Standa1"/>
              <w:spacing w:line="480" w:lineRule="auto"/>
              <w:rPr>
                <w:i/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10 – 13 years</w:t>
            </w:r>
          </w:p>
        </w:tc>
        <w:tc>
          <w:tcPr>
            <w:tcW w:w="850" w:type="dxa"/>
          </w:tcPr>
          <w:p w14:paraId="2789139F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28</w:t>
            </w:r>
          </w:p>
        </w:tc>
        <w:tc>
          <w:tcPr>
            <w:tcW w:w="993" w:type="dxa"/>
          </w:tcPr>
          <w:p w14:paraId="50C27821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 w:rsidDel="00DB45E6">
              <w:rPr>
                <w:sz w:val="24"/>
                <w:szCs w:val="24"/>
                <w:lang w:val="en-GB"/>
              </w:rPr>
              <w:t>(</w:t>
            </w:r>
            <w:r w:rsidRPr="00FB69BC">
              <w:rPr>
                <w:sz w:val="24"/>
                <w:szCs w:val="24"/>
                <w:lang w:val="en-GB"/>
              </w:rPr>
              <w:t>21</w:t>
            </w:r>
            <w:r w:rsidRPr="00FB69BC" w:rsidDel="00DB45E6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92" w:type="dxa"/>
          </w:tcPr>
          <w:p w14:paraId="4F875AC3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33</w:t>
            </w:r>
          </w:p>
        </w:tc>
        <w:tc>
          <w:tcPr>
            <w:tcW w:w="850" w:type="dxa"/>
          </w:tcPr>
          <w:p w14:paraId="16B1BD57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(20)</w:t>
            </w:r>
          </w:p>
        </w:tc>
        <w:tc>
          <w:tcPr>
            <w:tcW w:w="1134" w:type="dxa"/>
          </w:tcPr>
          <w:p w14:paraId="3BB9658F" w14:textId="77777777" w:rsidR="00606194" w:rsidRPr="00FB69BC" w:rsidRDefault="00606194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06194" w:rsidRPr="00FB69BC" w14:paraId="4988670C" w14:textId="77777777" w:rsidTr="00676CC2">
        <w:tc>
          <w:tcPr>
            <w:tcW w:w="4361" w:type="dxa"/>
          </w:tcPr>
          <w:p w14:paraId="29814F21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14 – 18 years</w:t>
            </w:r>
          </w:p>
        </w:tc>
        <w:tc>
          <w:tcPr>
            <w:tcW w:w="850" w:type="dxa"/>
          </w:tcPr>
          <w:p w14:paraId="60C57097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16</w:t>
            </w:r>
          </w:p>
        </w:tc>
        <w:tc>
          <w:tcPr>
            <w:tcW w:w="993" w:type="dxa"/>
          </w:tcPr>
          <w:p w14:paraId="117D3543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(12)</w:t>
            </w:r>
          </w:p>
        </w:tc>
        <w:tc>
          <w:tcPr>
            <w:tcW w:w="992" w:type="dxa"/>
          </w:tcPr>
          <w:p w14:paraId="0B710E1B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31</w:t>
            </w:r>
          </w:p>
        </w:tc>
        <w:tc>
          <w:tcPr>
            <w:tcW w:w="850" w:type="dxa"/>
          </w:tcPr>
          <w:p w14:paraId="0B36CF38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(19)</w:t>
            </w:r>
          </w:p>
        </w:tc>
        <w:tc>
          <w:tcPr>
            <w:tcW w:w="1134" w:type="dxa"/>
          </w:tcPr>
          <w:p w14:paraId="50B84DAB" w14:textId="77777777" w:rsidR="00606194" w:rsidRPr="00FB69BC" w:rsidRDefault="00606194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606194" w:rsidRPr="00FB69BC" w14:paraId="3FDF1ED0" w14:textId="77777777" w:rsidTr="00676CC2">
        <w:tc>
          <w:tcPr>
            <w:tcW w:w="4361" w:type="dxa"/>
          </w:tcPr>
          <w:p w14:paraId="10E60D9B" w14:textId="597E4411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i/>
                <w:sz w:val="24"/>
                <w:szCs w:val="24"/>
                <w:lang w:val="en-GB"/>
              </w:rPr>
              <w:t>Gender</w:t>
            </w:r>
            <w:r w:rsidR="00FB69BC" w:rsidRPr="00FB69BC">
              <w:rPr>
                <w:i/>
                <w:sz w:val="24"/>
                <w:szCs w:val="24"/>
                <w:lang w:val="en-GB"/>
              </w:rPr>
              <w:t xml:space="preserve"> of patients</w:t>
            </w:r>
          </w:p>
        </w:tc>
        <w:tc>
          <w:tcPr>
            <w:tcW w:w="850" w:type="dxa"/>
          </w:tcPr>
          <w:p w14:paraId="64A4A968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1C03DA2B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5AD55FDD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46CB7C9F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778C9B7" w14:textId="027AC660" w:rsidR="00606194" w:rsidRPr="00FB69BC" w:rsidRDefault="00606194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</w:rPr>
              <w:t>0.29</w:t>
            </w:r>
            <w:r w:rsidR="00FB69BC">
              <w:rPr>
                <w:sz w:val="24"/>
                <w:szCs w:val="24"/>
              </w:rPr>
              <w:t>0</w:t>
            </w:r>
          </w:p>
        </w:tc>
      </w:tr>
      <w:tr w:rsidR="00606194" w:rsidRPr="00FB69BC" w14:paraId="26C42420" w14:textId="77777777" w:rsidTr="00676CC2">
        <w:tc>
          <w:tcPr>
            <w:tcW w:w="4361" w:type="dxa"/>
          </w:tcPr>
          <w:p w14:paraId="6DADE747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Female</w:t>
            </w:r>
          </w:p>
        </w:tc>
        <w:tc>
          <w:tcPr>
            <w:tcW w:w="850" w:type="dxa"/>
          </w:tcPr>
          <w:p w14:paraId="438E8734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63</w:t>
            </w:r>
          </w:p>
        </w:tc>
        <w:tc>
          <w:tcPr>
            <w:tcW w:w="993" w:type="dxa"/>
          </w:tcPr>
          <w:p w14:paraId="4DE5ABD5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(47)</w:t>
            </w:r>
          </w:p>
        </w:tc>
        <w:tc>
          <w:tcPr>
            <w:tcW w:w="992" w:type="dxa"/>
          </w:tcPr>
          <w:p w14:paraId="7EFDF154" w14:textId="14CE4D7E" w:rsidR="00606194" w:rsidRPr="00FB69BC" w:rsidRDefault="0018491B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67</w:t>
            </w:r>
          </w:p>
        </w:tc>
        <w:tc>
          <w:tcPr>
            <w:tcW w:w="850" w:type="dxa"/>
          </w:tcPr>
          <w:p w14:paraId="6F201362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(41)</w:t>
            </w:r>
          </w:p>
        </w:tc>
        <w:tc>
          <w:tcPr>
            <w:tcW w:w="1134" w:type="dxa"/>
          </w:tcPr>
          <w:p w14:paraId="3C9477C9" w14:textId="77777777" w:rsidR="00606194" w:rsidRPr="00FB69BC" w:rsidRDefault="00606194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606194" w:rsidRPr="00FB69BC" w14:paraId="2B2D789A" w14:textId="77777777" w:rsidTr="00676CC2">
        <w:trPr>
          <w:trHeight w:val="280"/>
        </w:trPr>
        <w:tc>
          <w:tcPr>
            <w:tcW w:w="4361" w:type="dxa"/>
          </w:tcPr>
          <w:p w14:paraId="4DAAABC0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Male</w:t>
            </w:r>
          </w:p>
        </w:tc>
        <w:tc>
          <w:tcPr>
            <w:tcW w:w="850" w:type="dxa"/>
          </w:tcPr>
          <w:p w14:paraId="278BD392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70</w:t>
            </w:r>
          </w:p>
        </w:tc>
        <w:tc>
          <w:tcPr>
            <w:tcW w:w="993" w:type="dxa"/>
          </w:tcPr>
          <w:p w14:paraId="3A405451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(53)</w:t>
            </w:r>
          </w:p>
        </w:tc>
        <w:tc>
          <w:tcPr>
            <w:tcW w:w="992" w:type="dxa"/>
          </w:tcPr>
          <w:p w14:paraId="50EF7DD1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97</w:t>
            </w:r>
          </w:p>
        </w:tc>
        <w:tc>
          <w:tcPr>
            <w:tcW w:w="850" w:type="dxa"/>
          </w:tcPr>
          <w:p w14:paraId="0EBAA554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(59)</w:t>
            </w:r>
          </w:p>
        </w:tc>
        <w:tc>
          <w:tcPr>
            <w:tcW w:w="1134" w:type="dxa"/>
          </w:tcPr>
          <w:p w14:paraId="2965384C" w14:textId="77777777" w:rsidR="00606194" w:rsidRPr="00FB69BC" w:rsidRDefault="00606194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606194" w:rsidRPr="00FB69BC" w14:paraId="37BBBD51" w14:textId="77777777" w:rsidTr="00676CC2">
        <w:trPr>
          <w:trHeight w:val="280"/>
        </w:trPr>
        <w:tc>
          <w:tcPr>
            <w:tcW w:w="4361" w:type="dxa"/>
          </w:tcPr>
          <w:p w14:paraId="0A78803E" w14:textId="5C063271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i/>
                <w:sz w:val="24"/>
                <w:szCs w:val="24"/>
                <w:lang w:val="en-GB"/>
              </w:rPr>
              <w:t>Patients deceased at time of study</w:t>
            </w:r>
          </w:p>
        </w:tc>
        <w:tc>
          <w:tcPr>
            <w:tcW w:w="850" w:type="dxa"/>
          </w:tcPr>
          <w:p w14:paraId="4BDC8B43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  <w:lang w:val="en-GB"/>
              </w:rPr>
              <w:t>15</w:t>
            </w:r>
          </w:p>
        </w:tc>
        <w:tc>
          <w:tcPr>
            <w:tcW w:w="993" w:type="dxa"/>
          </w:tcPr>
          <w:p w14:paraId="66D760C7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  <w:lang w:val="en-GB"/>
              </w:rPr>
              <w:t>(11)</w:t>
            </w:r>
          </w:p>
        </w:tc>
        <w:tc>
          <w:tcPr>
            <w:tcW w:w="992" w:type="dxa"/>
          </w:tcPr>
          <w:p w14:paraId="6FA8B185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14:paraId="35AF257E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</w:rPr>
              <w:t>(25)</w:t>
            </w:r>
          </w:p>
        </w:tc>
        <w:tc>
          <w:tcPr>
            <w:tcW w:w="1134" w:type="dxa"/>
          </w:tcPr>
          <w:p w14:paraId="1B3E1516" w14:textId="3E6F9430" w:rsidR="00606194" w:rsidRPr="00FB69BC" w:rsidRDefault="0018491B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</w:tr>
      <w:tr w:rsidR="00606194" w:rsidRPr="00FB69BC" w14:paraId="296C6EA5" w14:textId="77777777" w:rsidTr="00676CC2">
        <w:trPr>
          <w:trHeight w:val="280"/>
        </w:trPr>
        <w:tc>
          <w:tcPr>
            <w:tcW w:w="4361" w:type="dxa"/>
          </w:tcPr>
          <w:p w14:paraId="385A9B7A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i/>
                <w:sz w:val="24"/>
                <w:szCs w:val="24"/>
                <w:lang w:val="en-GB"/>
              </w:rPr>
              <w:t>Diagnoses (ICCC-3 main group)</w:t>
            </w:r>
          </w:p>
        </w:tc>
        <w:tc>
          <w:tcPr>
            <w:tcW w:w="850" w:type="dxa"/>
          </w:tcPr>
          <w:p w14:paraId="070B6300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AE1BC02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F67DBB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424314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42F6F" w14:textId="0090A91B" w:rsidR="00606194" w:rsidRPr="00FB69BC" w:rsidRDefault="00606194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</w:rPr>
              <w:t>0.94</w:t>
            </w:r>
            <w:r w:rsidR="00450BED">
              <w:rPr>
                <w:sz w:val="24"/>
                <w:szCs w:val="24"/>
              </w:rPr>
              <w:t>7</w:t>
            </w:r>
          </w:p>
        </w:tc>
      </w:tr>
      <w:tr w:rsidR="00606194" w:rsidRPr="00FB69BC" w14:paraId="4E72B939" w14:textId="77777777" w:rsidTr="00676CC2">
        <w:trPr>
          <w:trHeight w:val="280"/>
        </w:trPr>
        <w:tc>
          <w:tcPr>
            <w:tcW w:w="4361" w:type="dxa"/>
          </w:tcPr>
          <w:p w14:paraId="3FDD880F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 xml:space="preserve">(1) </w:t>
            </w:r>
            <w:proofErr w:type="spellStart"/>
            <w:r w:rsidRPr="00FB69BC">
              <w:rPr>
                <w:sz w:val="24"/>
                <w:szCs w:val="24"/>
                <w:lang w:val="en-GB"/>
              </w:rPr>
              <w:t>Leukemia</w:t>
            </w:r>
            <w:proofErr w:type="spellEnd"/>
            <w:r w:rsidRPr="00FB69BC">
              <w:rPr>
                <w:sz w:val="24"/>
                <w:szCs w:val="24"/>
                <w:lang w:val="en-GB"/>
              </w:rPr>
              <w:t>, myeloproliferative diseases and myelodysplastic syndrome</w:t>
            </w:r>
          </w:p>
        </w:tc>
        <w:tc>
          <w:tcPr>
            <w:tcW w:w="850" w:type="dxa"/>
          </w:tcPr>
          <w:p w14:paraId="30B9724E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  <w:lang w:val="en-GB"/>
              </w:rPr>
              <w:t>41</w:t>
            </w:r>
          </w:p>
        </w:tc>
        <w:tc>
          <w:tcPr>
            <w:tcW w:w="993" w:type="dxa"/>
          </w:tcPr>
          <w:p w14:paraId="5562DF6B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  <w:lang w:val="en-GB"/>
              </w:rPr>
              <w:t>(31)</w:t>
            </w:r>
          </w:p>
        </w:tc>
        <w:tc>
          <w:tcPr>
            <w:tcW w:w="992" w:type="dxa"/>
          </w:tcPr>
          <w:p w14:paraId="4D21F7D8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14:paraId="2B2DE97E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</w:rPr>
              <w:t>(32)</w:t>
            </w:r>
          </w:p>
        </w:tc>
        <w:tc>
          <w:tcPr>
            <w:tcW w:w="1134" w:type="dxa"/>
          </w:tcPr>
          <w:p w14:paraId="1B636051" w14:textId="77777777" w:rsidR="00606194" w:rsidRPr="00FB69BC" w:rsidRDefault="00606194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606194" w:rsidRPr="00FB69BC" w14:paraId="2AC32237" w14:textId="77777777" w:rsidTr="00676CC2">
        <w:trPr>
          <w:trHeight w:val="280"/>
        </w:trPr>
        <w:tc>
          <w:tcPr>
            <w:tcW w:w="4361" w:type="dxa"/>
          </w:tcPr>
          <w:p w14:paraId="2238A995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>(2) Lymphoma and reticuloendothelial neoplasms</w:t>
            </w:r>
          </w:p>
        </w:tc>
        <w:tc>
          <w:tcPr>
            <w:tcW w:w="850" w:type="dxa"/>
          </w:tcPr>
          <w:p w14:paraId="72CE85DA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  <w:lang w:val="en-GB"/>
              </w:rPr>
              <w:t>21</w:t>
            </w:r>
          </w:p>
        </w:tc>
        <w:tc>
          <w:tcPr>
            <w:tcW w:w="993" w:type="dxa"/>
          </w:tcPr>
          <w:p w14:paraId="77F1FC65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  <w:lang w:val="en-GB"/>
              </w:rPr>
              <w:t>(16)</w:t>
            </w:r>
          </w:p>
        </w:tc>
        <w:tc>
          <w:tcPr>
            <w:tcW w:w="992" w:type="dxa"/>
          </w:tcPr>
          <w:p w14:paraId="196CA6CE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7847E6E7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</w:rPr>
              <w:t>(12)</w:t>
            </w:r>
          </w:p>
        </w:tc>
        <w:tc>
          <w:tcPr>
            <w:tcW w:w="1134" w:type="dxa"/>
          </w:tcPr>
          <w:p w14:paraId="7972235A" w14:textId="77777777" w:rsidR="00606194" w:rsidRPr="00FB69BC" w:rsidRDefault="00606194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606194" w:rsidRPr="00FB69BC" w14:paraId="2A9B9F73" w14:textId="77777777" w:rsidTr="00676CC2">
        <w:trPr>
          <w:trHeight w:val="280"/>
        </w:trPr>
        <w:tc>
          <w:tcPr>
            <w:tcW w:w="4361" w:type="dxa"/>
          </w:tcPr>
          <w:p w14:paraId="1B046ED3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 xml:space="preserve">(3) CNS </w:t>
            </w:r>
            <w:proofErr w:type="spellStart"/>
            <w:r w:rsidRPr="00FB69BC">
              <w:rPr>
                <w:sz w:val="24"/>
                <w:szCs w:val="24"/>
                <w:lang w:val="en-GB"/>
              </w:rPr>
              <w:t>tumors</w:t>
            </w:r>
            <w:proofErr w:type="spellEnd"/>
            <w:r w:rsidRPr="00FB69BC">
              <w:rPr>
                <w:sz w:val="24"/>
                <w:szCs w:val="24"/>
                <w:lang w:val="en-GB"/>
              </w:rPr>
              <w:t xml:space="preserve"> and miscellaneous intracranial and </w:t>
            </w:r>
            <w:proofErr w:type="spellStart"/>
            <w:r w:rsidRPr="00FB69BC">
              <w:rPr>
                <w:sz w:val="24"/>
                <w:szCs w:val="24"/>
                <w:lang w:val="en-GB"/>
              </w:rPr>
              <w:t>intraspinal</w:t>
            </w:r>
            <w:proofErr w:type="spellEnd"/>
            <w:r w:rsidRPr="00FB69BC">
              <w:rPr>
                <w:sz w:val="24"/>
                <w:szCs w:val="24"/>
                <w:lang w:val="en-GB"/>
              </w:rPr>
              <w:t xml:space="preserve"> neoplasms</w:t>
            </w:r>
          </w:p>
        </w:tc>
        <w:tc>
          <w:tcPr>
            <w:tcW w:w="850" w:type="dxa"/>
          </w:tcPr>
          <w:p w14:paraId="141C5C23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  <w:lang w:val="en-GB"/>
              </w:rPr>
              <w:t>32</w:t>
            </w:r>
          </w:p>
        </w:tc>
        <w:tc>
          <w:tcPr>
            <w:tcW w:w="993" w:type="dxa"/>
          </w:tcPr>
          <w:p w14:paraId="1F076922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  <w:lang w:val="en-GB"/>
              </w:rPr>
              <w:t>(24)</w:t>
            </w:r>
          </w:p>
        </w:tc>
        <w:tc>
          <w:tcPr>
            <w:tcW w:w="992" w:type="dxa"/>
          </w:tcPr>
          <w:p w14:paraId="7A58FC96" w14:textId="55596DB8" w:rsidR="00B34092" w:rsidRPr="00FB69BC" w:rsidRDefault="00B34092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14:paraId="42DF1262" w14:textId="53ADA655" w:rsidR="00606194" w:rsidRPr="00FB69BC" w:rsidRDefault="00B34092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</w:t>
            </w:r>
            <w:r w:rsidR="00606194" w:rsidRPr="00FB69B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2D1183D" w14:textId="77777777" w:rsidR="00606194" w:rsidRPr="00FB69BC" w:rsidRDefault="00606194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606194" w:rsidRPr="00FB69BC" w14:paraId="655A6FB8" w14:textId="77777777" w:rsidTr="00676CC2">
        <w:trPr>
          <w:trHeight w:val="280"/>
        </w:trPr>
        <w:tc>
          <w:tcPr>
            <w:tcW w:w="4361" w:type="dxa"/>
          </w:tcPr>
          <w:p w14:paraId="2F40B69A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 xml:space="preserve">(4) Neuroblastoma and other peripheral nervous cell </w:t>
            </w:r>
            <w:proofErr w:type="spellStart"/>
            <w:r w:rsidRPr="00FB69BC">
              <w:rPr>
                <w:sz w:val="24"/>
                <w:szCs w:val="24"/>
                <w:lang w:val="en-GB"/>
              </w:rPr>
              <w:t>tumors</w:t>
            </w:r>
            <w:proofErr w:type="spellEnd"/>
          </w:p>
        </w:tc>
        <w:tc>
          <w:tcPr>
            <w:tcW w:w="850" w:type="dxa"/>
          </w:tcPr>
          <w:p w14:paraId="60AA08C9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993" w:type="dxa"/>
          </w:tcPr>
          <w:p w14:paraId="761FF4DD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  <w:lang w:val="en-GB"/>
              </w:rPr>
              <w:t>(7)</w:t>
            </w:r>
          </w:p>
        </w:tc>
        <w:tc>
          <w:tcPr>
            <w:tcW w:w="992" w:type="dxa"/>
          </w:tcPr>
          <w:p w14:paraId="4301A710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172F67E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14:paraId="226705E9" w14:textId="77777777" w:rsidR="00606194" w:rsidRPr="00FB69BC" w:rsidRDefault="00606194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606194" w:rsidRPr="00FB69BC" w14:paraId="71A34355" w14:textId="77777777" w:rsidTr="00676CC2">
        <w:trPr>
          <w:trHeight w:val="280"/>
        </w:trPr>
        <w:tc>
          <w:tcPr>
            <w:tcW w:w="4361" w:type="dxa"/>
          </w:tcPr>
          <w:p w14:paraId="597CC8E6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 xml:space="preserve">(8) Malignant bone </w:t>
            </w:r>
            <w:proofErr w:type="spellStart"/>
            <w:r w:rsidRPr="00FB69BC">
              <w:rPr>
                <w:sz w:val="24"/>
                <w:szCs w:val="24"/>
                <w:lang w:val="en-GB"/>
              </w:rPr>
              <w:t>tumors</w:t>
            </w:r>
            <w:proofErr w:type="spellEnd"/>
          </w:p>
        </w:tc>
        <w:tc>
          <w:tcPr>
            <w:tcW w:w="850" w:type="dxa"/>
          </w:tcPr>
          <w:p w14:paraId="2333FE57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993" w:type="dxa"/>
          </w:tcPr>
          <w:p w14:paraId="1CB120D5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  <w:lang w:val="en-GB"/>
              </w:rPr>
              <w:t>(5)</w:t>
            </w:r>
          </w:p>
        </w:tc>
        <w:tc>
          <w:tcPr>
            <w:tcW w:w="992" w:type="dxa"/>
          </w:tcPr>
          <w:p w14:paraId="52453AF5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44F3AFF5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</w:rPr>
              <w:t>(5)</w:t>
            </w:r>
          </w:p>
        </w:tc>
        <w:tc>
          <w:tcPr>
            <w:tcW w:w="1134" w:type="dxa"/>
          </w:tcPr>
          <w:p w14:paraId="53B21382" w14:textId="77777777" w:rsidR="00606194" w:rsidRPr="00FB69BC" w:rsidRDefault="00606194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606194" w:rsidRPr="00FB69BC" w14:paraId="25ECA077" w14:textId="77777777" w:rsidTr="00676CC2">
        <w:trPr>
          <w:trHeight w:val="280"/>
        </w:trPr>
        <w:tc>
          <w:tcPr>
            <w:tcW w:w="4361" w:type="dxa"/>
          </w:tcPr>
          <w:p w14:paraId="1F5AFD4E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t xml:space="preserve">(9) Soft tissue and other </w:t>
            </w:r>
            <w:proofErr w:type="spellStart"/>
            <w:r w:rsidRPr="00FB69BC">
              <w:rPr>
                <w:sz w:val="24"/>
                <w:szCs w:val="24"/>
                <w:lang w:val="en-GB"/>
              </w:rPr>
              <w:t>extraosseous</w:t>
            </w:r>
            <w:proofErr w:type="spellEnd"/>
            <w:r w:rsidRPr="00FB69BC">
              <w:rPr>
                <w:sz w:val="24"/>
                <w:szCs w:val="24"/>
                <w:lang w:val="en-GB"/>
              </w:rPr>
              <w:t xml:space="preserve"> sarcomas</w:t>
            </w:r>
          </w:p>
        </w:tc>
        <w:tc>
          <w:tcPr>
            <w:tcW w:w="850" w:type="dxa"/>
          </w:tcPr>
          <w:p w14:paraId="00B462B2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993" w:type="dxa"/>
          </w:tcPr>
          <w:p w14:paraId="233AF379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  <w:lang w:val="en-GB"/>
              </w:rPr>
              <w:t>(6)</w:t>
            </w:r>
          </w:p>
        </w:tc>
        <w:tc>
          <w:tcPr>
            <w:tcW w:w="992" w:type="dxa"/>
          </w:tcPr>
          <w:p w14:paraId="279B3443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0830C260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</w:rPr>
              <w:t>(8)</w:t>
            </w:r>
          </w:p>
        </w:tc>
        <w:tc>
          <w:tcPr>
            <w:tcW w:w="1134" w:type="dxa"/>
          </w:tcPr>
          <w:p w14:paraId="519D9868" w14:textId="77777777" w:rsidR="00606194" w:rsidRPr="00FB69BC" w:rsidRDefault="00606194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606194" w:rsidRPr="00FB69BC" w14:paraId="3B34CA77" w14:textId="77777777" w:rsidTr="00676CC2">
        <w:trPr>
          <w:trHeight w:val="280"/>
        </w:trPr>
        <w:tc>
          <w:tcPr>
            <w:tcW w:w="4361" w:type="dxa"/>
          </w:tcPr>
          <w:p w14:paraId="01D4CCC0" w14:textId="7E2660DD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  <w:lang w:val="en-GB"/>
              </w:rPr>
            </w:pPr>
            <w:r w:rsidRPr="00FB69BC">
              <w:rPr>
                <w:sz w:val="24"/>
                <w:szCs w:val="24"/>
                <w:lang w:val="en-GB"/>
              </w:rPr>
              <w:lastRenderedPageBreak/>
              <w:t xml:space="preserve">Other diagnoses </w:t>
            </w:r>
            <w:r w:rsidR="00A7591F" w:rsidRPr="00FB69BC">
              <w:rPr>
                <w:sz w:val="24"/>
                <w:szCs w:val="24"/>
                <w:vertAlign w:val="superscript"/>
                <w:lang w:val="en-GB"/>
              </w:rPr>
              <w:t>b</w:t>
            </w:r>
            <w:r w:rsidRPr="00FB69BC">
              <w:rPr>
                <w:sz w:val="24"/>
                <w:szCs w:val="24"/>
                <w:vertAlign w:val="superscript"/>
                <w:lang w:val="en-GB"/>
              </w:rPr>
              <w:t>)</w:t>
            </w:r>
          </w:p>
        </w:tc>
        <w:tc>
          <w:tcPr>
            <w:tcW w:w="850" w:type="dxa"/>
          </w:tcPr>
          <w:p w14:paraId="5BBF9B38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  <w:lang w:val="en-GB"/>
              </w:rPr>
              <w:t>15</w:t>
            </w:r>
          </w:p>
        </w:tc>
        <w:tc>
          <w:tcPr>
            <w:tcW w:w="993" w:type="dxa"/>
          </w:tcPr>
          <w:p w14:paraId="60B29966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  <w:lang w:val="en-GB"/>
              </w:rPr>
              <w:t>(11)</w:t>
            </w:r>
          </w:p>
        </w:tc>
        <w:tc>
          <w:tcPr>
            <w:tcW w:w="992" w:type="dxa"/>
          </w:tcPr>
          <w:p w14:paraId="3EB3B7AB" w14:textId="77777777" w:rsidR="00606194" w:rsidRPr="00FB69BC" w:rsidRDefault="00606194" w:rsidP="00676CC2">
            <w:pPr>
              <w:pStyle w:val="Standa1"/>
              <w:spacing w:line="480" w:lineRule="auto"/>
              <w:jc w:val="right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0F99FE41" w14:textId="77777777" w:rsidR="00606194" w:rsidRPr="00FB69BC" w:rsidRDefault="00606194" w:rsidP="00676CC2">
            <w:pPr>
              <w:pStyle w:val="Standa1"/>
              <w:spacing w:line="480" w:lineRule="auto"/>
              <w:rPr>
                <w:sz w:val="24"/>
                <w:szCs w:val="24"/>
              </w:rPr>
            </w:pPr>
            <w:r w:rsidRPr="00FB69BC">
              <w:rPr>
                <w:sz w:val="24"/>
                <w:szCs w:val="24"/>
              </w:rPr>
              <w:t>(15)</w:t>
            </w:r>
          </w:p>
        </w:tc>
        <w:tc>
          <w:tcPr>
            <w:tcW w:w="1134" w:type="dxa"/>
          </w:tcPr>
          <w:p w14:paraId="21BBC301" w14:textId="77777777" w:rsidR="00606194" w:rsidRPr="00FB69BC" w:rsidRDefault="00606194" w:rsidP="00676CC2">
            <w:pPr>
              <w:pStyle w:val="Standa1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584CD38" w14:textId="77777777" w:rsidR="000D2239" w:rsidRPr="00DC232B" w:rsidRDefault="000D2239">
      <w:pPr>
        <w:rPr>
          <w:lang w:val="en-US"/>
        </w:rPr>
      </w:pPr>
      <w:bookmarkStart w:id="0" w:name="_GoBack"/>
      <w:bookmarkEnd w:id="0"/>
    </w:p>
    <w:p w14:paraId="32C1C74B" w14:textId="77777777" w:rsidR="000D2239" w:rsidRPr="00DC232B" w:rsidRDefault="000D2239">
      <w:pPr>
        <w:rPr>
          <w:lang w:val="en-US"/>
        </w:rPr>
      </w:pPr>
    </w:p>
    <w:sectPr w:rsidR="000D2239" w:rsidRPr="00DC232B" w:rsidSect="003756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9"/>
    <w:rsid w:val="0000466B"/>
    <w:rsid w:val="000136A6"/>
    <w:rsid w:val="000D2239"/>
    <w:rsid w:val="00116192"/>
    <w:rsid w:val="0018491B"/>
    <w:rsid w:val="00276612"/>
    <w:rsid w:val="002A6185"/>
    <w:rsid w:val="003756D4"/>
    <w:rsid w:val="00381B71"/>
    <w:rsid w:val="00430FAE"/>
    <w:rsid w:val="00450BED"/>
    <w:rsid w:val="004603A8"/>
    <w:rsid w:val="00494676"/>
    <w:rsid w:val="004F63BD"/>
    <w:rsid w:val="00584386"/>
    <w:rsid w:val="005C2278"/>
    <w:rsid w:val="00606194"/>
    <w:rsid w:val="00676CC2"/>
    <w:rsid w:val="00971654"/>
    <w:rsid w:val="00A7591F"/>
    <w:rsid w:val="00B10CB2"/>
    <w:rsid w:val="00B34092"/>
    <w:rsid w:val="00B45E2A"/>
    <w:rsid w:val="00D75EFE"/>
    <w:rsid w:val="00D82DBA"/>
    <w:rsid w:val="00D83A15"/>
    <w:rsid w:val="00DC232B"/>
    <w:rsid w:val="00F538B1"/>
    <w:rsid w:val="00F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F0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1">
    <w:name w:val="Standa1"/>
    <w:uiPriority w:val="99"/>
    <w:rsid w:val="000D2239"/>
    <w:rPr>
      <w:rFonts w:ascii="Times New Roman" w:eastAsia="Times New Roman" w:hAnsi="Times New Roman" w:cs="Times New Roman"/>
      <w:lang w:eastAsia="de-CH" w:bidi="de-DE"/>
    </w:rPr>
  </w:style>
  <w:style w:type="table" w:styleId="Tabellenraster">
    <w:name w:val="Table Grid"/>
    <w:basedOn w:val="NormaleTabelle"/>
    <w:uiPriority w:val="59"/>
    <w:rsid w:val="000D2239"/>
    <w:rPr>
      <w:rFonts w:ascii="Times New Roman" w:eastAsia="Times New Roman" w:hAnsi="Times New Roman" w:cs="Times New Roman"/>
      <w:sz w:val="20"/>
      <w:szCs w:val="20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DC232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C232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C2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C232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C232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C232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C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1">
    <w:name w:val="Standa1"/>
    <w:uiPriority w:val="99"/>
    <w:rsid w:val="000D2239"/>
    <w:rPr>
      <w:rFonts w:ascii="Times New Roman" w:eastAsia="Times New Roman" w:hAnsi="Times New Roman" w:cs="Times New Roman"/>
      <w:lang w:eastAsia="de-CH" w:bidi="de-DE"/>
    </w:rPr>
  </w:style>
  <w:style w:type="table" w:styleId="Tabellenraster">
    <w:name w:val="Table Grid"/>
    <w:basedOn w:val="NormaleTabelle"/>
    <w:uiPriority w:val="59"/>
    <w:rsid w:val="000D2239"/>
    <w:rPr>
      <w:rFonts w:ascii="Times New Roman" w:eastAsia="Times New Roman" w:hAnsi="Times New Roman" w:cs="Times New Roman"/>
      <w:sz w:val="20"/>
      <w:szCs w:val="20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DC232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C232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C2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C232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C232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C232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C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KIKOM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Torchetti</dc:creator>
  <cp:lastModifiedBy>Loredana Torchetti</cp:lastModifiedBy>
  <cp:revision>3</cp:revision>
  <dcterms:created xsi:type="dcterms:W3CDTF">2015-12-11T09:21:00Z</dcterms:created>
  <dcterms:modified xsi:type="dcterms:W3CDTF">2015-12-11T09:21:00Z</dcterms:modified>
</cp:coreProperties>
</file>