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A9" w:rsidRDefault="00FB7EA9" w:rsidP="008E418E">
      <w:pPr>
        <w:rPr>
          <w:b/>
          <w:lang w:val="en-GB"/>
        </w:rPr>
      </w:pPr>
      <w:bookmarkStart w:id="0" w:name="_GoBack"/>
      <w:r>
        <w:rPr>
          <w:b/>
          <w:lang w:val="en-GB"/>
        </w:rPr>
        <w:t xml:space="preserve">S2 Appendix. Stimulation, </w:t>
      </w:r>
      <w:r w:rsidRPr="00134500">
        <w:rPr>
          <w:b/>
          <w:lang w:val="en-GB"/>
        </w:rPr>
        <w:t>fluorescent barcoding</w:t>
      </w:r>
      <w:r>
        <w:rPr>
          <w:b/>
          <w:lang w:val="en-GB"/>
        </w:rPr>
        <w:t xml:space="preserve">, and monoclonal antibodies in the T-cell function assay. </w:t>
      </w:r>
    </w:p>
    <w:p w:rsidR="00FB7EA9" w:rsidRPr="00134500" w:rsidRDefault="00FB7EA9" w:rsidP="008E418E">
      <w:pPr>
        <w:rPr>
          <w:lang w:val="en-GB"/>
        </w:rPr>
      </w:pPr>
      <w:r>
        <w:rPr>
          <w:lang w:val="en-GB"/>
        </w:rPr>
        <w:t>H</w:t>
      </w:r>
      <w:r w:rsidRPr="00FB61A5">
        <w:rPr>
          <w:lang w:val="en-GB"/>
        </w:rPr>
        <w:t xml:space="preserve">eparinised whole blood was stimulated with either 10 </w:t>
      </w:r>
      <w:proofErr w:type="spellStart"/>
      <w:r w:rsidRPr="00FB61A5">
        <w:rPr>
          <w:lang w:val="en-GB"/>
        </w:rPr>
        <w:t>μg</w:t>
      </w:r>
      <w:proofErr w:type="spellEnd"/>
      <w:r w:rsidRPr="00FB61A5">
        <w:rPr>
          <w:lang w:val="en-GB"/>
        </w:rPr>
        <w:t xml:space="preserve">/ml purified protein derivative (PPD; </w:t>
      </w:r>
      <w:proofErr w:type="spellStart"/>
      <w:r w:rsidRPr="00FB61A5">
        <w:rPr>
          <w:lang w:val="en-GB"/>
        </w:rPr>
        <w:t>Statens</w:t>
      </w:r>
      <w:proofErr w:type="spellEnd"/>
      <w:r w:rsidRPr="00FB61A5">
        <w:rPr>
          <w:lang w:val="en-GB"/>
        </w:rPr>
        <w:t xml:space="preserve"> serum institute, </w:t>
      </w:r>
      <w:smartTag w:uri="urn:schemas-microsoft-com:office:smarttags" w:element="City">
        <w:r w:rsidRPr="00FB61A5">
          <w:rPr>
            <w:lang w:val="en-GB"/>
          </w:rPr>
          <w:t>Copenhagen</w:t>
        </w:r>
      </w:smartTag>
      <w:r w:rsidRPr="00FB61A5">
        <w:rPr>
          <w:lang w:val="en-GB"/>
        </w:rPr>
        <w:t xml:space="preserve">, </w:t>
      </w:r>
      <w:smartTag w:uri="urn:schemas-microsoft-com:office:smarttags" w:element="country-region">
        <w:r w:rsidRPr="00FB61A5">
          <w:rPr>
            <w:lang w:val="en-GB"/>
          </w:rPr>
          <w:t>Denmark</w:t>
        </w:r>
      </w:smartTag>
      <w:r w:rsidRPr="00FB61A5">
        <w:rPr>
          <w:lang w:val="en-GB"/>
        </w:rPr>
        <w:t xml:space="preserve">), 5 µg/ml Staphylococcal enterotoxin B (SEB; Sigma, </w:t>
      </w:r>
      <w:proofErr w:type="spellStart"/>
      <w:smartTag w:uri="urn:schemas-microsoft-com:office:smarttags" w:element="City">
        <w:r w:rsidRPr="00FB61A5">
          <w:rPr>
            <w:lang w:val="en-GB"/>
          </w:rPr>
          <w:t>Deisenhofen</w:t>
        </w:r>
      </w:smartTag>
      <w:proofErr w:type="spellEnd"/>
      <w:r w:rsidRPr="00FB61A5">
        <w:rPr>
          <w:lang w:val="en-GB"/>
        </w:rPr>
        <w:t xml:space="preserve">, </w:t>
      </w:r>
      <w:smartTag w:uri="urn:schemas-microsoft-com:office:smarttags" w:element="country-region">
        <w:r w:rsidRPr="00FB61A5">
          <w:rPr>
            <w:lang w:val="en-GB"/>
          </w:rPr>
          <w:t>Germany</w:t>
        </w:r>
      </w:smartTag>
      <w:r w:rsidRPr="00FB61A5">
        <w:rPr>
          <w:lang w:val="en-GB"/>
        </w:rPr>
        <w:t xml:space="preserve">), 100 µl anti-CD3 (in house stock of WT32, 1:10 diluted), 15 Lf/ml Tetanus toxoid (TT; </w:t>
      </w:r>
      <w:proofErr w:type="spellStart"/>
      <w:r w:rsidRPr="00FB61A5">
        <w:rPr>
          <w:lang w:val="en-GB"/>
        </w:rPr>
        <w:t>Statens</w:t>
      </w:r>
      <w:proofErr w:type="spellEnd"/>
      <w:r w:rsidRPr="00FB61A5">
        <w:rPr>
          <w:lang w:val="en-GB"/>
        </w:rPr>
        <w:t xml:space="preserve"> serum institute), or 5 µg/ml </w:t>
      </w:r>
      <w:proofErr w:type="spellStart"/>
      <w:r w:rsidRPr="00FB61A5">
        <w:rPr>
          <w:lang w:val="en-GB"/>
        </w:rPr>
        <w:t>phytohemagglutinin</w:t>
      </w:r>
      <w:proofErr w:type="spellEnd"/>
      <w:r w:rsidRPr="00FB61A5">
        <w:rPr>
          <w:lang w:val="en-GB"/>
        </w:rPr>
        <w:t xml:space="preserve"> (PHA; </w:t>
      </w:r>
      <w:proofErr w:type="spellStart"/>
      <w:r w:rsidRPr="00FB61A5">
        <w:rPr>
          <w:lang w:val="en-GB"/>
        </w:rPr>
        <w:t>Remel</w:t>
      </w:r>
      <w:proofErr w:type="spellEnd"/>
      <w:r w:rsidRPr="00FB61A5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FB61A5">
              <w:rPr>
                <w:lang w:val="en-GB"/>
              </w:rPr>
              <w:t>Lenexa</w:t>
            </w:r>
          </w:smartTag>
          <w:r w:rsidRPr="00FB61A5">
            <w:rPr>
              <w:lang w:val="en-GB"/>
            </w:rPr>
            <w:t xml:space="preserve">, </w:t>
          </w:r>
          <w:smartTag w:uri="urn:schemas-microsoft-com:office:smarttags" w:element="State">
            <w:r w:rsidRPr="00FB61A5">
              <w:rPr>
                <w:lang w:val="en-GB"/>
              </w:rPr>
              <w:t>KS</w:t>
            </w:r>
          </w:smartTag>
          <w:r w:rsidRPr="00FB61A5">
            <w:rPr>
              <w:lang w:val="en-GB"/>
            </w:rPr>
            <w:t xml:space="preserve">, </w:t>
          </w:r>
          <w:smartTag w:uri="urn:schemas-microsoft-com:office:smarttags" w:element="country-region">
            <w:r w:rsidRPr="00FB61A5">
              <w:rPr>
                <w:lang w:val="en-GB"/>
              </w:rPr>
              <w:t>USA</w:t>
            </w:r>
          </w:smartTag>
        </w:smartTag>
      </w:smartTag>
      <w:r w:rsidRPr="00FB61A5">
        <w:rPr>
          <w:lang w:val="en-GB"/>
        </w:rPr>
        <w:t xml:space="preserve">). Unstimulated blood was used as negative control. To all samples, except PHA and SEB stimulated samples, 2 µl CD28/CD49d (1 mg/ml) was added. After 2 hours of incubation at 37ºC, 2 µl </w:t>
      </w:r>
      <w:proofErr w:type="spellStart"/>
      <w:r w:rsidRPr="00FB61A5">
        <w:rPr>
          <w:lang w:val="en-GB"/>
        </w:rPr>
        <w:t>Brefaldin</w:t>
      </w:r>
      <w:proofErr w:type="spellEnd"/>
      <w:r w:rsidRPr="00FB61A5">
        <w:rPr>
          <w:lang w:val="en-GB"/>
        </w:rPr>
        <w:t xml:space="preserve"> A (1 mg/ml) was added, and the samples were incubated for another 18-22 hours. After incubation and </w:t>
      </w:r>
      <w:proofErr w:type="spellStart"/>
      <w:r w:rsidRPr="00FB61A5">
        <w:rPr>
          <w:lang w:val="en-GB"/>
        </w:rPr>
        <w:t>lysation</w:t>
      </w:r>
      <w:proofErr w:type="spellEnd"/>
      <w:r w:rsidRPr="00FB61A5">
        <w:rPr>
          <w:lang w:val="en-GB"/>
        </w:rPr>
        <w:t>, samples were stained with different concentrations of Pacific Orange and/or Pacific Blue for fluorescent barcoding (</w:t>
      </w:r>
      <w:smartTag w:uri="urn:schemas-microsoft-com:office:smarttags" w:element="place">
        <w:smartTag w:uri="urn:schemas-microsoft-com:office:smarttags" w:element="City">
          <w:r w:rsidRPr="00FB61A5">
            <w:rPr>
              <w:lang w:val="en-GB"/>
            </w:rPr>
            <w:t>Invitrogen Carlsbad</w:t>
          </w:r>
        </w:smartTag>
        <w:r w:rsidRPr="00FB61A5">
          <w:rPr>
            <w:lang w:val="en-GB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FB61A5">
              <w:rPr>
                <w:lang w:val="en-GB"/>
              </w:rPr>
              <w:t>CA</w:t>
            </w:r>
          </w:smartTag>
        </w:smartTag>
        <w:r w:rsidRPr="00FB61A5">
          <w:rPr>
            <w:lang w:val="en-GB"/>
          </w:rPr>
          <w:t xml:space="preserve">, </w:t>
        </w:r>
        <w:smartTag w:uri="urn:schemas-microsoft-com:office:smarttags" w:element="place">
          <w:r w:rsidRPr="00FB61A5">
            <w:rPr>
              <w:lang w:val="en-GB"/>
            </w:rPr>
            <w:t>USA</w:t>
          </w:r>
        </w:smartTag>
      </w:smartTag>
      <w:r w:rsidRPr="00FB61A5">
        <w:rPr>
          <w:lang w:val="en-GB"/>
        </w:rPr>
        <w:t>). Subsequently, samples were stained with the following monoclonal antibodies: CD3-FITC (UCHT1), CD4-PE-Cy7 (SK3), CD8-PerCP (SK1), CD69-APC-Cy7 (FN50), IFN-γ-PE (B27), TNF-α-APC (Mab11), IL-2-PE (MQ1-17H12), and IL-4-APC (8D4-8).</w:t>
      </w:r>
      <w:r>
        <w:rPr>
          <w:lang w:val="en-GB"/>
        </w:rPr>
        <w:t xml:space="preserve"> IFN-γ-PE and IL-2-PE were stained in separate tubes. The same applies for TNF-α-APC and IL-4-APC.</w:t>
      </w:r>
      <w:r w:rsidRPr="00FB61A5">
        <w:rPr>
          <w:lang w:val="en-GB"/>
        </w:rPr>
        <w:t xml:space="preserve"> All reagents were purchased from Becton Dickinson.</w:t>
      </w:r>
    </w:p>
    <w:bookmarkEnd w:id="0"/>
    <w:p w:rsidR="00FB7EA9" w:rsidRDefault="00FB7EA9"/>
    <w:sectPr w:rsidR="00FB7EA9" w:rsidSect="007D0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E"/>
    <w:rsid w:val="00134500"/>
    <w:rsid w:val="005A7F61"/>
    <w:rsid w:val="00634CB0"/>
    <w:rsid w:val="007D0AB7"/>
    <w:rsid w:val="008A5FA1"/>
    <w:rsid w:val="008A681A"/>
    <w:rsid w:val="008E418E"/>
    <w:rsid w:val="009745CB"/>
    <w:rsid w:val="009835F2"/>
    <w:rsid w:val="00C46971"/>
    <w:rsid w:val="00EE1813"/>
    <w:rsid w:val="00FB61A5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18E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18E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S2 Appendix</vt:lpstr>
    </vt:vector>
  </TitlesOfParts>
  <Company>Universitair Medisch Centrum Groningen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Appendix</dc:title>
  <dc:creator>Monica Wong</dc:creator>
  <cp:lastModifiedBy>Monica Wong</cp:lastModifiedBy>
  <cp:revision>2</cp:revision>
  <dcterms:created xsi:type="dcterms:W3CDTF">2015-10-19T10:26:00Z</dcterms:created>
  <dcterms:modified xsi:type="dcterms:W3CDTF">2015-10-19T10:26:00Z</dcterms:modified>
</cp:coreProperties>
</file>