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A27" w:rsidRPr="00C25CEF" w:rsidRDefault="00010AE2" w:rsidP="00EF1E8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25CEF">
        <w:rPr>
          <w:rFonts w:ascii="Arial" w:hAnsi="Arial" w:cs="Arial"/>
          <w:b/>
        </w:rPr>
        <w:t>Su</w:t>
      </w:r>
      <w:r w:rsidR="00597E19" w:rsidRPr="00C25CEF">
        <w:rPr>
          <w:rFonts w:ascii="Arial" w:hAnsi="Arial" w:cs="Arial"/>
          <w:b/>
        </w:rPr>
        <w:t>pporting Information</w:t>
      </w:r>
    </w:p>
    <w:p w:rsidR="00EF1E8C" w:rsidRPr="00C25CEF" w:rsidRDefault="00EF1E8C" w:rsidP="00EF1E8C">
      <w:pPr>
        <w:rPr>
          <w:rFonts w:ascii="Arial" w:hAnsi="Arial" w:cs="Arial"/>
          <w:sz w:val="24"/>
          <w:szCs w:val="24"/>
        </w:rPr>
      </w:pPr>
    </w:p>
    <w:p w:rsidR="001350D1" w:rsidRPr="00C25CEF" w:rsidRDefault="001350D1" w:rsidP="001350D1">
      <w:pPr>
        <w:spacing w:line="480" w:lineRule="auto"/>
        <w:contextualSpacing/>
        <w:rPr>
          <w:rFonts w:ascii="Arial" w:hAnsi="Arial" w:cs="Arial"/>
        </w:rPr>
      </w:pPr>
      <w:r w:rsidRPr="00C25CEF">
        <w:rPr>
          <w:rFonts w:ascii="Arial" w:hAnsi="Arial" w:cs="Arial"/>
        </w:rPr>
        <w:t xml:space="preserve">Associations of circulating lymphocyte subpopulations with type 2 diabetes: </w:t>
      </w:r>
      <w:r w:rsidR="00647E58" w:rsidRPr="00C25CEF">
        <w:rPr>
          <w:rFonts w:ascii="Arial" w:hAnsi="Arial" w:cs="Arial"/>
        </w:rPr>
        <w:t xml:space="preserve">cross-sectional </w:t>
      </w:r>
      <w:r w:rsidRPr="00C25CEF">
        <w:rPr>
          <w:rFonts w:ascii="Arial" w:hAnsi="Arial" w:cs="Arial"/>
        </w:rPr>
        <w:t xml:space="preserve">results from the Multi-Ethnic Study of Atherosclerosis (MESA) </w:t>
      </w:r>
    </w:p>
    <w:p w:rsidR="00C148CF" w:rsidRPr="00C25CEF" w:rsidRDefault="00C148CF" w:rsidP="00C148CF">
      <w:pPr>
        <w:spacing w:line="480" w:lineRule="auto"/>
        <w:contextualSpacing/>
        <w:rPr>
          <w:rFonts w:ascii="Arial" w:hAnsi="Arial" w:cs="Arial"/>
        </w:rPr>
      </w:pPr>
    </w:p>
    <w:p w:rsidR="00C25CEF" w:rsidRPr="00C25CEF" w:rsidRDefault="00C25CEF" w:rsidP="00C25CEF">
      <w:pPr>
        <w:spacing w:line="480" w:lineRule="auto"/>
        <w:contextualSpacing/>
        <w:rPr>
          <w:rFonts w:ascii="Arial" w:hAnsi="Arial" w:cs="Arial"/>
          <w:vertAlign w:val="superscript"/>
        </w:rPr>
      </w:pPr>
      <w:r w:rsidRPr="00C25CEF">
        <w:rPr>
          <w:rFonts w:ascii="Arial" w:hAnsi="Arial" w:cs="Arial"/>
        </w:rPr>
        <w:t>Nels C. Olson</w:t>
      </w:r>
      <w:r w:rsidRPr="00C25CEF">
        <w:rPr>
          <w:rFonts w:ascii="Arial" w:hAnsi="Arial" w:cs="Arial"/>
          <w:vertAlign w:val="superscript"/>
        </w:rPr>
        <w:t>1</w:t>
      </w:r>
      <w:r w:rsidRPr="00C25CEF">
        <w:rPr>
          <w:rFonts w:ascii="Arial" w:hAnsi="Arial" w:cs="Arial"/>
        </w:rPr>
        <w:t>, Margaret F. Doyle</w:t>
      </w:r>
      <w:r w:rsidRPr="00C25CEF">
        <w:rPr>
          <w:rFonts w:ascii="Arial" w:hAnsi="Arial" w:cs="Arial"/>
          <w:vertAlign w:val="superscript"/>
        </w:rPr>
        <w:t>1</w:t>
      </w:r>
      <w:r w:rsidRPr="00C25CEF">
        <w:rPr>
          <w:rFonts w:ascii="Arial" w:hAnsi="Arial" w:cs="Arial"/>
        </w:rPr>
        <w:t>, Ian H. de Boer</w:t>
      </w:r>
      <w:r w:rsidRPr="00C25CEF">
        <w:rPr>
          <w:rFonts w:ascii="Arial" w:hAnsi="Arial" w:cs="Arial"/>
          <w:vertAlign w:val="superscript"/>
        </w:rPr>
        <w:t>2,3</w:t>
      </w:r>
      <w:r w:rsidRPr="00C25CEF">
        <w:rPr>
          <w:rFonts w:ascii="Arial" w:hAnsi="Arial" w:cs="Arial"/>
        </w:rPr>
        <w:t>, Sally A. Huber</w:t>
      </w:r>
      <w:r w:rsidRPr="00C25CEF">
        <w:rPr>
          <w:rFonts w:ascii="Arial" w:hAnsi="Arial" w:cs="Arial"/>
          <w:vertAlign w:val="superscript"/>
        </w:rPr>
        <w:t>1</w:t>
      </w:r>
      <w:r w:rsidRPr="00C25CEF">
        <w:rPr>
          <w:rFonts w:ascii="Arial" w:hAnsi="Arial" w:cs="Arial"/>
        </w:rPr>
        <w:t>, Nancy Swords Jenny</w:t>
      </w:r>
      <w:r w:rsidRPr="00C25CEF">
        <w:rPr>
          <w:rFonts w:ascii="Arial" w:hAnsi="Arial" w:cs="Arial"/>
          <w:vertAlign w:val="superscript"/>
        </w:rPr>
        <w:t>1</w:t>
      </w:r>
      <w:r w:rsidRPr="00C25CEF">
        <w:rPr>
          <w:rFonts w:ascii="Arial" w:hAnsi="Arial" w:cs="Arial"/>
        </w:rPr>
        <w:t>, Richard A. Kronmal</w:t>
      </w:r>
      <w:r w:rsidRPr="00C25CEF">
        <w:rPr>
          <w:rFonts w:ascii="Arial" w:hAnsi="Arial" w:cs="Arial"/>
          <w:vertAlign w:val="superscript"/>
        </w:rPr>
        <w:t>4</w:t>
      </w:r>
      <w:r w:rsidRPr="00C25CEF">
        <w:rPr>
          <w:rFonts w:ascii="Arial" w:hAnsi="Arial" w:cs="Arial"/>
        </w:rPr>
        <w:t>, Bruce M. Psaty</w:t>
      </w:r>
      <w:r w:rsidRPr="00C25CEF">
        <w:rPr>
          <w:rFonts w:ascii="Arial" w:hAnsi="Arial" w:cs="Arial"/>
          <w:vertAlign w:val="superscript"/>
        </w:rPr>
        <w:t>5,6</w:t>
      </w:r>
      <w:r w:rsidRPr="00C25CEF">
        <w:rPr>
          <w:rFonts w:ascii="Arial" w:hAnsi="Arial" w:cs="Arial"/>
        </w:rPr>
        <w:t>, and</w:t>
      </w:r>
      <w:r w:rsidRPr="00C25CEF">
        <w:rPr>
          <w:rFonts w:ascii="Arial" w:hAnsi="Arial" w:cs="Arial"/>
          <w:vertAlign w:val="superscript"/>
        </w:rPr>
        <w:t xml:space="preserve"> </w:t>
      </w:r>
      <w:r w:rsidRPr="00C25CEF">
        <w:rPr>
          <w:rFonts w:ascii="Arial" w:hAnsi="Arial" w:cs="Arial"/>
        </w:rPr>
        <w:t>Russell P. Tracy</w:t>
      </w:r>
      <w:r w:rsidRPr="00C25CEF">
        <w:rPr>
          <w:rFonts w:ascii="Arial" w:hAnsi="Arial" w:cs="Arial"/>
          <w:vertAlign w:val="superscript"/>
        </w:rPr>
        <w:t>1, 7*</w:t>
      </w:r>
    </w:p>
    <w:p w:rsidR="00C25CEF" w:rsidRPr="00C25CEF" w:rsidRDefault="00C25CEF" w:rsidP="00C25CEF">
      <w:pPr>
        <w:spacing w:line="480" w:lineRule="auto"/>
        <w:contextualSpacing/>
        <w:rPr>
          <w:rFonts w:ascii="Arial" w:hAnsi="Arial" w:cs="Arial"/>
        </w:rPr>
      </w:pPr>
    </w:p>
    <w:p w:rsidR="00C25CEF" w:rsidRPr="00C25CEF" w:rsidRDefault="00C25CEF" w:rsidP="00C25CEF">
      <w:pPr>
        <w:spacing w:line="480" w:lineRule="auto"/>
        <w:contextualSpacing/>
        <w:rPr>
          <w:rFonts w:ascii="Arial" w:hAnsi="Arial" w:cs="Arial"/>
        </w:rPr>
      </w:pPr>
      <w:r w:rsidRPr="00C25CEF">
        <w:rPr>
          <w:rFonts w:ascii="Arial" w:hAnsi="Arial" w:cs="Arial"/>
        </w:rPr>
        <w:t>Departments of Pathology and Laboratory Medicine</w:t>
      </w:r>
      <w:r w:rsidRPr="00C25CEF">
        <w:rPr>
          <w:rFonts w:ascii="Arial" w:hAnsi="Arial" w:cs="Arial"/>
          <w:vertAlign w:val="superscript"/>
        </w:rPr>
        <w:t>1</w:t>
      </w:r>
      <w:r w:rsidRPr="00C25CEF">
        <w:rPr>
          <w:rFonts w:ascii="Arial" w:hAnsi="Arial" w:cs="Arial"/>
        </w:rPr>
        <w:t xml:space="preserve"> and Biochemistry</w:t>
      </w:r>
      <w:r w:rsidRPr="00C25CEF">
        <w:rPr>
          <w:rFonts w:ascii="Arial" w:hAnsi="Arial" w:cs="Arial"/>
          <w:vertAlign w:val="superscript"/>
        </w:rPr>
        <w:t>7</w:t>
      </w:r>
      <w:r w:rsidRPr="00C25CEF">
        <w:rPr>
          <w:rFonts w:ascii="Arial" w:hAnsi="Arial" w:cs="Arial"/>
        </w:rPr>
        <w:t xml:space="preserve">, University of Vermont College of Medicine, Burlington, Vermont, United States of America  </w:t>
      </w:r>
    </w:p>
    <w:p w:rsidR="00C25CEF" w:rsidRPr="00C25CEF" w:rsidRDefault="00C25CEF" w:rsidP="00C25CEF">
      <w:pPr>
        <w:autoSpaceDE w:val="0"/>
        <w:autoSpaceDN w:val="0"/>
        <w:adjustRightInd w:val="0"/>
        <w:spacing w:line="480" w:lineRule="auto"/>
        <w:contextualSpacing/>
        <w:rPr>
          <w:rFonts w:ascii="Arial" w:hAnsi="Arial" w:cs="Arial"/>
        </w:rPr>
      </w:pPr>
      <w:r w:rsidRPr="00C25CEF">
        <w:rPr>
          <w:rFonts w:ascii="Arial" w:hAnsi="Arial" w:cs="Arial"/>
          <w:vertAlign w:val="superscript"/>
        </w:rPr>
        <w:t>2</w:t>
      </w:r>
      <w:r w:rsidRPr="00C25CEF">
        <w:rPr>
          <w:rFonts w:ascii="Arial" w:eastAsiaTheme="minorHAnsi" w:hAnsi="Arial" w:cs="Arial"/>
          <w:szCs w:val="24"/>
        </w:rPr>
        <w:t xml:space="preserve">Division of Nephrology, Department of Medicine, and </w:t>
      </w:r>
      <w:r w:rsidRPr="00C25CEF">
        <w:rPr>
          <w:rFonts w:ascii="Arial" w:hAnsi="Arial" w:cs="Arial"/>
          <w:vertAlign w:val="superscript"/>
        </w:rPr>
        <w:t>3</w:t>
      </w:r>
      <w:r w:rsidRPr="00C25CEF">
        <w:rPr>
          <w:rFonts w:ascii="Arial" w:eastAsiaTheme="minorHAnsi" w:hAnsi="Arial" w:cs="Arial"/>
          <w:szCs w:val="24"/>
        </w:rPr>
        <w:t xml:space="preserve">Kidney Research Institute, University of Washington, Seattle, Washington, </w:t>
      </w:r>
      <w:r w:rsidRPr="00C25CEF">
        <w:rPr>
          <w:rFonts w:ascii="Arial" w:hAnsi="Arial" w:cs="Arial"/>
        </w:rPr>
        <w:t>United States of America</w:t>
      </w:r>
    </w:p>
    <w:p w:rsidR="00C25CEF" w:rsidRPr="00C25CEF" w:rsidRDefault="00C25CEF" w:rsidP="00C25CEF">
      <w:pPr>
        <w:spacing w:line="480" w:lineRule="auto"/>
        <w:contextualSpacing/>
        <w:rPr>
          <w:rFonts w:ascii="Arial" w:hAnsi="Arial" w:cs="Arial"/>
        </w:rPr>
      </w:pPr>
      <w:r w:rsidRPr="00C25CEF">
        <w:rPr>
          <w:rFonts w:ascii="Arial" w:hAnsi="Arial" w:cs="Arial"/>
          <w:vertAlign w:val="superscript"/>
        </w:rPr>
        <w:t>4</w:t>
      </w:r>
      <w:r w:rsidRPr="00C25CEF">
        <w:rPr>
          <w:rFonts w:ascii="Arial" w:hAnsi="Arial" w:cs="Arial"/>
        </w:rPr>
        <w:t>Collaborative Health Studies Coordinating Center, Department of Biostatistics, University of  Washington, Seattle, Washington, United States of America</w:t>
      </w:r>
    </w:p>
    <w:p w:rsidR="00C25CEF" w:rsidRPr="00C25CEF" w:rsidRDefault="00C25CEF" w:rsidP="00C25CEF">
      <w:pPr>
        <w:spacing w:line="480" w:lineRule="auto"/>
        <w:contextualSpacing/>
        <w:rPr>
          <w:rFonts w:ascii="Arial" w:hAnsi="Arial" w:cs="Arial"/>
        </w:rPr>
      </w:pPr>
      <w:r w:rsidRPr="00C25CEF">
        <w:rPr>
          <w:rFonts w:ascii="Arial" w:hAnsi="Arial" w:cs="Arial"/>
          <w:vertAlign w:val="superscript"/>
        </w:rPr>
        <w:t>5</w:t>
      </w:r>
      <w:r w:rsidRPr="00C25CEF">
        <w:rPr>
          <w:rFonts w:ascii="Arial" w:hAnsi="Arial" w:cs="Arial"/>
        </w:rPr>
        <w:t xml:space="preserve">Departments of Medicine, Epidemiology, Health Services, and Cardiovascular Health Research Unit, University of Washington, Seattle, Washington, United States of America </w:t>
      </w:r>
    </w:p>
    <w:p w:rsidR="00C25CEF" w:rsidRPr="00C25CEF" w:rsidRDefault="00C25CEF" w:rsidP="00C25CEF">
      <w:pPr>
        <w:spacing w:line="480" w:lineRule="auto"/>
        <w:contextualSpacing/>
        <w:rPr>
          <w:rFonts w:ascii="Arial" w:hAnsi="Arial" w:cs="Arial"/>
        </w:rPr>
      </w:pPr>
      <w:r w:rsidRPr="00C25CEF">
        <w:rPr>
          <w:rFonts w:ascii="Arial" w:hAnsi="Arial" w:cs="Arial"/>
          <w:vertAlign w:val="superscript"/>
        </w:rPr>
        <w:t>6</w:t>
      </w:r>
      <w:r w:rsidRPr="00C25CEF">
        <w:rPr>
          <w:rFonts w:ascii="Arial" w:hAnsi="Arial" w:cs="Arial"/>
        </w:rPr>
        <w:t>Group Health Research Institute, Group Health Cooperative, Seattle, Washington, United States of America</w:t>
      </w:r>
    </w:p>
    <w:p w:rsidR="001049B3" w:rsidRPr="00C25CEF" w:rsidRDefault="001049B3" w:rsidP="001049B3">
      <w:pPr>
        <w:spacing w:line="480" w:lineRule="auto"/>
        <w:contextualSpacing/>
        <w:rPr>
          <w:rFonts w:ascii="Arial" w:hAnsi="Arial" w:cs="Arial"/>
        </w:rPr>
      </w:pPr>
      <w:r w:rsidRPr="00C25CEF">
        <w:rPr>
          <w:rFonts w:ascii="Arial" w:hAnsi="Arial" w:cs="Arial"/>
        </w:rPr>
        <w:t>* Corresponding author</w:t>
      </w:r>
    </w:p>
    <w:p w:rsidR="001049B3" w:rsidRPr="00B52C50" w:rsidRDefault="001049B3" w:rsidP="00C148CF">
      <w:pPr>
        <w:spacing w:line="480" w:lineRule="auto"/>
        <w:contextualSpacing/>
        <w:rPr>
          <w:rFonts w:ascii="Arial" w:hAnsi="Arial" w:cs="Arial"/>
        </w:rPr>
      </w:pPr>
    </w:p>
    <w:p w:rsidR="00AC130E" w:rsidRPr="00AC130E" w:rsidRDefault="00AC130E" w:rsidP="00AC130E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DB7" w:rsidRDefault="00901DB7" w:rsidP="004B07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4954" w:rsidRDefault="001F4954" w:rsidP="004B07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986" w:rsidRDefault="00434986" w:rsidP="004B07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4954" w:rsidRDefault="001F4954" w:rsidP="004B07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F4954" w:rsidRDefault="001F4954" w:rsidP="004B07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F4954" w:rsidRDefault="001F4954" w:rsidP="004B07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F4954" w:rsidRDefault="001F4954" w:rsidP="004B07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25CEF" w:rsidRDefault="00C25CEF" w:rsidP="004B07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1DB7" w:rsidRPr="007812D3" w:rsidRDefault="00B95987" w:rsidP="004B07C1">
      <w:pPr>
        <w:spacing w:line="240" w:lineRule="auto"/>
        <w:contextualSpacing/>
        <w:rPr>
          <w:rFonts w:ascii="Arial" w:hAnsi="Arial" w:cs="Arial"/>
          <w:b/>
        </w:rPr>
      </w:pPr>
      <w:r w:rsidRPr="007812D3">
        <w:rPr>
          <w:rFonts w:ascii="Arial" w:hAnsi="Arial" w:cs="Arial"/>
          <w:b/>
        </w:rPr>
        <w:lastRenderedPageBreak/>
        <w:t xml:space="preserve">Cellular </w:t>
      </w:r>
      <w:r w:rsidR="0039291D" w:rsidRPr="007812D3">
        <w:rPr>
          <w:rFonts w:ascii="Arial" w:hAnsi="Arial" w:cs="Arial"/>
          <w:b/>
        </w:rPr>
        <w:t>p</w:t>
      </w:r>
      <w:r w:rsidRPr="007812D3">
        <w:rPr>
          <w:rFonts w:ascii="Arial" w:hAnsi="Arial" w:cs="Arial"/>
          <w:b/>
        </w:rPr>
        <w:t xml:space="preserve">henotyping </w:t>
      </w:r>
      <w:r w:rsidR="0039291D" w:rsidRPr="007812D3">
        <w:rPr>
          <w:rFonts w:ascii="Arial" w:hAnsi="Arial" w:cs="Arial"/>
          <w:b/>
        </w:rPr>
        <w:t>quality assurance measures</w:t>
      </w:r>
    </w:p>
    <w:p w:rsidR="00B95987" w:rsidRPr="007812D3" w:rsidRDefault="00B95987" w:rsidP="004B07C1">
      <w:pPr>
        <w:spacing w:line="240" w:lineRule="auto"/>
        <w:contextualSpacing/>
        <w:rPr>
          <w:rFonts w:ascii="Arial" w:hAnsi="Arial" w:cs="Arial"/>
        </w:rPr>
      </w:pPr>
    </w:p>
    <w:p w:rsidR="00886AC4" w:rsidRPr="007812D3" w:rsidRDefault="00886AC4" w:rsidP="00E419C1">
      <w:pPr>
        <w:autoSpaceDE w:val="0"/>
        <w:autoSpaceDN w:val="0"/>
        <w:adjustRightInd w:val="0"/>
        <w:spacing w:after="0" w:line="480" w:lineRule="auto"/>
        <w:ind w:firstLine="720"/>
        <w:contextualSpacing/>
        <w:rPr>
          <w:rFonts w:ascii="Arial" w:hAnsi="Arial" w:cs="Arial"/>
        </w:rPr>
      </w:pPr>
      <w:r w:rsidRPr="007812D3">
        <w:rPr>
          <w:rFonts w:ascii="Arial" w:hAnsi="Arial" w:cs="Arial"/>
        </w:rPr>
        <w:t xml:space="preserve">Protocol development and quality assurance measures for the MESA-Inflammation study have been reported </w:t>
      </w:r>
      <w:r w:rsidRPr="007812D3">
        <w:rPr>
          <w:rFonts w:ascii="Arial" w:hAnsi="Arial" w:cs="Arial"/>
        </w:rPr>
        <w:fldChar w:fldCharType="begin">
          <w:fldData xml:space="preserve">PEVuZE5vdGU+PENpdGU+PEF1dGhvcj5UcmFjeTwvQXV0aG9yPjxZZWFyPjIwMTM8L1llYXI+PFJl
Y051bT40NjwvUmVjTnVtPjxEaXNwbGF5VGV4dD5bMSwgMl08L0Rpc3BsYXlUZXh0PjxyZWNvcmQ+
PHJlYy1udW1iZXI+NDY8L3JlYy1udW1iZXI+PGZvcmVpZ24ta2V5cz48a2V5IGFwcD0iRU4iIGRi
LWlkPSJ0dmFyenpzMjNyOXI5b2VwNXMydjlmdGdkdzA5cHRwOWVkdDUiIHRpbWVzdGFtcD0iMCI+
NDY8L2tleT48L2ZvcmVpZ24ta2V5cz48cmVmLXR5cGUgbmFtZT0iSm91cm5hbCBBcnRpY2xlIj4x
NzwvcmVmLXR5cGU+PGNvbnRyaWJ1dG9ycz48YXV0aG9ycz48YXV0aG9yPlRyYWN5LCBSLiBQLjwv
YXV0aG9yPjxhdXRob3I+RG95bGUsIE0uIEYuPC9hdXRob3I+PGF1dGhvcj5PbHNvbiwgTi4gQy48
L2F1dGhvcj48YXV0aG9yPkh1YmVyLCBTLiBBLjwvYXV0aG9yPjxhdXRob3I+SmVubnksIE4uIFMu
PC9hdXRob3I+PGF1dGhvcj5TYWxsYW0sIFIuPC9hdXRob3I+PGF1dGhvcj5Qc2F0eSwgQi4gTS48
L2F1dGhvcj48YXV0aG9yPktyb25tYWwsIFIuIEEuPC9hdXRob3I+PC9hdXRob3JzPjwvY29udHJp
YnV0b3JzPjxhdXRoLWFkZHJlc3M+RGVwYXJ0bWVudCBvZiBQYXRob2xvZ3ksIFVuaXZlcnNpdHkg
b2YgVmVybW9udCwgQnVybGluZ3RvbiwgVlQgMDU0NDYsIFVTQS4gcnVzc2VsbC50cmFjeUB1dm0u
ZWR1PC9hdXRoLWFkZHJlc3M+PHRpdGxlcz48dGl0bGU+VC1oZWxwZXIgdHlwZSAxIGJpYXMgaW4g
aGVhbHRoeSBwZW9wbGUgaXMgYXNzb2NpYXRlZCB3aXRoIGN5dG9tZWdhbG92aXJ1cyBzZXJvbG9n
eSBhbmQgYXRoZXJvc2NsZXJvc2lzOiB0aGUgbXVsdGktZXRobmljIHN0dWR5IG9mIGF0aGVyb3Nj
bGVyb3NpczwvdGl0bGU+PHNlY29uZGFyeS10aXRsZT5KIEFtIEhlYXJ0IEFzc29jPC9zZWNvbmRh
cnktdGl0bGU+PGFsdC10aXRsZT5Kb3VybmFsIG9mIHRoZSBBbWVyaWNhbiBIZWFydCBBc3NvY2lh
dGlvbjwvYWx0LXRpdGxlPjwvdGl0bGVzPjxwYWdlcz5lMDAwMTE3PC9wYWdlcz48dm9sdW1lPjI8
L3ZvbHVtZT48bnVtYmVyPjM8L251bWJlcj48ZGF0ZXM+PHllYXI+MjAxMzwveWVhcj48cHViLWRh
dGVzPjxkYXRlPkp1bjwvZGF0ZT48L3B1Yi1kYXRlcz48L2RhdGVzPjxpc2JuPjIwNDctOTk4MCAo
RWxlY3Ryb25pYykmI3hEOzIwNDctOTk4MCAoTGlua2luZyk8L2lzYm4+PGFjY2Vzc2lvbi1udW0+
MjM2ODg2NzU8L2FjY2Vzc2lvbi1udW0+PHVybHM+PC91cmxzPjxjdXN0b20yPjM2OTg3NzA8L2N1
c3RvbTI+PGVsZWN0cm9uaWMtcmVzb3VyY2UtbnVtPjEwLjExNjEvSkFIQS4xMTMuMDAwMTE3PC9l
bGVjdHJvbmljLXJlc291cmNlLW51bT48L3JlY29yZD48L0NpdGU+PENpdGU+PEF1dGhvcj5PbHNv
bjwvQXV0aG9yPjxZZWFyPjIwMTM8L1llYXI+PFJlY051bT40NTwvUmVjTnVtPjxyZWNvcmQ+PHJl
Yy1udW1iZXI+NDU8L3JlYy1udW1iZXI+PGZvcmVpZ24ta2V5cz48a2V5IGFwcD0iRU4iIGRiLWlk
PSJ0dmFyenpzMjNyOXI5b2VwNXMydjlmdGdkdzA5cHRwOWVkdDUiIHRpbWVzdGFtcD0iMCI+NDU8
L2tleT48L2ZvcmVpZ24ta2V5cz48cmVmLXR5cGUgbmFtZT0iSm91cm5hbCBBcnRpY2xlIj4xNzwv
cmVmLXR5cGU+PGNvbnRyaWJ1dG9ycz48YXV0aG9ycz48YXV0aG9yPk9sc29uLCBOLiBDLjwvYXV0
aG9yPjxhdXRob3I+RG95bGUsIE0uIEYuPC9hdXRob3I+PGF1dGhvcj5KZW5ueSwgTi4gUy48L2F1
dGhvcj48YXV0aG9yPkh1YmVyLCBTLiBBLjwvYXV0aG9yPjxhdXRob3I+UHNhdHksIEIuIE0uPC9h
dXRob3I+PGF1dGhvcj5Lcm9ubWFsLCBSLiBBLjwvYXV0aG9yPjxhdXRob3I+VHJhY3ksIFIuIFAu
PC9hdXRob3I+PC9hdXRob3JzPjwvY29udHJpYnV0b3JzPjxhdXRoLWFkZHJlc3M+RGVwYXJ0bWVu
dCBvZiBQYXRob2xvZ3ksIFVuaXZlcnNpdHkgb2YgVmVybW9udCBDb2xsZWdlIG9mIE1lZGljaW5l
LCBCdXJsaW5ndG9uLCBWZXJtb250LCBVU0EuPC9hdXRoLWFkZHJlc3M+PHRpdGxlcz48dGl0bGU+
RGVjcmVhc2VkIG5haXZlIGFuZCBpbmNyZWFzZWQgbWVtb3J5IENENCgrKSBUIGNlbGxzIGFyZSBh
c3NvY2lhdGVkIHdpdGggc3ViY2xpbmljYWwgYXRoZXJvc2NsZXJvc2lzOiB0aGUgbXVsdGktZXRo
bmljIHN0dWR5IG9mIGF0aGVyb3NjbGVyb3NpczwvdGl0bGU+PHNlY29uZGFyeS10aXRsZT5QTG9T
IE9uZTwvc2Vjb25kYXJ5LXRpdGxlPjxhbHQtdGl0bGU+UGxvUyBvbmU8L2FsdC10aXRsZT48L3Rp
dGxlcz48cGVyaW9kaWNhbD48ZnVsbC10aXRsZT5QTG9TIE9uZTwvZnVsbC10aXRsZT48YWJici0x
PlBsb1Mgb25lPC9hYmJyLTE+PC9wZXJpb2RpY2FsPjxhbHQtcGVyaW9kaWNhbD48ZnVsbC10aXRs
ZT5QTG9TIE9uZTwvZnVsbC10aXRsZT48YWJici0xPlBsb1Mgb25lPC9hYmJyLTE+PC9hbHQtcGVy
aW9kaWNhbD48cGFnZXM+ZTcxNDk4PC9wYWdlcz48dm9sdW1lPjg8L3ZvbHVtZT48bnVtYmVyPjg8
L251bWJlcj48ZGF0ZXM+PHllYXI+MjAxMzwveWVhcj48L2RhdGVzPjxpc2JuPjE5MzItNjIwMyAo
RWxlY3Ryb25pYykmI3hEOzE5MzItNjIwMyAoTGlua2luZyk8L2lzYm4+PGFjY2Vzc2lvbi1udW0+
MjQwMDk2NjI8L2FjY2Vzc2lvbi1udW0+PHVybHM+PC91cmxzPjxjdXN0b20yPjM3NTE4OTU8L2N1
c3RvbTI+PGVsZWN0cm9uaWMtcmVzb3VyY2UtbnVtPjEwLjEzNzEvam91cm5hbC5wb25lLjAwNzE0
OTg8L2VsZWN0cm9uaWMtcmVzb3VyY2UtbnVtPjwvcmVjb3JkPjwvQ2l0ZT48L0VuZE5vdGU+AG==
</w:fldData>
        </w:fldChar>
      </w:r>
      <w:r w:rsidR="00F21E9C">
        <w:rPr>
          <w:rFonts w:ascii="Arial" w:hAnsi="Arial" w:cs="Arial"/>
        </w:rPr>
        <w:instrText xml:space="preserve"> ADDIN EN.CITE </w:instrText>
      </w:r>
      <w:r w:rsidR="00F21E9C">
        <w:rPr>
          <w:rFonts w:ascii="Arial" w:hAnsi="Arial" w:cs="Arial"/>
        </w:rPr>
        <w:fldChar w:fldCharType="begin">
          <w:fldData xml:space="preserve">PEVuZE5vdGU+PENpdGU+PEF1dGhvcj5UcmFjeTwvQXV0aG9yPjxZZWFyPjIwMTM8L1llYXI+PFJl
Y051bT40NjwvUmVjTnVtPjxEaXNwbGF5VGV4dD5bMSwgMl08L0Rpc3BsYXlUZXh0PjxyZWNvcmQ+
PHJlYy1udW1iZXI+NDY8L3JlYy1udW1iZXI+PGZvcmVpZ24ta2V5cz48a2V5IGFwcD0iRU4iIGRi
LWlkPSJ0dmFyenpzMjNyOXI5b2VwNXMydjlmdGdkdzA5cHRwOWVkdDUiIHRpbWVzdGFtcD0iMCI+
NDY8L2tleT48L2ZvcmVpZ24ta2V5cz48cmVmLXR5cGUgbmFtZT0iSm91cm5hbCBBcnRpY2xlIj4x
NzwvcmVmLXR5cGU+PGNvbnRyaWJ1dG9ycz48YXV0aG9ycz48YXV0aG9yPlRyYWN5LCBSLiBQLjwv
YXV0aG9yPjxhdXRob3I+RG95bGUsIE0uIEYuPC9hdXRob3I+PGF1dGhvcj5PbHNvbiwgTi4gQy48
L2F1dGhvcj48YXV0aG9yPkh1YmVyLCBTLiBBLjwvYXV0aG9yPjxhdXRob3I+SmVubnksIE4uIFMu
PC9hdXRob3I+PGF1dGhvcj5TYWxsYW0sIFIuPC9hdXRob3I+PGF1dGhvcj5Qc2F0eSwgQi4gTS48
L2F1dGhvcj48YXV0aG9yPktyb25tYWwsIFIuIEEuPC9hdXRob3I+PC9hdXRob3JzPjwvY29udHJp
YnV0b3JzPjxhdXRoLWFkZHJlc3M+RGVwYXJ0bWVudCBvZiBQYXRob2xvZ3ksIFVuaXZlcnNpdHkg
b2YgVmVybW9udCwgQnVybGluZ3RvbiwgVlQgMDU0NDYsIFVTQS4gcnVzc2VsbC50cmFjeUB1dm0u
ZWR1PC9hdXRoLWFkZHJlc3M+PHRpdGxlcz48dGl0bGU+VC1oZWxwZXIgdHlwZSAxIGJpYXMgaW4g
aGVhbHRoeSBwZW9wbGUgaXMgYXNzb2NpYXRlZCB3aXRoIGN5dG9tZWdhbG92aXJ1cyBzZXJvbG9n
eSBhbmQgYXRoZXJvc2NsZXJvc2lzOiB0aGUgbXVsdGktZXRobmljIHN0dWR5IG9mIGF0aGVyb3Nj
bGVyb3NpczwvdGl0bGU+PHNlY29uZGFyeS10aXRsZT5KIEFtIEhlYXJ0IEFzc29jPC9zZWNvbmRh
cnktdGl0bGU+PGFsdC10aXRsZT5Kb3VybmFsIG9mIHRoZSBBbWVyaWNhbiBIZWFydCBBc3NvY2lh
dGlvbjwvYWx0LXRpdGxlPjwvdGl0bGVzPjxwYWdlcz5lMDAwMTE3PC9wYWdlcz48dm9sdW1lPjI8
L3ZvbHVtZT48bnVtYmVyPjM8L251bWJlcj48ZGF0ZXM+PHllYXI+MjAxMzwveWVhcj48cHViLWRh
dGVzPjxkYXRlPkp1bjwvZGF0ZT48L3B1Yi1kYXRlcz48L2RhdGVzPjxpc2JuPjIwNDctOTk4MCAo
RWxlY3Ryb25pYykmI3hEOzIwNDctOTk4MCAoTGlua2luZyk8L2lzYm4+PGFjY2Vzc2lvbi1udW0+
MjM2ODg2NzU8L2FjY2Vzc2lvbi1udW0+PHVybHM+PC91cmxzPjxjdXN0b20yPjM2OTg3NzA8L2N1
c3RvbTI+PGVsZWN0cm9uaWMtcmVzb3VyY2UtbnVtPjEwLjExNjEvSkFIQS4xMTMuMDAwMTE3PC9l
bGVjdHJvbmljLXJlc291cmNlLW51bT48L3JlY29yZD48L0NpdGU+PENpdGU+PEF1dGhvcj5PbHNv
bjwvQXV0aG9yPjxZZWFyPjIwMTM8L1llYXI+PFJlY051bT40NTwvUmVjTnVtPjxyZWNvcmQ+PHJl
Yy1udW1iZXI+NDU8L3JlYy1udW1iZXI+PGZvcmVpZ24ta2V5cz48a2V5IGFwcD0iRU4iIGRiLWlk
PSJ0dmFyenpzMjNyOXI5b2VwNXMydjlmdGdkdzA5cHRwOWVkdDUiIHRpbWVzdGFtcD0iMCI+NDU8
L2tleT48L2ZvcmVpZ24ta2V5cz48cmVmLXR5cGUgbmFtZT0iSm91cm5hbCBBcnRpY2xlIj4xNzwv
cmVmLXR5cGU+PGNvbnRyaWJ1dG9ycz48YXV0aG9ycz48YXV0aG9yPk9sc29uLCBOLiBDLjwvYXV0
aG9yPjxhdXRob3I+RG95bGUsIE0uIEYuPC9hdXRob3I+PGF1dGhvcj5KZW5ueSwgTi4gUy48L2F1
dGhvcj48YXV0aG9yPkh1YmVyLCBTLiBBLjwvYXV0aG9yPjxhdXRob3I+UHNhdHksIEIuIE0uPC9h
dXRob3I+PGF1dGhvcj5Lcm9ubWFsLCBSLiBBLjwvYXV0aG9yPjxhdXRob3I+VHJhY3ksIFIuIFAu
PC9hdXRob3I+PC9hdXRob3JzPjwvY29udHJpYnV0b3JzPjxhdXRoLWFkZHJlc3M+RGVwYXJ0bWVu
dCBvZiBQYXRob2xvZ3ksIFVuaXZlcnNpdHkgb2YgVmVybW9udCBDb2xsZWdlIG9mIE1lZGljaW5l
LCBCdXJsaW5ndG9uLCBWZXJtb250LCBVU0EuPC9hdXRoLWFkZHJlc3M+PHRpdGxlcz48dGl0bGU+
RGVjcmVhc2VkIG5haXZlIGFuZCBpbmNyZWFzZWQgbWVtb3J5IENENCgrKSBUIGNlbGxzIGFyZSBh
c3NvY2lhdGVkIHdpdGggc3ViY2xpbmljYWwgYXRoZXJvc2NsZXJvc2lzOiB0aGUgbXVsdGktZXRo
bmljIHN0dWR5IG9mIGF0aGVyb3NjbGVyb3NpczwvdGl0bGU+PHNlY29uZGFyeS10aXRsZT5QTG9T
IE9uZTwvc2Vjb25kYXJ5LXRpdGxlPjxhbHQtdGl0bGU+UGxvUyBvbmU8L2FsdC10aXRsZT48L3Rp
dGxlcz48cGVyaW9kaWNhbD48ZnVsbC10aXRsZT5QTG9TIE9uZTwvZnVsbC10aXRsZT48YWJici0x
PlBsb1Mgb25lPC9hYmJyLTE+PC9wZXJpb2RpY2FsPjxhbHQtcGVyaW9kaWNhbD48ZnVsbC10aXRs
ZT5QTG9TIE9uZTwvZnVsbC10aXRsZT48YWJici0xPlBsb1Mgb25lPC9hYmJyLTE+PC9hbHQtcGVy
aW9kaWNhbD48cGFnZXM+ZTcxNDk4PC9wYWdlcz48dm9sdW1lPjg8L3ZvbHVtZT48bnVtYmVyPjg8
L251bWJlcj48ZGF0ZXM+PHllYXI+MjAxMzwveWVhcj48L2RhdGVzPjxpc2JuPjE5MzItNjIwMyAo
RWxlY3Ryb25pYykmI3hEOzE5MzItNjIwMyAoTGlua2luZyk8L2lzYm4+PGFjY2Vzc2lvbi1udW0+
MjQwMDk2NjI8L2FjY2Vzc2lvbi1udW0+PHVybHM+PC91cmxzPjxjdXN0b20yPjM3NTE4OTU8L2N1
c3RvbTI+PGVsZWN0cm9uaWMtcmVzb3VyY2UtbnVtPjEwLjEzNzEvam91cm5hbC5wb25lLjAwNzE0
OTg8L2VsZWN0cm9uaWMtcmVzb3VyY2UtbnVtPjwvcmVjb3JkPjwvQ2l0ZT48L0VuZE5vdGU+AG==
</w:fldData>
        </w:fldChar>
      </w:r>
      <w:r w:rsidR="00F21E9C">
        <w:rPr>
          <w:rFonts w:ascii="Arial" w:hAnsi="Arial" w:cs="Arial"/>
        </w:rPr>
        <w:instrText xml:space="preserve"> ADDIN EN.CITE.DATA </w:instrText>
      </w:r>
      <w:r w:rsidR="00F21E9C">
        <w:rPr>
          <w:rFonts w:ascii="Arial" w:hAnsi="Arial" w:cs="Arial"/>
        </w:rPr>
      </w:r>
      <w:r w:rsidR="00F21E9C">
        <w:rPr>
          <w:rFonts w:ascii="Arial" w:hAnsi="Arial" w:cs="Arial"/>
        </w:rPr>
        <w:fldChar w:fldCharType="end"/>
      </w:r>
      <w:r w:rsidRPr="007812D3">
        <w:rPr>
          <w:rFonts w:ascii="Arial" w:hAnsi="Arial" w:cs="Arial"/>
        </w:rPr>
      </w:r>
      <w:r w:rsidRPr="007812D3">
        <w:rPr>
          <w:rFonts w:ascii="Arial" w:hAnsi="Arial" w:cs="Arial"/>
        </w:rPr>
        <w:fldChar w:fldCharType="separate"/>
      </w:r>
      <w:r w:rsidR="00F21E9C">
        <w:rPr>
          <w:rFonts w:ascii="Arial" w:hAnsi="Arial" w:cs="Arial"/>
          <w:noProof/>
        </w:rPr>
        <w:t>[1, 2]</w:t>
      </w:r>
      <w:r w:rsidRPr="007812D3">
        <w:rPr>
          <w:rFonts w:ascii="Arial" w:hAnsi="Arial" w:cs="Arial"/>
        </w:rPr>
        <w:fldChar w:fldCharType="end"/>
      </w:r>
      <w:r w:rsidRPr="007812D3">
        <w:rPr>
          <w:rFonts w:ascii="Arial" w:hAnsi="Arial" w:cs="Arial"/>
        </w:rPr>
        <w:t>.</w:t>
      </w:r>
      <w:r w:rsidR="00D57EC7" w:rsidRPr="007812D3">
        <w:rPr>
          <w:rFonts w:ascii="Arial" w:hAnsi="Arial" w:cs="Arial"/>
        </w:rPr>
        <w:t xml:space="preserve"> During MESA exam 4 (2005-2007)</w:t>
      </w:r>
      <w:r w:rsidRPr="007812D3">
        <w:rPr>
          <w:rFonts w:ascii="Arial" w:hAnsi="Arial" w:cs="Arial"/>
        </w:rPr>
        <w:t xml:space="preserve"> </w:t>
      </w:r>
      <w:r w:rsidR="00D57EC7" w:rsidRPr="007812D3">
        <w:rPr>
          <w:rFonts w:ascii="Arial" w:hAnsi="Arial" w:cs="Arial"/>
        </w:rPr>
        <w:t>h</w:t>
      </w:r>
      <w:r w:rsidR="00BE5107" w:rsidRPr="007812D3">
        <w:rPr>
          <w:rFonts w:ascii="Arial" w:hAnsi="Arial" w:cs="Arial"/>
        </w:rPr>
        <w:t xml:space="preserve">eparinized blood </w:t>
      </w:r>
      <w:r w:rsidR="00D57EC7" w:rsidRPr="007812D3">
        <w:rPr>
          <w:rFonts w:ascii="Arial" w:hAnsi="Arial" w:cs="Arial"/>
        </w:rPr>
        <w:t xml:space="preserve">was </w:t>
      </w:r>
      <w:r w:rsidR="00BE5107" w:rsidRPr="007812D3">
        <w:rPr>
          <w:rFonts w:ascii="Arial" w:hAnsi="Arial" w:cs="Arial"/>
        </w:rPr>
        <w:t xml:space="preserve">collected at the </w:t>
      </w:r>
      <w:r w:rsidR="00E419C1" w:rsidRPr="007812D3">
        <w:rPr>
          <w:rFonts w:ascii="Arial" w:hAnsi="Arial" w:cs="Arial"/>
        </w:rPr>
        <w:t xml:space="preserve">6 </w:t>
      </w:r>
      <w:r w:rsidR="00BE5107" w:rsidRPr="007812D3">
        <w:rPr>
          <w:rFonts w:ascii="Arial" w:hAnsi="Arial" w:cs="Arial"/>
        </w:rPr>
        <w:t>MESA field centers</w:t>
      </w:r>
      <w:r w:rsidR="00D57EC7" w:rsidRPr="007812D3">
        <w:rPr>
          <w:rFonts w:ascii="Arial" w:hAnsi="Arial" w:cs="Arial"/>
        </w:rPr>
        <w:t xml:space="preserve">. </w:t>
      </w:r>
      <w:r w:rsidR="00BE5107" w:rsidRPr="007812D3">
        <w:rPr>
          <w:rFonts w:ascii="Arial" w:hAnsi="Arial" w:cs="Arial"/>
        </w:rPr>
        <w:t>Samples were shipped overnight to the Laboratory of Clinical Biochemistry Research at the University of Vermont in specialized containers that maintained</w:t>
      </w:r>
      <w:r w:rsidR="00DD40FC" w:rsidRPr="007812D3">
        <w:rPr>
          <w:rFonts w:ascii="Arial" w:hAnsi="Arial" w:cs="Arial"/>
        </w:rPr>
        <w:t xml:space="preserve"> </w:t>
      </w:r>
      <w:r w:rsidRPr="007812D3">
        <w:rPr>
          <w:rFonts w:ascii="Arial" w:hAnsi="Arial" w:cs="Arial"/>
        </w:rPr>
        <w:t>a temperature of 15-</w:t>
      </w:r>
      <w:r w:rsidR="00BE5107" w:rsidRPr="007812D3">
        <w:rPr>
          <w:rFonts w:ascii="Arial" w:hAnsi="Arial" w:cs="Arial"/>
        </w:rPr>
        <w:t>30°C</w:t>
      </w:r>
      <w:r w:rsidR="00DD40FC" w:rsidRPr="007812D3">
        <w:rPr>
          <w:rFonts w:ascii="Arial" w:hAnsi="Arial" w:cs="Arial"/>
        </w:rPr>
        <w:t xml:space="preserve"> and were processed</w:t>
      </w:r>
      <w:r w:rsidRPr="007812D3">
        <w:rPr>
          <w:rFonts w:ascii="Arial" w:hAnsi="Arial" w:cs="Arial"/>
        </w:rPr>
        <w:t xml:space="preserve"> for cellular phenotyping</w:t>
      </w:r>
      <w:r w:rsidR="00DD40FC" w:rsidRPr="007812D3">
        <w:rPr>
          <w:rFonts w:ascii="Arial" w:hAnsi="Arial" w:cs="Arial"/>
        </w:rPr>
        <w:t xml:space="preserve"> upon </w:t>
      </w:r>
      <w:r w:rsidR="001F4954" w:rsidRPr="007812D3">
        <w:rPr>
          <w:rFonts w:ascii="Arial" w:hAnsi="Arial" w:cs="Arial"/>
        </w:rPr>
        <w:t>receipt</w:t>
      </w:r>
      <w:r w:rsidR="00BE5107" w:rsidRPr="007812D3">
        <w:rPr>
          <w:rFonts w:ascii="Arial" w:hAnsi="Arial" w:cs="Arial"/>
        </w:rPr>
        <w:t xml:space="preserve">. </w:t>
      </w:r>
    </w:p>
    <w:p w:rsidR="0020194D" w:rsidRDefault="00DD40FC" w:rsidP="00FA68A7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</w:rPr>
      </w:pPr>
      <w:r w:rsidRPr="007812D3">
        <w:rPr>
          <w:rFonts w:ascii="Arial" w:hAnsi="Arial" w:cs="Arial"/>
        </w:rPr>
        <w:t xml:space="preserve">Cellular </w:t>
      </w:r>
      <w:r w:rsidR="001F4954" w:rsidRPr="007812D3">
        <w:rPr>
          <w:rFonts w:ascii="Arial" w:hAnsi="Arial" w:cs="Arial"/>
        </w:rPr>
        <w:t>phenotypes</w:t>
      </w:r>
      <w:r w:rsidR="00BE5107" w:rsidRPr="007812D3">
        <w:rPr>
          <w:rFonts w:ascii="Arial" w:hAnsi="Arial" w:cs="Arial"/>
        </w:rPr>
        <w:t xml:space="preserve"> were tested for overnight stability </w:t>
      </w:r>
      <w:r w:rsidRPr="007812D3">
        <w:rPr>
          <w:rFonts w:ascii="Arial" w:hAnsi="Arial" w:cs="Arial"/>
        </w:rPr>
        <w:t>in a group of 13-20 appare</w:t>
      </w:r>
      <w:r w:rsidR="00886AC4" w:rsidRPr="007812D3">
        <w:rPr>
          <w:rFonts w:ascii="Arial" w:hAnsi="Arial" w:cs="Arial"/>
        </w:rPr>
        <w:t>ntly healthy local volunteers. C</w:t>
      </w:r>
      <w:r w:rsidR="00BE5107" w:rsidRPr="007812D3">
        <w:rPr>
          <w:rFonts w:ascii="Arial" w:hAnsi="Arial" w:cs="Arial"/>
        </w:rPr>
        <w:t>ell</w:t>
      </w:r>
      <w:r w:rsidRPr="007812D3">
        <w:rPr>
          <w:rFonts w:ascii="Arial" w:hAnsi="Arial" w:cs="Arial"/>
        </w:rPr>
        <w:t xml:space="preserve"> </w:t>
      </w:r>
      <w:r w:rsidR="00BE5107" w:rsidRPr="007812D3">
        <w:rPr>
          <w:rFonts w:ascii="Arial" w:hAnsi="Arial" w:cs="Arial"/>
        </w:rPr>
        <w:t>phenotypes</w:t>
      </w:r>
      <w:r w:rsidR="00886AC4" w:rsidRPr="007812D3">
        <w:rPr>
          <w:rFonts w:ascii="Arial" w:hAnsi="Arial" w:cs="Arial"/>
        </w:rPr>
        <w:t xml:space="preserve"> were measured</w:t>
      </w:r>
      <w:r w:rsidR="00BE5107" w:rsidRPr="007812D3">
        <w:rPr>
          <w:rFonts w:ascii="Arial" w:hAnsi="Arial" w:cs="Arial"/>
        </w:rPr>
        <w:t xml:space="preserve"> </w:t>
      </w:r>
      <w:r w:rsidR="00886AC4" w:rsidRPr="007812D3">
        <w:rPr>
          <w:rFonts w:ascii="Arial" w:hAnsi="Arial" w:cs="Arial"/>
        </w:rPr>
        <w:t xml:space="preserve">from </w:t>
      </w:r>
      <w:r w:rsidR="00FA68A7" w:rsidRPr="007812D3">
        <w:rPr>
          <w:rFonts w:ascii="Arial" w:hAnsi="Arial" w:cs="Arial"/>
        </w:rPr>
        <w:t xml:space="preserve">samples of </w:t>
      </w:r>
      <w:r w:rsidR="00BE5107" w:rsidRPr="007812D3">
        <w:rPr>
          <w:rFonts w:ascii="Arial" w:hAnsi="Arial" w:cs="Arial"/>
        </w:rPr>
        <w:t>freshly drawn blood</w:t>
      </w:r>
      <w:r w:rsidR="00FA68A7" w:rsidRPr="007812D3">
        <w:rPr>
          <w:rFonts w:ascii="Arial" w:hAnsi="Arial" w:cs="Arial"/>
        </w:rPr>
        <w:t xml:space="preserve"> </w:t>
      </w:r>
      <w:r w:rsidRPr="007812D3">
        <w:rPr>
          <w:rFonts w:ascii="Arial" w:hAnsi="Arial" w:cs="Arial"/>
        </w:rPr>
        <w:t>and compar</w:t>
      </w:r>
      <w:r w:rsidR="00886AC4" w:rsidRPr="007812D3">
        <w:rPr>
          <w:rFonts w:ascii="Arial" w:hAnsi="Arial" w:cs="Arial"/>
        </w:rPr>
        <w:t>ed</w:t>
      </w:r>
      <w:r w:rsidRPr="007812D3">
        <w:rPr>
          <w:rFonts w:ascii="Arial" w:hAnsi="Arial" w:cs="Arial"/>
        </w:rPr>
        <w:t xml:space="preserve"> with </w:t>
      </w:r>
      <w:r w:rsidR="00BE5107" w:rsidRPr="007812D3">
        <w:rPr>
          <w:rFonts w:ascii="Arial" w:hAnsi="Arial" w:cs="Arial"/>
        </w:rPr>
        <w:t xml:space="preserve">blood samples that were </w:t>
      </w:r>
      <w:r w:rsidR="00FA68A7" w:rsidRPr="007812D3">
        <w:rPr>
          <w:rFonts w:ascii="Arial" w:hAnsi="Arial" w:cs="Arial"/>
        </w:rPr>
        <w:t xml:space="preserve">placed in shipping containers, </w:t>
      </w:r>
      <w:r w:rsidR="00BE5107" w:rsidRPr="007812D3">
        <w:rPr>
          <w:rFonts w:ascii="Arial" w:hAnsi="Arial" w:cs="Arial"/>
        </w:rPr>
        <w:t>subjected to standard shipping procedures</w:t>
      </w:r>
      <w:r w:rsidR="00886AC4" w:rsidRPr="007812D3">
        <w:rPr>
          <w:rFonts w:ascii="Arial" w:hAnsi="Arial" w:cs="Arial"/>
        </w:rPr>
        <w:t>,</w:t>
      </w:r>
      <w:r w:rsidR="00BE5107" w:rsidRPr="007812D3">
        <w:rPr>
          <w:rFonts w:ascii="Arial" w:hAnsi="Arial" w:cs="Arial"/>
        </w:rPr>
        <w:t xml:space="preserve"> </w:t>
      </w:r>
      <w:r w:rsidR="0038118B" w:rsidRPr="007812D3">
        <w:rPr>
          <w:rFonts w:ascii="Arial" w:hAnsi="Arial" w:cs="Arial"/>
        </w:rPr>
        <w:t xml:space="preserve">and measured 24-hours post-draw. </w:t>
      </w:r>
      <w:r w:rsidR="00886AC4" w:rsidRPr="007812D3">
        <w:rPr>
          <w:rFonts w:ascii="Arial" w:hAnsi="Arial" w:cs="Arial"/>
        </w:rPr>
        <w:t xml:space="preserve">Results from these </w:t>
      </w:r>
      <w:r w:rsidR="001F641F" w:rsidRPr="007812D3">
        <w:rPr>
          <w:rFonts w:ascii="Arial" w:hAnsi="Arial" w:cs="Arial"/>
        </w:rPr>
        <w:t>studies</w:t>
      </w:r>
      <w:r w:rsidR="00886AC4" w:rsidRPr="007812D3">
        <w:rPr>
          <w:rFonts w:ascii="Arial" w:hAnsi="Arial" w:cs="Arial"/>
        </w:rPr>
        <w:t xml:space="preserve"> for CD4</w:t>
      </w:r>
      <w:r w:rsidR="00886AC4" w:rsidRPr="007812D3">
        <w:rPr>
          <w:rFonts w:ascii="Arial" w:hAnsi="Arial" w:cs="Arial"/>
          <w:vertAlign w:val="superscript"/>
        </w:rPr>
        <w:t>+</w:t>
      </w:r>
      <w:r w:rsidR="00886AC4" w:rsidRPr="007812D3">
        <w:rPr>
          <w:rFonts w:ascii="Arial" w:hAnsi="Arial" w:cs="Arial"/>
        </w:rPr>
        <w:t xml:space="preserve"> naive, CD4</w:t>
      </w:r>
      <w:r w:rsidR="00886AC4" w:rsidRPr="007812D3">
        <w:rPr>
          <w:rFonts w:ascii="Arial" w:hAnsi="Arial" w:cs="Arial"/>
          <w:vertAlign w:val="superscript"/>
        </w:rPr>
        <w:t>+</w:t>
      </w:r>
      <w:r w:rsidR="00886AC4" w:rsidRPr="007812D3">
        <w:rPr>
          <w:rFonts w:ascii="Arial" w:hAnsi="Arial" w:cs="Arial"/>
        </w:rPr>
        <w:t xml:space="preserve"> memory, Th1, and Th2 phenotypes have been reported </w:t>
      </w:r>
      <w:r w:rsidR="00886AC4" w:rsidRPr="007812D3">
        <w:rPr>
          <w:rFonts w:ascii="Arial" w:hAnsi="Arial" w:cs="Arial"/>
        </w:rPr>
        <w:fldChar w:fldCharType="begin">
          <w:fldData xml:space="preserve">PEVuZE5vdGU+PENpdGU+PEF1dGhvcj5UcmFjeTwvQXV0aG9yPjxZZWFyPjIwMTM8L1llYXI+PFJl
Y051bT40NjwvUmVjTnVtPjxEaXNwbGF5VGV4dD5bMSwgMl08L0Rpc3BsYXlUZXh0PjxyZWNvcmQ+
PHJlYy1udW1iZXI+NDY8L3JlYy1udW1iZXI+PGZvcmVpZ24ta2V5cz48a2V5IGFwcD0iRU4iIGRi
LWlkPSJ0dmFyenpzMjNyOXI5b2VwNXMydjlmdGdkdzA5cHRwOWVkdDUiIHRpbWVzdGFtcD0iMCI+
NDY8L2tleT48L2ZvcmVpZ24ta2V5cz48cmVmLXR5cGUgbmFtZT0iSm91cm5hbCBBcnRpY2xlIj4x
NzwvcmVmLXR5cGU+PGNvbnRyaWJ1dG9ycz48YXV0aG9ycz48YXV0aG9yPlRyYWN5LCBSLiBQLjwv
YXV0aG9yPjxhdXRob3I+RG95bGUsIE0uIEYuPC9hdXRob3I+PGF1dGhvcj5PbHNvbiwgTi4gQy48
L2F1dGhvcj48YXV0aG9yPkh1YmVyLCBTLiBBLjwvYXV0aG9yPjxhdXRob3I+SmVubnksIE4uIFMu
PC9hdXRob3I+PGF1dGhvcj5TYWxsYW0sIFIuPC9hdXRob3I+PGF1dGhvcj5Qc2F0eSwgQi4gTS48
L2F1dGhvcj48YXV0aG9yPktyb25tYWwsIFIuIEEuPC9hdXRob3I+PC9hdXRob3JzPjwvY29udHJp
YnV0b3JzPjxhdXRoLWFkZHJlc3M+RGVwYXJ0bWVudCBvZiBQYXRob2xvZ3ksIFVuaXZlcnNpdHkg
b2YgVmVybW9udCwgQnVybGluZ3RvbiwgVlQgMDU0NDYsIFVTQS4gcnVzc2VsbC50cmFjeUB1dm0u
ZWR1PC9hdXRoLWFkZHJlc3M+PHRpdGxlcz48dGl0bGU+VC1oZWxwZXIgdHlwZSAxIGJpYXMgaW4g
aGVhbHRoeSBwZW9wbGUgaXMgYXNzb2NpYXRlZCB3aXRoIGN5dG9tZWdhbG92aXJ1cyBzZXJvbG9n
eSBhbmQgYXRoZXJvc2NsZXJvc2lzOiB0aGUgbXVsdGktZXRobmljIHN0dWR5IG9mIGF0aGVyb3Nj
bGVyb3NpczwvdGl0bGU+PHNlY29uZGFyeS10aXRsZT5KIEFtIEhlYXJ0IEFzc29jPC9zZWNvbmRh
cnktdGl0bGU+PGFsdC10aXRsZT5Kb3VybmFsIG9mIHRoZSBBbWVyaWNhbiBIZWFydCBBc3NvY2lh
dGlvbjwvYWx0LXRpdGxlPjwvdGl0bGVzPjxwYWdlcz5lMDAwMTE3PC9wYWdlcz48dm9sdW1lPjI8
L3ZvbHVtZT48bnVtYmVyPjM8L251bWJlcj48ZGF0ZXM+PHllYXI+MjAxMzwveWVhcj48cHViLWRh
dGVzPjxkYXRlPkp1bjwvZGF0ZT48L3B1Yi1kYXRlcz48L2RhdGVzPjxpc2JuPjIwNDctOTk4MCAo
RWxlY3Ryb25pYykmI3hEOzIwNDctOTk4MCAoTGlua2luZyk8L2lzYm4+PGFjY2Vzc2lvbi1udW0+
MjM2ODg2NzU8L2FjY2Vzc2lvbi1udW0+PHVybHM+PC91cmxzPjxjdXN0b20yPjM2OTg3NzA8L2N1
c3RvbTI+PGVsZWN0cm9uaWMtcmVzb3VyY2UtbnVtPjEwLjExNjEvSkFIQS4xMTMuMDAwMTE3PC9l
bGVjdHJvbmljLXJlc291cmNlLW51bT48L3JlY29yZD48L0NpdGU+PENpdGU+PEF1dGhvcj5PbHNv
bjwvQXV0aG9yPjxZZWFyPjIwMTM8L1llYXI+PFJlY051bT40NTwvUmVjTnVtPjxyZWNvcmQ+PHJl
Yy1udW1iZXI+NDU8L3JlYy1udW1iZXI+PGZvcmVpZ24ta2V5cz48a2V5IGFwcD0iRU4iIGRiLWlk
PSJ0dmFyenpzMjNyOXI5b2VwNXMydjlmdGdkdzA5cHRwOWVkdDUiIHRpbWVzdGFtcD0iMCI+NDU8
L2tleT48L2ZvcmVpZ24ta2V5cz48cmVmLXR5cGUgbmFtZT0iSm91cm5hbCBBcnRpY2xlIj4xNzwv
cmVmLXR5cGU+PGNvbnRyaWJ1dG9ycz48YXV0aG9ycz48YXV0aG9yPk9sc29uLCBOLiBDLjwvYXV0
aG9yPjxhdXRob3I+RG95bGUsIE0uIEYuPC9hdXRob3I+PGF1dGhvcj5KZW5ueSwgTi4gUy48L2F1
dGhvcj48YXV0aG9yPkh1YmVyLCBTLiBBLjwvYXV0aG9yPjxhdXRob3I+UHNhdHksIEIuIE0uPC9h
dXRob3I+PGF1dGhvcj5Lcm9ubWFsLCBSLiBBLjwvYXV0aG9yPjxhdXRob3I+VHJhY3ksIFIuIFAu
PC9hdXRob3I+PC9hdXRob3JzPjwvY29udHJpYnV0b3JzPjxhdXRoLWFkZHJlc3M+RGVwYXJ0bWVu
dCBvZiBQYXRob2xvZ3ksIFVuaXZlcnNpdHkgb2YgVmVybW9udCBDb2xsZWdlIG9mIE1lZGljaW5l
LCBCdXJsaW5ndG9uLCBWZXJtb250LCBVU0EuPC9hdXRoLWFkZHJlc3M+PHRpdGxlcz48dGl0bGU+
RGVjcmVhc2VkIG5haXZlIGFuZCBpbmNyZWFzZWQgbWVtb3J5IENENCgrKSBUIGNlbGxzIGFyZSBh
c3NvY2lhdGVkIHdpdGggc3ViY2xpbmljYWwgYXRoZXJvc2NsZXJvc2lzOiB0aGUgbXVsdGktZXRo
bmljIHN0dWR5IG9mIGF0aGVyb3NjbGVyb3NpczwvdGl0bGU+PHNlY29uZGFyeS10aXRsZT5QTG9T
IE9uZTwvc2Vjb25kYXJ5LXRpdGxlPjxhbHQtdGl0bGU+UGxvUyBvbmU8L2FsdC10aXRsZT48L3Rp
dGxlcz48cGVyaW9kaWNhbD48ZnVsbC10aXRsZT5QTG9TIE9uZTwvZnVsbC10aXRsZT48YWJici0x
PlBsb1Mgb25lPC9hYmJyLTE+PC9wZXJpb2RpY2FsPjxhbHQtcGVyaW9kaWNhbD48ZnVsbC10aXRs
ZT5QTG9TIE9uZTwvZnVsbC10aXRsZT48YWJici0xPlBsb1Mgb25lPC9hYmJyLTE+PC9hbHQtcGVy
aW9kaWNhbD48cGFnZXM+ZTcxNDk4PC9wYWdlcz48dm9sdW1lPjg8L3ZvbHVtZT48bnVtYmVyPjg8
L251bWJlcj48ZGF0ZXM+PHllYXI+MjAxMzwveWVhcj48L2RhdGVzPjxpc2JuPjE5MzItNjIwMyAo
RWxlY3Ryb25pYykmI3hEOzE5MzItNjIwMyAoTGlua2luZyk8L2lzYm4+PGFjY2Vzc2lvbi1udW0+
MjQwMDk2NjI8L2FjY2Vzc2lvbi1udW0+PHVybHM+PC91cmxzPjxjdXN0b20yPjM3NTE4OTU8L2N1
c3RvbTI+PGVsZWN0cm9uaWMtcmVzb3VyY2UtbnVtPjEwLjEzNzEvam91cm5hbC5wb25lLjAwNzE0
OTg8L2VsZWN0cm9uaWMtcmVzb3VyY2UtbnVtPjwvcmVjb3JkPjwvQ2l0ZT48L0VuZE5vdGU+AG==
</w:fldData>
        </w:fldChar>
      </w:r>
      <w:r w:rsidR="00F21E9C">
        <w:rPr>
          <w:rFonts w:ascii="Arial" w:hAnsi="Arial" w:cs="Arial"/>
        </w:rPr>
        <w:instrText xml:space="preserve"> ADDIN EN.CITE </w:instrText>
      </w:r>
      <w:r w:rsidR="00F21E9C">
        <w:rPr>
          <w:rFonts w:ascii="Arial" w:hAnsi="Arial" w:cs="Arial"/>
        </w:rPr>
        <w:fldChar w:fldCharType="begin">
          <w:fldData xml:space="preserve">PEVuZE5vdGU+PENpdGU+PEF1dGhvcj5UcmFjeTwvQXV0aG9yPjxZZWFyPjIwMTM8L1llYXI+PFJl
Y051bT40NjwvUmVjTnVtPjxEaXNwbGF5VGV4dD5bMSwgMl08L0Rpc3BsYXlUZXh0PjxyZWNvcmQ+
PHJlYy1udW1iZXI+NDY8L3JlYy1udW1iZXI+PGZvcmVpZ24ta2V5cz48a2V5IGFwcD0iRU4iIGRi
LWlkPSJ0dmFyenpzMjNyOXI5b2VwNXMydjlmdGdkdzA5cHRwOWVkdDUiIHRpbWVzdGFtcD0iMCI+
NDY8L2tleT48L2ZvcmVpZ24ta2V5cz48cmVmLXR5cGUgbmFtZT0iSm91cm5hbCBBcnRpY2xlIj4x
NzwvcmVmLXR5cGU+PGNvbnRyaWJ1dG9ycz48YXV0aG9ycz48YXV0aG9yPlRyYWN5LCBSLiBQLjwv
YXV0aG9yPjxhdXRob3I+RG95bGUsIE0uIEYuPC9hdXRob3I+PGF1dGhvcj5PbHNvbiwgTi4gQy48
L2F1dGhvcj48YXV0aG9yPkh1YmVyLCBTLiBBLjwvYXV0aG9yPjxhdXRob3I+SmVubnksIE4uIFMu
PC9hdXRob3I+PGF1dGhvcj5TYWxsYW0sIFIuPC9hdXRob3I+PGF1dGhvcj5Qc2F0eSwgQi4gTS48
L2F1dGhvcj48YXV0aG9yPktyb25tYWwsIFIuIEEuPC9hdXRob3I+PC9hdXRob3JzPjwvY29udHJp
YnV0b3JzPjxhdXRoLWFkZHJlc3M+RGVwYXJ0bWVudCBvZiBQYXRob2xvZ3ksIFVuaXZlcnNpdHkg
b2YgVmVybW9udCwgQnVybGluZ3RvbiwgVlQgMDU0NDYsIFVTQS4gcnVzc2VsbC50cmFjeUB1dm0u
ZWR1PC9hdXRoLWFkZHJlc3M+PHRpdGxlcz48dGl0bGU+VC1oZWxwZXIgdHlwZSAxIGJpYXMgaW4g
aGVhbHRoeSBwZW9wbGUgaXMgYXNzb2NpYXRlZCB3aXRoIGN5dG9tZWdhbG92aXJ1cyBzZXJvbG9n
eSBhbmQgYXRoZXJvc2NsZXJvc2lzOiB0aGUgbXVsdGktZXRobmljIHN0dWR5IG9mIGF0aGVyb3Nj
bGVyb3NpczwvdGl0bGU+PHNlY29uZGFyeS10aXRsZT5KIEFtIEhlYXJ0IEFzc29jPC9zZWNvbmRh
cnktdGl0bGU+PGFsdC10aXRsZT5Kb3VybmFsIG9mIHRoZSBBbWVyaWNhbiBIZWFydCBBc3NvY2lh
dGlvbjwvYWx0LXRpdGxlPjwvdGl0bGVzPjxwYWdlcz5lMDAwMTE3PC9wYWdlcz48dm9sdW1lPjI8
L3ZvbHVtZT48bnVtYmVyPjM8L251bWJlcj48ZGF0ZXM+PHllYXI+MjAxMzwveWVhcj48cHViLWRh
dGVzPjxkYXRlPkp1bjwvZGF0ZT48L3B1Yi1kYXRlcz48L2RhdGVzPjxpc2JuPjIwNDctOTk4MCAo
RWxlY3Ryb25pYykmI3hEOzIwNDctOTk4MCAoTGlua2luZyk8L2lzYm4+PGFjY2Vzc2lvbi1udW0+
MjM2ODg2NzU8L2FjY2Vzc2lvbi1udW0+PHVybHM+PC91cmxzPjxjdXN0b20yPjM2OTg3NzA8L2N1
c3RvbTI+PGVsZWN0cm9uaWMtcmVzb3VyY2UtbnVtPjEwLjExNjEvSkFIQS4xMTMuMDAwMTE3PC9l
bGVjdHJvbmljLXJlc291cmNlLW51bT48L3JlY29yZD48L0NpdGU+PENpdGU+PEF1dGhvcj5PbHNv
bjwvQXV0aG9yPjxZZWFyPjIwMTM8L1llYXI+PFJlY051bT40NTwvUmVjTnVtPjxyZWNvcmQ+PHJl
Yy1udW1iZXI+NDU8L3JlYy1udW1iZXI+PGZvcmVpZ24ta2V5cz48a2V5IGFwcD0iRU4iIGRiLWlk
PSJ0dmFyenpzMjNyOXI5b2VwNXMydjlmdGdkdzA5cHRwOWVkdDUiIHRpbWVzdGFtcD0iMCI+NDU8
L2tleT48L2ZvcmVpZ24ta2V5cz48cmVmLXR5cGUgbmFtZT0iSm91cm5hbCBBcnRpY2xlIj4xNzwv
cmVmLXR5cGU+PGNvbnRyaWJ1dG9ycz48YXV0aG9ycz48YXV0aG9yPk9sc29uLCBOLiBDLjwvYXV0
aG9yPjxhdXRob3I+RG95bGUsIE0uIEYuPC9hdXRob3I+PGF1dGhvcj5KZW5ueSwgTi4gUy48L2F1
dGhvcj48YXV0aG9yPkh1YmVyLCBTLiBBLjwvYXV0aG9yPjxhdXRob3I+UHNhdHksIEIuIE0uPC9h
dXRob3I+PGF1dGhvcj5Lcm9ubWFsLCBSLiBBLjwvYXV0aG9yPjxhdXRob3I+VHJhY3ksIFIuIFAu
PC9hdXRob3I+PC9hdXRob3JzPjwvY29udHJpYnV0b3JzPjxhdXRoLWFkZHJlc3M+RGVwYXJ0bWVu
dCBvZiBQYXRob2xvZ3ksIFVuaXZlcnNpdHkgb2YgVmVybW9udCBDb2xsZWdlIG9mIE1lZGljaW5l
LCBCdXJsaW5ndG9uLCBWZXJtb250LCBVU0EuPC9hdXRoLWFkZHJlc3M+PHRpdGxlcz48dGl0bGU+
RGVjcmVhc2VkIG5haXZlIGFuZCBpbmNyZWFzZWQgbWVtb3J5IENENCgrKSBUIGNlbGxzIGFyZSBh
c3NvY2lhdGVkIHdpdGggc3ViY2xpbmljYWwgYXRoZXJvc2NsZXJvc2lzOiB0aGUgbXVsdGktZXRo
bmljIHN0dWR5IG9mIGF0aGVyb3NjbGVyb3NpczwvdGl0bGU+PHNlY29uZGFyeS10aXRsZT5QTG9T
IE9uZTwvc2Vjb25kYXJ5LXRpdGxlPjxhbHQtdGl0bGU+UGxvUyBvbmU8L2FsdC10aXRsZT48L3Rp
dGxlcz48cGVyaW9kaWNhbD48ZnVsbC10aXRsZT5QTG9TIE9uZTwvZnVsbC10aXRsZT48YWJici0x
PlBsb1Mgb25lPC9hYmJyLTE+PC9wZXJpb2RpY2FsPjxhbHQtcGVyaW9kaWNhbD48ZnVsbC10aXRs
ZT5QTG9TIE9uZTwvZnVsbC10aXRsZT48YWJici0xPlBsb1Mgb25lPC9hYmJyLTE+PC9hbHQtcGVy
aW9kaWNhbD48cGFnZXM+ZTcxNDk4PC9wYWdlcz48dm9sdW1lPjg8L3ZvbHVtZT48bnVtYmVyPjg8
L251bWJlcj48ZGF0ZXM+PHllYXI+MjAxMzwveWVhcj48L2RhdGVzPjxpc2JuPjE5MzItNjIwMyAo
RWxlY3Ryb25pYykmI3hEOzE5MzItNjIwMyAoTGlua2luZyk8L2lzYm4+PGFjY2Vzc2lvbi1udW0+
MjQwMDk2NjI8L2FjY2Vzc2lvbi1udW0+PHVybHM+PC91cmxzPjxjdXN0b20yPjM3NTE4OTU8L2N1
c3RvbTI+PGVsZWN0cm9uaWMtcmVzb3VyY2UtbnVtPjEwLjEzNzEvam91cm5hbC5wb25lLjAwNzE0
OTg8L2VsZWN0cm9uaWMtcmVzb3VyY2UtbnVtPjwvcmVjb3JkPjwvQ2l0ZT48L0VuZE5vdGU+AG==
</w:fldData>
        </w:fldChar>
      </w:r>
      <w:r w:rsidR="00F21E9C">
        <w:rPr>
          <w:rFonts w:ascii="Arial" w:hAnsi="Arial" w:cs="Arial"/>
        </w:rPr>
        <w:instrText xml:space="preserve"> ADDIN EN.CITE.DATA </w:instrText>
      </w:r>
      <w:r w:rsidR="00F21E9C">
        <w:rPr>
          <w:rFonts w:ascii="Arial" w:hAnsi="Arial" w:cs="Arial"/>
        </w:rPr>
      </w:r>
      <w:r w:rsidR="00F21E9C">
        <w:rPr>
          <w:rFonts w:ascii="Arial" w:hAnsi="Arial" w:cs="Arial"/>
        </w:rPr>
        <w:fldChar w:fldCharType="end"/>
      </w:r>
      <w:r w:rsidR="00886AC4" w:rsidRPr="007812D3">
        <w:rPr>
          <w:rFonts w:ascii="Arial" w:hAnsi="Arial" w:cs="Arial"/>
        </w:rPr>
      </w:r>
      <w:r w:rsidR="00886AC4" w:rsidRPr="007812D3">
        <w:rPr>
          <w:rFonts w:ascii="Arial" w:hAnsi="Arial" w:cs="Arial"/>
        </w:rPr>
        <w:fldChar w:fldCharType="separate"/>
      </w:r>
      <w:r w:rsidR="00F21E9C">
        <w:rPr>
          <w:rFonts w:ascii="Arial" w:hAnsi="Arial" w:cs="Arial"/>
          <w:noProof/>
        </w:rPr>
        <w:t>[1, 2]</w:t>
      </w:r>
      <w:r w:rsidR="00886AC4" w:rsidRPr="007812D3">
        <w:rPr>
          <w:rFonts w:ascii="Arial" w:hAnsi="Arial" w:cs="Arial"/>
        </w:rPr>
        <w:fldChar w:fldCharType="end"/>
      </w:r>
      <w:r w:rsidR="00886AC4" w:rsidRPr="007812D3">
        <w:rPr>
          <w:rFonts w:ascii="Arial" w:hAnsi="Arial" w:cs="Arial"/>
        </w:rPr>
        <w:t xml:space="preserve">. </w:t>
      </w:r>
    </w:p>
    <w:p w:rsidR="00434986" w:rsidRPr="007812D3" w:rsidRDefault="0005791F" w:rsidP="0020194D">
      <w:pPr>
        <w:autoSpaceDE w:val="0"/>
        <w:autoSpaceDN w:val="0"/>
        <w:adjustRightInd w:val="0"/>
        <w:spacing w:after="0" w:line="480" w:lineRule="auto"/>
        <w:ind w:firstLine="720"/>
        <w:contextualSpacing/>
        <w:rPr>
          <w:rFonts w:ascii="Arial" w:hAnsi="Arial" w:cs="Arial"/>
        </w:rPr>
      </w:pPr>
      <w:r w:rsidRPr="007812D3">
        <w:rPr>
          <w:rFonts w:ascii="Arial" w:hAnsi="Arial" w:cs="Arial"/>
        </w:rPr>
        <w:t>As shown in S1</w:t>
      </w:r>
      <w:r w:rsidR="00735513">
        <w:rPr>
          <w:rFonts w:ascii="Arial" w:hAnsi="Arial" w:cs="Arial"/>
        </w:rPr>
        <w:t xml:space="preserve"> Fig.</w:t>
      </w:r>
      <w:r w:rsidRPr="007812D3">
        <w:rPr>
          <w:rFonts w:ascii="Arial" w:hAnsi="Arial" w:cs="Arial"/>
        </w:rPr>
        <w:t>, t</w:t>
      </w:r>
      <w:r w:rsidR="00DD40FC" w:rsidRPr="007812D3">
        <w:rPr>
          <w:rFonts w:ascii="Arial" w:hAnsi="Arial" w:cs="Arial"/>
        </w:rPr>
        <w:t>he r</w:t>
      </w:r>
      <w:r w:rsidR="00434986" w:rsidRPr="007812D3">
        <w:rPr>
          <w:rFonts w:ascii="Arial" w:hAnsi="Arial" w:cs="Arial"/>
        </w:rPr>
        <w:t>egression slope</w:t>
      </w:r>
      <w:r w:rsidR="00BE5107" w:rsidRPr="007812D3">
        <w:rPr>
          <w:rFonts w:ascii="Arial" w:hAnsi="Arial" w:cs="Arial"/>
        </w:rPr>
        <w:t xml:space="preserve"> comparing fresh versus 24-hour post-draw </w:t>
      </w:r>
      <w:r w:rsidR="00DD40FC" w:rsidRPr="007812D3">
        <w:rPr>
          <w:rFonts w:ascii="Arial" w:hAnsi="Arial" w:cs="Arial"/>
        </w:rPr>
        <w:t>phenotypes</w:t>
      </w:r>
      <w:r w:rsidR="00BE5107" w:rsidRPr="007812D3">
        <w:rPr>
          <w:rFonts w:ascii="Arial" w:hAnsi="Arial" w:cs="Arial"/>
        </w:rPr>
        <w:t xml:space="preserve"> for </w:t>
      </w:r>
      <w:r w:rsidR="00DD40FC" w:rsidRPr="007812D3">
        <w:rPr>
          <w:rFonts w:ascii="Arial" w:hAnsi="Arial" w:cs="Arial"/>
        </w:rPr>
        <w:t>natural killer (NK)</w:t>
      </w:r>
      <w:r w:rsidR="00BE5107" w:rsidRPr="007812D3">
        <w:rPr>
          <w:rFonts w:ascii="Arial" w:hAnsi="Arial" w:cs="Arial"/>
        </w:rPr>
        <w:t xml:space="preserve"> cells</w:t>
      </w:r>
      <w:r w:rsidR="00434986" w:rsidRPr="007812D3">
        <w:rPr>
          <w:rFonts w:ascii="Arial" w:hAnsi="Arial" w:cs="Arial"/>
        </w:rPr>
        <w:t xml:space="preserve"> was 0.97; the Pearson correlation coefficient was 0.94. </w:t>
      </w:r>
      <w:r w:rsidRPr="007812D3">
        <w:rPr>
          <w:rFonts w:ascii="Arial" w:hAnsi="Arial" w:cs="Arial"/>
        </w:rPr>
        <w:t>T</w:t>
      </w:r>
      <w:r w:rsidR="00434986" w:rsidRPr="007812D3">
        <w:rPr>
          <w:rFonts w:ascii="Arial" w:hAnsi="Arial" w:cs="Arial"/>
        </w:rPr>
        <w:t xml:space="preserve">he regression slope </w:t>
      </w:r>
      <w:r w:rsidR="00BE5107" w:rsidRPr="007812D3">
        <w:rPr>
          <w:rFonts w:ascii="Arial" w:hAnsi="Arial" w:cs="Arial"/>
        </w:rPr>
        <w:t>for</w:t>
      </w:r>
      <w:r w:rsidR="00DD40FC" w:rsidRPr="007812D3">
        <w:rPr>
          <w:rFonts w:ascii="Arial" w:hAnsi="Arial" w:cs="Arial"/>
        </w:rPr>
        <w:t xml:space="preserve"> γδ T cells</w:t>
      </w:r>
      <w:r w:rsidR="00434986" w:rsidRPr="007812D3">
        <w:rPr>
          <w:rFonts w:ascii="Arial" w:hAnsi="Arial" w:cs="Arial"/>
        </w:rPr>
        <w:t xml:space="preserve"> was 0.98</w:t>
      </w:r>
      <w:r w:rsidR="0075010B" w:rsidRPr="007812D3">
        <w:rPr>
          <w:rFonts w:ascii="Arial" w:hAnsi="Arial" w:cs="Arial"/>
        </w:rPr>
        <w:t xml:space="preserve"> </w:t>
      </w:r>
      <w:r w:rsidR="00BE5107" w:rsidRPr="007812D3">
        <w:rPr>
          <w:rFonts w:ascii="Arial" w:hAnsi="Arial" w:cs="Arial"/>
        </w:rPr>
        <w:t xml:space="preserve">and </w:t>
      </w:r>
      <w:r w:rsidR="00434986" w:rsidRPr="007812D3">
        <w:rPr>
          <w:rFonts w:ascii="Arial" w:hAnsi="Arial" w:cs="Arial"/>
        </w:rPr>
        <w:t xml:space="preserve">the Pearson correlation coefficient was 0.95. </w:t>
      </w:r>
      <w:r w:rsidRPr="007812D3">
        <w:rPr>
          <w:rFonts w:ascii="Arial" w:hAnsi="Arial" w:cs="Arial"/>
        </w:rPr>
        <w:t xml:space="preserve">These results indicated the measurements </w:t>
      </w:r>
      <w:r w:rsidR="001F641F" w:rsidRPr="007812D3">
        <w:rPr>
          <w:rFonts w:ascii="Arial" w:hAnsi="Arial" w:cs="Arial"/>
        </w:rPr>
        <w:t xml:space="preserve">for NK and γδ T cells </w:t>
      </w:r>
      <w:r w:rsidRPr="007812D3">
        <w:rPr>
          <w:rFonts w:ascii="Arial" w:hAnsi="Arial" w:cs="Arial"/>
        </w:rPr>
        <w:t xml:space="preserve">were </w:t>
      </w:r>
      <w:r w:rsidR="0075010B" w:rsidRPr="007812D3">
        <w:rPr>
          <w:rFonts w:ascii="Arial" w:hAnsi="Arial" w:cs="Arial"/>
        </w:rPr>
        <w:t>stable over</w:t>
      </w:r>
      <w:r w:rsidRPr="007812D3">
        <w:rPr>
          <w:rFonts w:ascii="Arial" w:hAnsi="Arial" w:cs="Arial"/>
        </w:rPr>
        <w:t xml:space="preserve"> the two </w:t>
      </w:r>
      <w:r w:rsidR="0075010B" w:rsidRPr="007812D3">
        <w:rPr>
          <w:rFonts w:ascii="Arial" w:hAnsi="Arial" w:cs="Arial"/>
        </w:rPr>
        <w:t>time points</w:t>
      </w:r>
      <w:r w:rsidRPr="007812D3">
        <w:rPr>
          <w:rFonts w:ascii="Arial" w:hAnsi="Arial" w:cs="Arial"/>
        </w:rPr>
        <w:t>.</w:t>
      </w:r>
    </w:p>
    <w:p w:rsidR="007812D3" w:rsidRPr="00A51D3A" w:rsidRDefault="00D13B6C" w:rsidP="00A51D3A">
      <w:pPr>
        <w:autoSpaceDE w:val="0"/>
        <w:autoSpaceDN w:val="0"/>
        <w:adjustRightInd w:val="0"/>
        <w:spacing w:after="0" w:line="480" w:lineRule="auto"/>
        <w:ind w:firstLine="720"/>
        <w:contextualSpacing/>
        <w:rPr>
          <w:rFonts w:ascii="Arial" w:eastAsiaTheme="minorHAnsi" w:hAnsi="Arial" w:cs="Arial"/>
        </w:rPr>
      </w:pPr>
      <w:r w:rsidRPr="007812D3">
        <w:rPr>
          <w:rFonts w:ascii="Arial" w:hAnsi="Arial" w:cs="Arial"/>
        </w:rPr>
        <w:t>We</w:t>
      </w:r>
      <w:r w:rsidR="00D8525D" w:rsidRPr="007812D3">
        <w:rPr>
          <w:rFonts w:ascii="Arial" w:hAnsi="Arial" w:cs="Arial"/>
        </w:rPr>
        <w:t xml:space="preserve"> assess</w:t>
      </w:r>
      <w:r w:rsidRPr="007812D3">
        <w:rPr>
          <w:rFonts w:ascii="Arial" w:hAnsi="Arial" w:cs="Arial"/>
        </w:rPr>
        <w:t>ed</w:t>
      </w:r>
      <w:r w:rsidR="00D8525D" w:rsidRPr="007812D3">
        <w:rPr>
          <w:rFonts w:ascii="Arial" w:hAnsi="Arial" w:cs="Arial"/>
        </w:rPr>
        <w:t xml:space="preserve"> bio</w:t>
      </w:r>
      <w:r w:rsidRPr="007812D3">
        <w:rPr>
          <w:rFonts w:ascii="Arial" w:hAnsi="Arial" w:cs="Arial"/>
        </w:rPr>
        <w:t>variability and</w:t>
      </w:r>
      <w:r w:rsidR="00D8525D" w:rsidRPr="007812D3">
        <w:rPr>
          <w:rFonts w:ascii="Arial" w:hAnsi="Arial" w:cs="Arial"/>
        </w:rPr>
        <w:t xml:space="preserve"> assay protocol</w:t>
      </w:r>
      <w:r w:rsidRPr="007812D3">
        <w:rPr>
          <w:rFonts w:ascii="Arial" w:hAnsi="Arial" w:cs="Arial"/>
        </w:rPr>
        <w:t xml:space="preserve"> drift</w:t>
      </w:r>
      <w:r w:rsidR="00D8525D" w:rsidRPr="007812D3">
        <w:rPr>
          <w:rFonts w:ascii="Arial" w:hAnsi="Arial" w:cs="Arial"/>
        </w:rPr>
        <w:t xml:space="preserve"> throughout the dur</w:t>
      </w:r>
      <w:r w:rsidR="0075010B" w:rsidRPr="007812D3">
        <w:rPr>
          <w:rFonts w:ascii="Arial" w:hAnsi="Arial" w:cs="Arial"/>
        </w:rPr>
        <w:t xml:space="preserve">ation of the MESA-Inflammation </w:t>
      </w:r>
      <w:r w:rsidRPr="007812D3">
        <w:rPr>
          <w:rFonts w:ascii="Arial" w:hAnsi="Arial" w:cs="Arial"/>
        </w:rPr>
        <w:t>study by</w:t>
      </w:r>
      <w:r w:rsidR="00BE5107" w:rsidRPr="007812D3">
        <w:rPr>
          <w:rFonts w:ascii="Arial" w:hAnsi="Arial" w:cs="Arial"/>
        </w:rPr>
        <w:t xml:space="preserve"> en</w:t>
      </w:r>
      <w:r w:rsidRPr="007812D3">
        <w:rPr>
          <w:rFonts w:ascii="Arial" w:hAnsi="Arial" w:cs="Arial"/>
        </w:rPr>
        <w:t>rolling</w:t>
      </w:r>
      <w:r w:rsidR="00D8525D" w:rsidRPr="007812D3">
        <w:rPr>
          <w:rFonts w:ascii="Arial" w:hAnsi="Arial" w:cs="Arial"/>
        </w:rPr>
        <w:t xml:space="preserve"> </w:t>
      </w:r>
      <w:r w:rsidR="00BE5107" w:rsidRPr="007812D3">
        <w:rPr>
          <w:rFonts w:ascii="Arial" w:hAnsi="Arial" w:cs="Arial"/>
        </w:rPr>
        <w:t xml:space="preserve">14 </w:t>
      </w:r>
      <w:r w:rsidR="00D8525D" w:rsidRPr="007812D3">
        <w:rPr>
          <w:rFonts w:ascii="Arial" w:hAnsi="Arial" w:cs="Arial"/>
        </w:rPr>
        <w:t xml:space="preserve">apparently healthy </w:t>
      </w:r>
      <w:r w:rsidR="00BE5107" w:rsidRPr="007812D3">
        <w:rPr>
          <w:rFonts w:ascii="Arial" w:hAnsi="Arial" w:cs="Arial"/>
        </w:rPr>
        <w:t>local volunteers</w:t>
      </w:r>
      <w:r w:rsidRPr="007812D3">
        <w:rPr>
          <w:rFonts w:ascii="Arial" w:hAnsi="Arial" w:cs="Arial"/>
        </w:rPr>
        <w:t xml:space="preserve">. The volunteers </w:t>
      </w:r>
      <w:r w:rsidR="00BE5107" w:rsidRPr="007812D3">
        <w:rPr>
          <w:rFonts w:ascii="Arial" w:hAnsi="Arial" w:cs="Arial"/>
        </w:rPr>
        <w:t xml:space="preserve">donated samples prior to the </w:t>
      </w:r>
      <w:r w:rsidR="00D8525D" w:rsidRPr="007812D3">
        <w:rPr>
          <w:rFonts w:ascii="Arial" w:hAnsi="Arial" w:cs="Arial"/>
        </w:rPr>
        <w:t>beginning of</w:t>
      </w:r>
      <w:r w:rsidR="00BE5107" w:rsidRPr="007812D3">
        <w:rPr>
          <w:rFonts w:ascii="Arial" w:hAnsi="Arial" w:cs="Arial"/>
        </w:rPr>
        <w:t xml:space="preserve"> the study and periodically throughout the study</w:t>
      </w:r>
      <w:r w:rsidR="00D8525D" w:rsidRPr="007812D3">
        <w:rPr>
          <w:rFonts w:ascii="Arial" w:hAnsi="Arial" w:cs="Arial"/>
        </w:rPr>
        <w:t>’s duration</w:t>
      </w:r>
      <w:r w:rsidRPr="007812D3">
        <w:rPr>
          <w:rFonts w:ascii="Arial" w:hAnsi="Arial" w:cs="Arial"/>
        </w:rPr>
        <w:t xml:space="preserve"> allowing </w:t>
      </w:r>
      <w:r w:rsidR="00A51D3A">
        <w:rPr>
          <w:rFonts w:ascii="Arial" w:hAnsi="Arial" w:cs="Arial"/>
        </w:rPr>
        <w:t xml:space="preserve">for </w:t>
      </w:r>
      <w:r w:rsidRPr="007812D3">
        <w:rPr>
          <w:rFonts w:ascii="Arial" w:hAnsi="Arial" w:cs="Arial"/>
        </w:rPr>
        <w:t>repeated measures of the cellular phenotypes</w:t>
      </w:r>
      <w:r w:rsidR="00D8525D" w:rsidRPr="007812D3">
        <w:rPr>
          <w:rFonts w:ascii="Arial" w:hAnsi="Arial" w:cs="Arial"/>
        </w:rPr>
        <w:t xml:space="preserve">. </w:t>
      </w:r>
      <w:r w:rsidR="00E419C1" w:rsidRPr="007812D3">
        <w:rPr>
          <w:rFonts w:ascii="Arial" w:hAnsi="Arial" w:cs="Arial"/>
        </w:rPr>
        <w:t xml:space="preserve">These measurements were used to calculate </w:t>
      </w:r>
      <w:r w:rsidR="0044299D" w:rsidRPr="007812D3">
        <w:rPr>
          <w:rFonts w:ascii="Arial" w:eastAsiaTheme="minorHAnsi" w:hAnsi="Arial" w:cs="Arial"/>
        </w:rPr>
        <w:t>the</w:t>
      </w:r>
      <w:r w:rsidR="0044299D" w:rsidRPr="007812D3">
        <w:rPr>
          <w:rFonts w:ascii="Arial" w:hAnsi="Arial" w:cs="Arial"/>
        </w:rPr>
        <w:t xml:space="preserve"> analytical coefficient of variation (CV) (CVa); the within-subject CV (CVi); and, the between-subject CV (CVg)</w:t>
      </w:r>
      <w:r w:rsidR="00BE5107" w:rsidRPr="007812D3">
        <w:rPr>
          <w:rFonts w:ascii="Arial" w:eastAsiaTheme="minorHAnsi" w:hAnsi="Arial" w:cs="Arial"/>
        </w:rPr>
        <w:t xml:space="preserve"> using a nested analysis of variance </w:t>
      </w:r>
      <w:r w:rsidR="00BE5107" w:rsidRPr="007812D3">
        <w:rPr>
          <w:rFonts w:ascii="Arial" w:eastAsiaTheme="minorHAnsi" w:hAnsi="Arial" w:cs="Arial"/>
        </w:rPr>
        <w:fldChar w:fldCharType="begin"/>
      </w:r>
      <w:r w:rsidR="00886AC4" w:rsidRPr="007812D3">
        <w:rPr>
          <w:rFonts w:ascii="Arial" w:eastAsiaTheme="minorHAnsi" w:hAnsi="Arial" w:cs="Arial"/>
        </w:rPr>
        <w:instrText xml:space="preserve"> ADDIN EN.CITE &lt;EndNote&gt;&lt;Cite&gt;&lt;Author&gt;Sakkinen&lt;/Author&gt;&lt;Year&gt;1999&lt;/Year&gt;&lt;RecNum&gt;49&lt;/RecNum&gt;&lt;DisplayText&gt;[3]&lt;/DisplayText&gt;&lt;record&gt;&lt;rec-number&gt;49&lt;/rec-number&gt;&lt;foreign-keys&gt;&lt;key app="EN" db-id="2tr05zv25e0aafe9099vpwscezw0f0w9fr25"&gt;49&lt;/key&gt;&lt;/foreign-keys&gt;&lt;ref-type name="Journal Article"&gt;17&lt;/ref-type&gt;&lt;contributors&gt;&lt;authors&gt;&lt;author&gt;Sakkinen, P. A.&lt;/author&gt;&lt;author&gt;Macy, E. M.&lt;/author&gt;&lt;author&gt;Callas, P. W.&lt;/author&gt;&lt;author&gt;Cornell, E. S.&lt;/author&gt;&lt;author&gt;Hayes, T. E.&lt;/author&gt;&lt;author&gt;Kuller, L. H.&lt;/author&gt;&lt;author&gt;Tracy, R. P.&lt;/author&gt;&lt;/authors&gt;&lt;/contributors&gt;&lt;auth-address&gt;Department of Pathology, University of Vermont, Burlington, USA.&lt;/auth-address&gt;&lt;titles&gt;&lt;title&gt;Analytical and biologic variability in measures of hemostasis, fibrinolysis, and inflammation: assessment and implications for epidemiology&lt;/title&gt;&lt;secondary-title&gt;Am J Epidemiol&lt;/secondary-title&gt;&lt;/titles&gt;&lt;periodical&gt;&lt;full-title&gt;Am J Epidemiol&lt;/full-title&gt;&lt;/periodical&gt;&lt;pages&gt;261-7&lt;/pages&gt;&lt;volume&gt;149&lt;/volume&gt;&lt;number&gt;3&lt;/number&gt;&lt;edition&gt;1999/02/02&lt;/edition&gt;&lt;keywords&gt;&lt;keyword&gt;Adult&lt;/keyword&gt;&lt;keyword&gt;Aged&lt;/keyword&gt;&lt;keyword&gt;Analysis of Variance&lt;/keyword&gt;&lt;keyword&gt;Cardiovascular Diseases/blood/ etiology&lt;/keyword&gt;&lt;keyword&gt;Cholesterol/blood&lt;/keyword&gt;&lt;keyword&gt;Epidemiology&lt;/keyword&gt;&lt;keyword&gt;Female&lt;/keyword&gt;&lt;keyword&gt;Fibrinolysis&lt;/keyword&gt;&lt;keyword&gt;Hemostasis&lt;/keyword&gt;&lt;keyword&gt;Humans&lt;/keyword&gt;&lt;keyword&gt;Inflammation&lt;/keyword&gt;&lt;keyword&gt;Male&lt;/keyword&gt;&lt;keyword&gt;Middle Aged&lt;/keyword&gt;&lt;keyword&gt;Models, Statistical&lt;/keyword&gt;&lt;keyword&gt;Multivariate Analysis&lt;/keyword&gt;&lt;keyword&gt;Risk Factors&lt;/keyword&gt;&lt;/keywords&gt;&lt;dates&gt;&lt;year&gt;1999&lt;/year&gt;&lt;pub-dates&gt;&lt;date&gt;Feb 1&lt;/date&gt;&lt;/pub-dates&gt;&lt;/dates&gt;&lt;isbn&gt;0002-9262 (Print)&amp;#xD;0002-9262 (Linking)&lt;/isbn&gt;&lt;accession-num&gt;9927222&lt;/accession-num&gt;&lt;urls&gt;&lt;/urls&gt;&lt;remote-database-provider&gt;NLM&lt;/remote-database-provider&gt;&lt;language&gt;eng&lt;/language&gt;&lt;/record&gt;&lt;/Cite&gt;&lt;/EndNote&gt;</w:instrText>
      </w:r>
      <w:r w:rsidR="00BE5107" w:rsidRPr="007812D3">
        <w:rPr>
          <w:rFonts w:ascii="Arial" w:eastAsiaTheme="minorHAnsi" w:hAnsi="Arial" w:cs="Arial"/>
        </w:rPr>
        <w:fldChar w:fldCharType="separate"/>
      </w:r>
      <w:r w:rsidR="00886AC4" w:rsidRPr="007812D3">
        <w:rPr>
          <w:rFonts w:ascii="Arial" w:eastAsiaTheme="minorHAnsi" w:hAnsi="Arial" w:cs="Arial"/>
          <w:noProof/>
        </w:rPr>
        <w:t>[3]</w:t>
      </w:r>
      <w:r w:rsidR="00BE5107" w:rsidRPr="007812D3">
        <w:rPr>
          <w:rFonts w:ascii="Arial" w:eastAsiaTheme="minorHAnsi" w:hAnsi="Arial" w:cs="Arial"/>
        </w:rPr>
        <w:fldChar w:fldCharType="end"/>
      </w:r>
      <w:r w:rsidR="00E419C1" w:rsidRPr="007812D3">
        <w:rPr>
          <w:rFonts w:ascii="Arial" w:eastAsiaTheme="minorHAnsi" w:hAnsi="Arial" w:cs="Arial"/>
        </w:rPr>
        <w:t xml:space="preserve">. </w:t>
      </w:r>
      <w:r w:rsidR="00BE5107" w:rsidRPr="007812D3">
        <w:rPr>
          <w:rFonts w:ascii="Arial" w:hAnsi="Arial" w:cs="Arial"/>
        </w:rPr>
        <w:t xml:space="preserve">In cases where analysis was done only in singleton, no CVa was calculated. The Index of Individuality (II), </w:t>
      </w:r>
      <w:r w:rsidR="00BE5107" w:rsidRPr="007812D3">
        <w:rPr>
          <w:rFonts w:ascii="Arial" w:eastAsiaTheme="minorHAnsi" w:hAnsi="Arial" w:cs="Arial"/>
        </w:rPr>
        <w:t>which</w:t>
      </w:r>
      <w:r w:rsidR="00E419C1" w:rsidRPr="007812D3">
        <w:rPr>
          <w:rFonts w:ascii="Arial" w:hAnsi="Arial" w:cs="Arial"/>
        </w:rPr>
        <w:t xml:space="preserve"> measures the ability to detect changes in an individual compared with the total population, was calculated as</w:t>
      </w:r>
      <w:r w:rsidR="00E419C1" w:rsidRPr="007812D3">
        <w:rPr>
          <w:rFonts w:ascii="Arial" w:eastAsiaTheme="minorHAnsi" w:hAnsi="Arial" w:cs="Arial"/>
        </w:rPr>
        <w:t xml:space="preserve"> </w:t>
      </w:r>
      <w:r w:rsidR="00BE5107" w:rsidRPr="007812D3">
        <w:rPr>
          <w:rFonts w:ascii="Arial" w:eastAsiaTheme="minorHAnsi" w:hAnsi="Arial" w:cs="Arial"/>
        </w:rPr>
        <w:t xml:space="preserve">the ratio of the within-individual variation (CVi) to the </w:t>
      </w:r>
      <w:r w:rsidR="00E419C1" w:rsidRPr="007812D3">
        <w:rPr>
          <w:rFonts w:ascii="Arial" w:eastAsiaTheme="minorHAnsi" w:hAnsi="Arial" w:cs="Arial"/>
        </w:rPr>
        <w:t>between-subject variation (CVg)</w:t>
      </w:r>
      <w:r w:rsidR="00BE5107" w:rsidRPr="007812D3">
        <w:rPr>
          <w:rFonts w:ascii="Arial" w:hAnsi="Arial" w:cs="Arial"/>
        </w:rPr>
        <w:t>.</w:t>
      </w:r>
      <w:r w:rsidR="00BE5107" w:rsidRPr="007812D3">
        <w:rPr>
          <w:rFonts w:ascii="Arial" w:eastAsiaTheme="minorHAnsi" w:hAnsi="Arial" w:cs="Arial"/>
        </w:rPr>
        <w:t xml:space="preserve"> </w:t>
      </w:r>
      <w:r w:rsidR="00E419C1" w:rsidRPr="007812D3">
        <w:rPr>
          <w:rFonts w:ascii="Arial" w:hAnsi="Arial" w:cs="Arial"/>
        </w:rPr>
        <w:t xml:space="preserve">The </w:t>
      </w:r>
      <w:r w:rsidR="00BE5107" w:rsidRPr="007812D3">
        <w:rPr>
          <w:rFonts w:ascii="Arial" w:hAnsi="Arial" w:cs="Arial"/>
        </w:rPr>
        <w:t>biovariability data</w:t>
      </w:r>
      <w:r w:rsidR="00E419C1" w:rsidRPr="007812D3">
        <w:rPr>
          <w:rFonts w:ascii="Arial" w:hAnsi="Arial" w:cs="Arial"/>
        </w:rPr>
        <w:t xml:space="preserve"> for NK and γδ T cells</w:t>
      </w:r>
      <w:r w:rsidR="00BE5107" w:rsidRPr="007812D3">
        <w:rPr>
          <w:rFonts w:ascii="Arial" w:hAnsi="Arial" w:cs="Arial"/>
        </w:rPr>
        <w:t xml:space="preserve"> are summarized in </w:t>
      </w:r>
      <w:r w:rsidR="00735513" w:rsidRPr="007812D3">
        <w:rPr>
          <w:rFonts w:ascii="Arial" w:hAnsi="Arial" w:cs="Arial"/>
        </w:rPr>
        <w:t>S1</w:t>
      </w:r>
      <w:r w:rsidR="00735513">
        <w:rPr>
          <w:rFonts w:ascii="Arial" w:hAnsi="Arial" w:cs="Arial"/>
        </w:rPr>
        <w:t xml:space="preserve"> </w:t>
      </w:r>
      <w:r w:rsidR="00BE5107" w:rsidRPr="007812D3">
        <w:rPr>
          <w:rFonts w:ascii="Arial" w:hAnsi="Arial" w:cs="Arial"/>
        </w:rPr>
        <w:t xml:space="preserve">Table. </w:t>
      </w:r>
    </w:p>
    <w:p w:rsidR="0038118B" w:rsidRPr="00011A52" w:rsidRDefault="00735513" w:rsidP="0038118B">
      <w:pPr>
        <w:spacing w:line="240" w:lineRule="auto"/>
        <w:contextualSpacing/>
        <w:rPr>
          <w:rFonts w:ascii="Arial" w:hAnsi="Arial" w:cs="Arial"/>
          <w:b/>
        </w:rPr>
      </w:pPr>
      <w:r w:rsidRPr="001C50B4">
        <w:rPr>
          <w:rFonts w:ascii="Arial" w:hAnsi="Arial" w:cs="Arial"/>
          <w:b/>
        </w:rPr>
        <w:lastRenderedPageBreak/>
        <w:t>S1</w:t>
      </w:r>
      <w:r w:rsidR="00BF0FCD" w:rsidRPr="001C50B4">
        <w:rPr>
          <w:rFonts w:ascii="Arial" w:hAnsi="Arial" w:cs="Arial"/>
          <w:b/>
        </w:rPr>
        <w:t xml:space="preserve">Table. </w:t>
      </w:r>
      <w:r w:rsidR="00BF0FCD" w:rsidRPr="001C50B4">
        <w:rPr>
          <w:rFonts w:ascii="Arial" w:hAnsi="Arial" w:cs="Arial"/>
        </w:rPr>
        <w:t xml:space="preserve">Biovariability </w:t>
      </w:r>
      <w:r w:rsidR="0038118B" w:rsidRPr="001C50B4">
        <w:rPr>
          <w:rFonts w:ascii="Arial" w:hAnsi="Arial" w:cs="Arial"/>
        </w:rPr>
        <w:t>m</w:t>
      </w:r>
      <w:r w:rsidR="00BF0FCD" w:rsidRPr="001C50B4">
        <w:rPr>
          <w:rFonts w:ascii="Arial" w:hAnsi="Arial" w:cs="Arial"/>
        </w:rPr>
        <w:t xml:space="preserve">easures for </w:t>
      </w:r>
      <w:r w:rsidR="006D757A">
        <w:rPr>
          <w:rFonts w:ascii="Arial" w:hAnsi="Arial" w:cs="Arial"/>
        </w:rPr>
        <w:t xml:space="preserve">natural killer and </w:t>
      </w:r>
      <w:r w:rsidR="006D757A" w:rsidRPr="001C50B4">
        <w:rPr>
          <w:rFonts w:ascii="Arial" w:hAnsi="Arial" w:cs="Arial"/>
        </w:rPr>
        <w:t xml:space="preserve">γδ T </w:t>
      </w:r>
      <w:r w:rsidR="006D757A">
        <w:rPr>
          <w:rFonts w:ascii="Arial" w:hAnsi="Arial" w:cs="Arial"/>
        </w:rPr>
        <w:t>c</w:t>
      </w:r>
      <w:r w:rsidR="006D757A" w:rsidRPr="001C50B4">
        <w:rPr>
          <w:rFonts w:ascii="Arial" w:hAnsi="Arial" w:cs="Arial"/>
        </w:rPr>
        <w:t>ells</w:t>
      </w:r>
      <w:r w:rsidR="00FD1ECB" w:rsidRPr="001C50B4">
        <w:rPr>
          <w:rFonts w:ascii="Arial" w:hAnsi="Arial" w:cs="Arial"/>
        </w:rPr>
        <w:t>.</w:t>
      </w:r>
      <w:r w:rsidR="00BF0FCD" w:rsidRPr="001C50B4">
        <w:rPr>
          <w:rFonts w:ascii="Arial" w:hAnsi="Arial" w:cs="Arial"/>
        </w:rPr>
        <w:t xml:space="preserve"> </w:t>
      </w:r>
    </w:p>
    <w:p w:rsidR="00D7794C" w:rsidRPr="001C50B4" w:rsidRDefault="00D7794C" w:rsidP="0038118B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83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1350"/>
        <w:gridCol w:w="846"/>
        <w:gridCol w:w="1098"/>
        <w:gridCol w:w="666"/>
        <w:gridCol w:w="1530"/>
      </w:tblGrid>
      <w:tr w:rsidR="00A40939" w:rsidRPr="001C50B4" w:rsidTr="001C50B4">
        <w:trPr>
          <w:trHeight w:val="353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40939" w:rsidRPr="001C50B4" w:rsidRDefault="00A40939" w:rsidP="00A40939">
            <w:pPr>
              <w:contextualSpacing/>
              <w:rPr>
                <w:rFonts w:ascii="Arial" w:hAnsi="Arial" w:cs="Arial"/>
              </w:rPr>
            </w:pPr>
            <w:r w:rsidRPr="001C50B4">
              <w:rPr>
                <w:rFonts w:ascii="Arial" w:hAnsi="Arial" w:cs="Arial"/>
                <w:b/>
                <w:sz w:val="22"/>
                <w:szCs w:val="22"/>
              </w:rPr>
              <w:t xml:space="preserve">Lymphocyte subpopulation </w:t>
            </w:r>
            <w:r w:rsidRPr="001C50B4">
              <w:rPr>
                <w:rFonts w:ascii="Arial" w:hAnsi="Arial" w:cs="Arial"/>
                <w:sz w:val="22"/>
                <w:szCs w:val="22"/>
              </w:rPr>
              <w:t>(</w:t>
            </w:r>
            <w:r w:rsidRPr="001C50B4"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Pr="001C50B4">
              <w:rPr>
                <w:rFonts w:ascii="Arial" w:hAnsi="Arial" w:cs="Arial"/>
                <w:sz w:val="22"/>
                <w:szCs w:val="22"/>
              </w:rPr>
              <w:t>=14)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0939" w:rsidRPr="001C50B4" w:rsidRDefault="00A40939" w:rsidP="00D57EC7">
            <w:pPr>
              <w:tabs>
                <w:tab w:val="decimal" w:pos="513"/>
                <w:tab w:val="decimal" w:pos="806"/>
              </w:tabs>
              <w:contextualSpacing/>
              <w:jc w:val="center"/>
              <w:rPr>
                <w:rFonts w:ascii="Arial" w:hAnsi="Arial" w:cs="Arial"/>
              </w:rPr>
            </w:pPr>
            <w:r w:rsidRPr="001C50B4">
              <w:rPr>
                <w:rFonts w:ascii="Arial" w:hAnsi="Arial" w:cs="Arial"/>
                <w:b/>
                <w:sz w:val="22"/>
                <w:szCs w:val="22"/>
              </w:rPr>
              <w:t>Mean (SD)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0939" w:rsidRPr="001C50B4" w:rsidRDefault="00A40939" w:rsidP="00D57EC7">
            <w:pPr>
              <w:contextualSpacing/>
              <w:jc w:val="center"/>
              <w:rPr>
                <w:rFonts w:ascii="Arial" w:hAnsi="Arial" w:cs="Arial"/>
              </w:rPr>
            </w:pPr>
            <w:r w:rsidRPr="001C50B4">
              <w:rPr>
                <w:rFonts w:ascii="Arial" w:hAnsi="Arial" w:cs="Arial"/>
                <w:b/>
                <w:sz w:val="22"/>
                <w:szCs w:val="22"/>
              </w:rPr>
              <w:t>% CVi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0939" w:rsidRPr="001C50B4" w:rsidRDefault="00A40939" w:rsidP="00D57EC7">
            <w:pPr>
              <w:contextualSpacing/>
              <w:jc w:val="center"/>
              <w:rPr>
                <w:rFonts w:ascii="Arial" w:hAnsi="Arial" w:cs="Arial"/>
              </w:rPr>
            </w:pPr>
            <w:r w:rsidRPr="001C50B4">
              <w:rPr>
                <w:rFonts w:ascii="Arial" w:hAnsi="Arial" w:cs="Arial"/>
                <w:b/>
                <w:sz w:val="22"/>
                <w:szCs w:val="22"/>
              </w:rPr>
              <w:t>% CVg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0939" w:rsidRPr="001C50B4" w:rsidRDefault="00A40939" w:rsidP="00A40939">
            <w:pPr>
              <w:contextualSpacing/>
              <w:jc w:val="center"/>
              <w:rPr>
                <w:rFonts w:ascii="Arial" w:hAnsi="Arial" w:cs="Arial"/>
              </w:rPr>
            </w:pPr>
            <w:r w:rsidRPr="001C50B4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40939" w:rsidRPr="001C50B4" w:rsidRDefault="00A40939" w:rsidP="001C50B4">
            <w:pPr>
              <w:contextualSpacing/>
              <w:jc w:val="center"/>
              <w:rPr>
                <w:rFonts w:ascii="Arial" w:hAnsi="Arial" w:cs="Arial"/>
              </w:rPr>
            </w:pPr>
            <w:r w:rsidRPr="001C50B4">
              <w:rPr>
                <w:rFonts w:ascii="Arial" w:hAnsi="Arial" w:cs="Arial"/>
                <w:b/>
                <w:sz w:val="22"/>
                <w:szCs w:val="22"/>
              </w:rPr>
              <w:t>CVg / CV</w:t>
            </w:r>
            <w:r w:rsidRPr="001C50B4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total</w:t>
            </w:r>
          </w:p>
        </w:tc>
      </w:tr>
      <w:tr w:rsidR="00A40939" w:rsidRPr="001C50B4" w:rsidTr="001C50B4">
        <w:trPr>
          <w:trHeight w:val="353"/>
        </w:trPr>
        <w:tc>
          <w:tcPr>
            <w:tcW w:w="3870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7794C" w:rsidRPr="001C50B4" w:rsidRDefault="00D7794C" w:rsidP="00A4093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50B4">
              <w:rPr>
                <w:rFonts w:ascii="Arial" w:hAnsi="Arial" w:cs="Arial"/>
                <w:sz w:val="22"/>
                <w:szCs w:val="22"/>
              </w:rPr>
              <w:t>% Natural Killer Cells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794C" w:rsidRPr="001C50B4" w:rsidRDefault="00D7794C" w:rsidP="00A40939">
            <w:pPr>
              <w:tabs>
                <w:tab w:val="decimal" w:pos="513"/>
                <w:tab w:val="decimal" w:pos="806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0B4">
              <w:rPr>
                <w:rFonts w:ascii="Arial" w:hAnsi="Arial" w:cs="Arial"/>
                <w:sz w:val="22"/>
                <w:szCs w:val="22"/>
              </w:rPr>
              <w:t>6.6 (3.2)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794C" w:rsidRPr="001C50B4" w:rsidRDefault="00D7794C" w:rsidP="00A409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0B4">
              <w:rPr>
                <w:rFonts w:ascii="Arial" w:hAnsi="Arial" w:cs="Arial"/>
                <w:sz w:val="22"/>
                <w:szCs w:val="22"/>
              </w:rPr>
              <w:t>33.9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794C" w:rsidRPr="001C50B4" w:rsidRDefault="00D7794C" w:rsidP="00A409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0B4">
              <w:rPr>
                <w:rFonts w:ascii="Arial" w:hAnsi="Arial" w:cs="Arial"/>
                <w:sz w:val="22"/>
                <w:szCs w:val="22"/>
              </w:rPr>
              <w:t>33.8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794C" w:rsidRPr="001C50B4" w:rsidRDefault="004F6C00" w:rsidP="00A4093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7794C" w:rsidRPr="001C50B4" w:rsidRDefault="00D7794C" w:rsidP="00A409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0B4">
              <w:rPr>
                <w:rFonts w:ascii="Arial" w:hAnsi="Arial" w:cs="Arial"/>
                <w:sz w:val="22"/>
                <w:szCs w:val="22"/>
              </w:rPr>
              <w:t>0.50</w:t>
            </w:r>
          </w:p>
        </w:tc>
      </w:tr>
      <w:tr w:rsidR="00A40939" w:rsidRPr="001C50B4" w:rsidTr="001C50B4">
        <w:trPr>
          <w:trHeight w:val="353"/>
        </w:trPr>
        <w:tc>
          <w:tcPr>
            <w:tcW w:w="387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7794C" w:rsidRPr="001C50B4" w:rsidRDefault="00D7794C" w:rsidP="00A4093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50B4">
              <w:rPr>
                <w:rFonts w:ascii="Arial" w:hAnsi="Arial" w:cs="Arial"/>
                <w:sz w:val="22"/>
                <w:szCs w:val="22"/>
              </w:rPr>
              <w:t>% γδ T Cells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94C" w:rsidRPr="001C50B4" w:rsidRDefault="00D7794C" w:rsidP="00A40939">
            <w:pPr>
              <w:tabs>
                <w:tab w:val="decimal" w:pos="513"/>
                <w:tab w:val="decimal" w:pos="806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0B4">
              <w:rPr>
                <w:rFonts w:ascii="Arial" w:hAnsi="Arial" w:cs="Arial"/>
                <w:sz w:val="22"/>
                <w:szCs w:val="22"/>
              </w:rPr>
              <w:t>2.0 (1.3)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94C" w:rsidRPr="001C50B4" w:rsidRDefault="00D7794C" w:rsidP="00A409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0B4">
              <w:rPr>
                <w:rFonts w:ascii="Arial" w:hAnsi="Arial" w:cs="Arial"/>
                <w:sz w:val="22"/>
                <w:szCs w:val="22"/>
              </w:rPr>
              <w:t>40.4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94C" w:rsidRPr="001C50B4" w:rsidRDefault="00D7794C" w:rsidP="00A409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0B4">
              <w:rPr>
                <w:rFonts w:ascii="Arial" w:hAnsi="Arial" w:cs="Arial"/>
                <w:sz w:val="22"/>
                <w:szCs w:val="22"/>
              </w:rPr>
              <w:t>56.5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94C" w:rsidRPr="001C50B4" w:rsidRDefault="00D7794C" w:rsidP="00A4093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50B4">
              <w:rPr>
                <w:rFonts w:ascii="Arial" w:hAnsi="Arial" w:cs="Arial"/>
                <w:sz w:val="22"/>
                <w:szCs w:val="22"/>
              </w:rPr>
              <w:t>0.72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7794C" w:rsidRPr="001C50B4" w:rsidRDefault="00D7794C" w:rsidP="00A4093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0B4">
              <w:rPr>
                <w:rFonts w:ascii="Arial" w:hAnsi="Arial" w:cs="Arial"/>
                <w:sz w:val="22"/>
                <w:szCs w:val="22"/>
              </w:rPr>
              <w:t>0.58</w:t>
            </w:r>
          </w:p>
        </w:tc>
      </w:tr>
    </w:tbl>
    <w:p w:rsidR="001831A7" w:rsidRPr="001C50B4" w:rsidRDefault="001831A7" w:rsidP="0038118B">
      <w:pPr>
        <w:spacing w:line="240" w:lineRule="auto"/>
        <w:contextualSpacing/>
        <w:rPr>
          <w:rFonts w:ascii="Arial" w:hAnsi="Arial" w:cs="Arial"/>
        </w:rPr>
      </w:pPr>
    </w:p>
    <w:p w:rsidR="001A76F8" w:rsidRPr="001C50B4" w:rsidRDefault="00BF0FCD" w:rsidP="0038118B">
      <w:pPr>
        <w:spacing w:line="240" w:lineRule="auto"/>
        <w:contextualSpacing/>
        <w:rPr>
          <w:rFonts w:ascii="Arial" w:hAnsi="Arial" w:cs="Arial"/>
        </w:rPr>
      </w:pPr>
      <w:r w:rsidRPr="001C50B4">
        <w:rPr>
          <w:rFonts w:ascii="Arial" w:hAnsi="Arial" w:cs="Arial"/>
        </w:rPr>
        <w:t>CVi, intra-person coefficient of variation; CVg, inter-person coefficient of variation; II, index of individuality (CVi/CVg); CV</w:t>
      </w:r>
      <w:r w:rsidRPr="001C50B4">
        <w:rPr>
          <w:rFonts w:ascii="Arial" w:hAnsi="Arial" w:cs="Arial"/>
          <w:vertAlign w:val="subscript"/>
        </w:rPr>
        <w:t>total</w:t>
      </w:r>
      <w:r w:rsidR="001B59DA" w:rsidRPr="001C50B4">
        <w:rPr>
          <w:rFonts w:ascii="Arial" w:hAnsi="Arial" w:cs="Arial"/>
        </w:rPr>
        <w:t>=</w:t>
      </w:r>
      <w:r w:rsidRPr="001C50B4">
        <w:rPr>
          <w:rFonts w:ascii="Arial" w:hAnsi="Arial" w:cs="Arial"/>
        </w:rPr>
        <w:t>CVi+CVg</w:t>
      </w:r>
      <w:r w:rsidR="0005791F" w:rsidRPr="001C50B4">
        <w:rPr>
          <w:rFonts w:ascii="Arial" w:hAnsi="Arial" w:cs="Arial"/>
        </w:rPr>
        <w:t>.</w:t>
      </w:r>
      <w:r w:rsidR="007812D3">
        <w:rPr>
          <w:rFonts w:ascii="Arial" w:hAnsi="Arial" w:cs="Arial"/>
        </w:rPr>
        <w:t xml:space="preserve"> </w:t>
      </w:r>
    </w:p>
    <w:p w:rsidR="001A76F8" w:rsidRDefault="001A76F8" w:rsidP="00BF0FCD">
      <w:pPr>
        <w:spacing w:line="240" w:lineRule="auto"/>
        <w:contextualSpacing/>
        <w:rPr>
          <w:rFonts w:ascii="Times New Roman" w:hAnsi="Times New Roman" w:cs="Times New Roman"/>
        </w:rPr>
      </w:pPr>
    </w:p>
    <w:p w:rsidR="001A76F8" w:rsidRDefault="001A76F8" w:rsidP="00BF0FCD">
      <w:pPr>
        <w:spacing w:line="240" w:lineRule="auto"/>
        <w:contextualSpacing/>
        <w:rPr>
          <w:rFonts w:ascii="Times New Roman" w:hAnsi="Times New Roman" w:cs="Times New Roman"/>
        </w:rPr>
      </w:pPr>
    </w:p>
    <w:p w:rsidR="00C66BDA" w:rsidRDefault="00C66BDA" w:rsidP="00EF1E8C">
      <w:pPr>
        <w:rPr>
          <w:rFonts w:ascii="Times New Roman" w:hAnsi="Times New Roman" w:cs="Times New Roman"/>
          <w:b/>
        </w:rPr>
      </w:pPr>
    </w:p>
    <w:p w:rsidR="00C66BDA" w:rsidRDefault="00C66BDA" w:rsidP="00EF1E8C">
      <w:pPr>
        <w:rPr>
          <w:rFonts w:ascii="Times New Roman" w:hAnsi="Times New Roman" w:cs="Times New Roman"/>
          <w:b/>
        </w:rPr>
      </w:pPr>
    </w:p>
    <w:p w:rsidR="00C66BDA" w:rsidRDefault="00C66BDA" w:rsidP="00EF1E8C">
      <w:pPr>
        <w:rPr>
          <w:rFonts w:ascii="Times New Roman" w:hAnsi="Times New Roman" w:cs="Times New Roman"/>
          <w:b/>
        </w:rPr>
      </w:pPr>
    </w:p>
    <w:p w:rsidR="00C66BDA" w:rsidRDefault="00C66BDA" w:rsidP="00EF1E8C">
      <w:pPr>
        <w:rPr>
          <w:rFonts w:ascii="Times New Roman" w:hAnsi="Times New Roman" w:cs="Times New Roman"/>
          <w:b/>
        </w:rPr>
      </w:pPr>
    </w:p>
    <w:p w:rsidR="00C66BDA" w:rsidRDefault="00C66BDA" w:rsidP="00EF1E8C">
      <w:pPr>
        <w:rPr>
          <w:rFonts w:ascii="Times New Roman" w:hAnsi="Times New Roman" w:cs="Times New Roman"/>
          <w:b/>
        </w:rPr>
      </w:pPr>
    </w:p>
    <w:p w:rsidR="00C66BDA" w:rsidRDefault="00C66BDA" w:rsidP="00EF1E8C">
      <w:pPr>
        <w:rPr>
          <w:rFonts w:ascii="Times New Roman" w:hAnsi="Times New Roman" w:cs="Times New Roman"/>
          <w:b/>
        </w:rPr>
      </w:pPr>
    </w:p>
    <w:p w:rsidR="00C66BDA" w:rsidRDefault="00C66BDA" w:rsidP="00EF1E8C">
      <w:pPr>
        <w:rPr>
          <w:rFonts w:ascii="Times New Roman" w:hAnsi="Times New Roman" w:cs="Times New Roman"/>
          <w:b/>
        </w:rPr>
      </w:pPr>
    </w:p>
    <w:p w:rsidR="00C66BDA" w:rsidRDefault="00C66BDA" w:rsidP="00EF1E8C">
      <w:pPr>
        <w:rPr>
          <w:rFonts w:ascii="Times New Roman" w:hAnsi="Times New Roman" w:cs="Times New Roman"/>
          <w:b/>
        </w:rPr>
      </w:pPr>
    </w:p>
    <w:p w:rsidR="00C66BDA" w:rsidRDefault="00C66BDA" w:rsidP="00EF1E8C">
      <w:pPr>
        <w:rPr>
          <w:rFonts w:ascii="Times New Roman" w:hAnsi="Times New Roman" w:cs="Times New Roman"/>
          <w:b/>
        </w:rPr>
      </w:pPr>
    </w:p>
    <w:p w:rsidR="00C66BDA" w:rsidRDefault="00C66BDA" w:rsidP="00EF1E8C">
      <w:pPr>
        <w:rPr>
          <w:rFonts w:ascii="Times New Roman" w:hAnsi="Times New Roman" w:cs="Times New Roman"/>
          <w:b/>
        </w:rPr>
      </w:pPr>
    </w:p>
    <w:p w:rsidR="00C66BDA" w:rsidRDefault="00C66BDA" w:rsidP="00EF1E8C">
      <w:pPr>
        <w:rPr>
          <w:rFonts w:ascii="Times New Roman" w:hAnsi="Times New Roman" w:cs="Times New Roman"/>
          <w:b/>
        </w:rPr>
      </w:pPr>
    </w:p>
    <w:p w:rsidR="00C66BDA" w:rsidRDefault="00C66BDA" w:rsidP="00EF1E8C">
      <w:pPr>
        <w:rPr>
          <w:rFonts w:ascii="Times New Roman" w:hAnsi="Times New Roman" w:cs="Times New Roman"/>
          <w:b/>
        </w:rPr>
      </w:pPr>
    </w:p>
    <w:p w:rsidR="00C66BDA" w:rsidRDefault="00C66BDA" w:rsidP="00EF1E8C">
      <w:pPr>
        <w:rPr>
          <w:rFonts w:ascii="Times New Roman" w:hAnsi="Times New Roman" w:cs="Times New Roman"/>
          <w:b/>
        </w:rPr>
      </w:pPr>
    </w:p>
    <w:p w:rsidR="00C66BDA" w:rsidRDefault="00C66BDA" w:rsidP="00EF1E8C">
      <w:pPr>
        <w:rPr>
          <w:rFonts w:ascii="Times New Roman" w:hAnsi="Times New Roman" w:cs="Times New Roman"/>
          <w:b/>
        </w:rPr>
      </w:pPr>
    </w:p>
    <w:p w:rsidR="00C66BDA" w:rsidRDefault="00C66BDA" w:rsidP="00EF1E8C">
      <w:pPr>
        <w:rPr>
          <w:rFonts w:ascii="Times New Roman" w:hAnsi="Times New Roman" w:cs="Times New Roman"/>
          <w:b/>
        </w:rPr>
      </w:pPr>
    </w:p>
    <w:p w:rsidR="001F7544" w:rsidRDefault="001F7544" w:rsidP="00EF1E8C">
      <w:pPr>
        <w:rPr>
          <w:rFonts w:ascii="Times New Roman" w:hAnsi="Times New Roman" w:cs="Times New Roman"/>
          <w:b/>
        </w:rPr>
      </w:pPr>
    </w:p>
    <w:p w:rsidR="001F7544" w:rsidRDefault="001F7544" w:rsidP="00EF1E8C">
      <w:pPr>
        <w:rPr>
          <w:rFonts w:ascii="Times New Roman" w:hAnsi="Times New Roman" w:cs="Times New Roman"/>
          <w:b/>
        </w:rPr>
      </w:pPr>
    </w:p>
    <w:p w:rsidR="001F7544" w:rsidRDefault="001F7544" w:rsidP="00EF1E8C">
      <w:pPr>
        <w:rPr>
          <w:rFonts w:ascii="Times New Roman" w:hAnsi="Times New Roman" w:cs="Times New Roman"/>
          <w:b/>
        </w:rPr>
      </w:pPr>
    </w:p>
    <w:p w:rsidR="001F7544" w:rsidRDefault="001F7544" w:rsidP="00EF1E8C">
      <w:pPr>
        <w:rPr>
          <w:rFonts w:ascii="Times New Roman" w:hAnsi="Times New Roman" w:cs="Times New Roman"/>
          <w:b/>
        </w:rPr>
      </w:pPr>
    </w:p>
    <w:p w:rsidR="00011A52" w:rsidRDefault="00011A52" w:rsidP="00EF1E8C">
      <w:pPr>
        <w:rPr>
          <w:rFonts w:ascii="Arial" w:hAnsi="Arial" w:cs="Arial"/>
          <w:b/>
        </w:rPr>
      </w:pPr>
    </w:p>
    <w:p w:rsidR="00C66BDA" w:rsidRPr="007812D3" w:rsidRDefault="00C66BDA" w:rsidP="00EF1E8C">
      <w:pPr>
        <w:rPr>
          <w:rFonts w:ascii="Arial" w:hAnsi="Arial" w:cs="Arial"/>
          <w:b/>
        </w:rPr>
      </w:pPr>
      <w:r w:rsidRPr="007812D3">
        <w:rPr>
          <w:rFonts w:ascii="Arial" w:hAnsi="Arial" w:cs="Arial"/>
          <w:b/>
        </w:rPr>
        <w:lastRenderedPageBreak/>
        <w:t xml:space="preserve">References </w:t>
      </w:r>
    </w:p>
    <w:p w:rsidR="00FA7A5D" w:rsidRDefault="00D8525D" w:rsidP="00F21E9C">
      <w:pPr>
        <w:pStyle w:val="EndNoteBibliography"/>
        <w:spacing w:after="0"/>
        <w:rPr>
          <w:rFonts w:ascii="Arial" w:hAnsi="Arial" w:cs="Arial"/>
        </w:rPr>
      </w:pPr>
      <w:r w:rsidRPr="00BA3969">
        <w:rPr>
          <w:rFonts w:ascii="Arial" w:hAnsi="Arial" w:cs="Arial"/>
          <w:b/>
        </w:rPr>
        <w:fldChar w:fldCharType="begin"/>
      </w:r>
      <w:r w:rsidRPr="00F21E9C">
        <w:rPr>
          <w:rFonts w:ascii="Arial" w:hAnsi="Arial" w:cs="Arial"/>
          <w:b/>
        </w:rPr>
        <w:instrText xml:space="preserve"> ADDIN EN.REFLIST </w:instrText>
      </w:r>
      <w:r w:rsidRPr="00BA3969">
        <w:rPr>
          <w:rFonts w:ascii="Arial" w:hAnsi="Arial" w:cs="Arial"/>
          <w:b/>
        </w:rPr>
        <w:fldChar w:fldCharType="separate"/>
      </w:r>
      <w:r w:rsidR="00F21E9C" w:rsidRPr="00BA3969">
        <w:rPr>
          <w:rFonts w:ascii="Arial" w:hAnsi="Arial" w:cs="Arial"/>
        </w:rPr>
        <w:t>1.</w:t>
      </w:r>
      <w:r w:rsidR="00F21E9C" w:rsidRPr="00BA3969">
        <w:rPr>
          <w:rFonts w:ascii="Arial" w:hAnsi="Arial" w:cs="Arial"/>
        </w:rPr>
        <w:tab/>
        <w:t xml:space="preserve">Tracy RP, Doyle MF, Olson NC, Huber SA, Jenny NS, Sallam R, et al. T-helper type 1 bias in healthy people is associated with cytomegalovirus serology and atherosclerosis: the multi-ethnic study of atherosclerosis. J Am Heart Assoc. 2013;2(3):e000117. </w:t>
      </w:r>
    </w:p>
    <w:p w:rsidR="00F21E9C" w:rsidRPr="00BA3969" w:rsidRDefault="00F21E9C" w:rsidP="00F21E9C">
      <w:pPr>
        <w:pStyle w:val="EndNoteBibliography"/>
        <w:spacing w:after="0"/>
        <w:rPr>
          <w:rFonts w:ascii="Arial" w:hAnsi="Arial" w:cs="Arial"/>
        </w:rPr>
      </w:pPr>
      <w:r w:rsidRPr="00BA3969">
        <w:rPr>
          <w:rFonts w:ascii="Arial" w:hAnsi="Arial" w:cs="Arial"/>
        </w:rPr>
        <w:t>2.</w:t>
      </w:r>
      <w:r w:rsidRPr="00BA3969">
        <w:rPr>
          <w:rFonts w:ascii="Arial" w:hAnsi="Arial" w:cs="Arial"/>
        </w:rPr>
        <w:tab/>
        <w:t xml:space="preserve">Olson NC, Doyle MF, Jenny NS, Huber SA, Psaty BM, Kronmal RA, et al. Decreased naive and increased memory CD4(+) T cells are associated with subclinical atherosclerosis: the multi-ethnic study of atherosclerosis. </w:t>
      </w:r>
      <w:r w:rsidR="0052051F" w:rsidRPr="00BA3969">
        <w:rPr>
          <w:rFonts w:ascii="Arial" w:hAnsi="Arial" w:cs="Arial"/>
        </w:rPr>
        <w:t>P</w:t>
      </w:r>
      <w:r w:rsidR="0052051F">
        <w:rPr>
          <w:rFonts w:ascii="Arial" w:hAnsi="Arial" w:cs="Arial"/>
        </w:rPr>
        <w:t>L</w:t>
      </w:r>
      <w:r w:rsidR="0052051F" w:rsidRPr="00BA3969">
        <w:rPr>
          <w:rFonts w:ascii="Arial" w:hAnsi="Arial" w:cs="Arial"/>
        </w:rPr>
        <w:t xml:space="preserve">oS </w:t>
      </w:r>
      <w:r w:rsidR="0052051F">
        <w:rPr>
          <w:rFonts w:ascii="Arial" w:hAnsi="Arial" w:cs="Arial"/>
        </w:rPr>
        <w:t>O</w:t>
      </w:r>
      <w:r w:rsidR="0052051F" w:rsidRPr="00BA3969">
        <w:rPr>
          <w:rFonts w:ascii="Arial" w:hAnsi="Arial" w:cs="Arial"/>
        </w:rPr>
        <w:t>ne</w:t>
      </w:r>
      <w:r w:rsidRPr="00BA3969">
        <w:rPr>
          <w:rFonts w:ascii="Arial" w:hAnsi="Arial" w:cs="Arial"/>
        </w:rPr>
        <w:t xml:space="preserve">. 2013;8(8):e71498. </w:t>
      </w:r>
    </w:p>
    <w:p w:rsidR="00F21E9C" w:rsidRPr="00BA3969" w:rsidRDefault="00F21E9C" w:rsidP="00F21E9C">
      <w:pPr>
        <w:pStyle w:val="EndNoteBibliography"/>
        <w:rPr>
          <w:rFonts w:ascii="Arial" w:hAnsi="Arial" w:cs="Arial"/>
        </w:rPr>
      </w:pPr>
      <w:r w:rsidRPr="00BA3969">
        <w:rPr>
          <w:rFonts w:ascii="Arial" w:hAnsi="Arial" w:cs="Arial"/>
        </w:rPr>
        <w:t>3.</w:t>
      </w:r>
      <w:r w:rsidRPr="00BA3969">
        <w:rPr>
          <w:rFonts w:ascii="Arial" w:hAnsi="Arial" w:cs="Arial"/>
        </w:rPr>
        <w:tab/>
        <w:t xml:space="preserve">Sakkinen PA, Macy EM, Callas PW, Cornell ES, Hayes TE, Kuller LH, et al. Analytical and biologic variability in measures of hemostasis, fibrinolysis, and inflammation: assessment and implications for epidemiology. Am J Epidemiol. 1999;149(3):261-7. </w:t>
      </w:r>
    </w:p>
    <w:p w:rsidR="00CF5136" w:rsidRPr="00CF5136" w:rsidRDefault="00D8525D" w:rsidP="00EF1E8C">
      <w:pPr>
        <w:rPr>
          <w:rFonts w:ascii="Times New Roman" w:hAnsi="Times New Roman" w:cs="Times New Roman"/>
          <w:b/>
        </w:rPr>
      </w:pPr>
      <w:r w:rsidRPr="00BA3969">
        <w:rPr>
          <w:rFonts w:ascii="Arial" w:hAnsi="Arial" w:cs="Arial"/>
          <w:b/>
        </w:rPr>
        <w:fldChar w:fldCharType="end"/>
      </w:r>
    </w:p>
    <w:sectPr w:rsidR="00CF5136" w:rsidRPr="00CF5136" w:rsidSect="005D5975"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4D8" w:rsidRDefault="000044D8" w:rsidP="005D5975">
      <w:pPr>
        <w:spacing w:after="0" w:line="240" w:lineRule="auto"/>
      </w:pPr>
      <w:r>
        <w:separator/>
      </w:r>
    </w:p>
  </w:endnote>
  <w:endnote w:type="continuationSeparator" w:id="0">
    <w:p w:rsidR="000044D8" w:rsidRDefault="000044D8" w:rsidP="005D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6926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B59DA" w:rsidRPr="00A726DE" w:rsidRDefault="003B1D6A">
        <w:pPr>
          <w:pStyle w:val="Footer"/>
          <w:jc w:val="right"/>
          <w:rPr>
            <w:rFonts w:ascii="Arial" w:hAnsi="Arial" w:cs="Arial"/>
          </w:rPr>
        </w:pPr>
        <w:r w:rsidRPr="00A726DE">
          <w:rPr>
            <w:rFonts w:ascii="Arial" w:hAnsi="Arial" w:cs="Arial"/>
          </w:rPr>
          <w:fldChar w:fldCharType="begin"/>
        </w:r>
        <w:r w:rsidR="001B59DA" w:rsidRPr="00A726DE">
          <w:rPr>
            <w:rFonts w:ascii="Arial" w:hAnsi="Arial" w:cs="Arial"/>
          </w:rPr>
          <w:instrText xml:space="preserve"> PAGE   \* MERGEFORMAT </w:instrText>
        </w:r>
        <w:r w:rsidRPr="00A726DE">
          <w:rPr>
            <w:rFonts w:ascii="Arial" w:hAnsi="Arial" w:cs="Arial"/>
          </w:rPr>
          <w:fldChar w:fldCharType="separate"/>
        </w:r>
        <w:r w:rsidR="00BA3969">
          <w:rPr>
            <w:rFonts w:ascii="Arial" w:hAnsi="Arial" w:cs="Arial"/>
            <w:noProof/>
          </w:rPr>
          <w:t>3</w:t>
        </w:r>
        <w:r w:rsidRPr="00A726DE">
          <w:rPr>
            <w:rFonts w:ascii="Arial" w:hAnsi="Arial" w:cs="Arial"/>
          </w:rPr>
          <w:fldChar w:fldCharType="end"/>
        </w:r>
      </w:p>
    </w:sdtContent>
  </w:sdt>
  <w:p w:rsidR="001B59DA" w:rsidRDefault="001B5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4D8" w:rsidRDefault="000044D8" w:rsidP="005D5975">
      <w:pPr>
        <w:spacing w:after="0" w:line="240" w:lineRule="auto"/>
      </w:pPr>
      <w:r>
        <w:separator/>
      </w:r>
    </w:p>
  </w:footnote>
  <w:footnote w:type="continuationSeparator" w:id="0">
    <w:p w:rsidR="000044D8" w:rsidRDefault="000044D8" w:rsidP="005D5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3E87B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varzzs23r9r9oep5s2v9ftgdw09ptp9edt5&quot;&gt;EM-Naive and T2D&lt;record-ids&gt;&lt;item&gt;45&lt;/item&gt;&lt;item&gt;46&lt;/item&gt;&lt;/record-ids&gt;&lt;/item&gt;&lt;/Libraries&gt;"/>
  </w:docVars>
  <w:rsids>
    <w:rsidRoot w:val="00EF1E8C"/>
    <w:rsid w:val="000044D8"/>
    <w:rsid w:val="00010AE2"/>
    <w:rsid w:val="00011A52"/>
    <w:rsid w:val="000405BE"/>
    <w:rsid w:val="00047819"/>
    <w:rsid w:val="00054495"/>
    <w:rsid w:val="0005791F"/>
    <w:rsid w:val="00081F32"/>
    <w:rsid w:val="0008253F"/>
    <w:rsid w:val="00091D81"/>
    <w:rsid w:val="001049B3"/>
    <w:rsid w:val="00107D79"/>
    <w:rsid w:val="001350D1"/>
    <w:rsid w:val="00153DA8"/>
    <w:rsid w:val="001831A7"/>
    <w:rsid w:val="0019306C"/>
    <w:rsid w:val="001A76F8"/>
    <w:rsid w:val="001B59DA"/>
    <w:rsid w:val="001C50B4"/>
    <w:rsid w:val="001E06B3"/>
    <w:rsid w:val="001F4954"/>
    <w:rsid w:val="001F4AF2"/>
    <w:rsid w:val="001F641F"/>
    <w:rsid w:val="001F7544"/>
    <w:rsid w:val="0020194D"/>
    <w:rsid w:val="002209A9"/>
    <w:rsid w:val="00224A08"/>
    <w:rsid w:val="00256E05"/>
    <w:rsid w:val="00260E00"/>
    <w:rsid w:val="002C3503"/>
    <w:rsid w:val="00315399"/>
    <w:rsid w:val="00322719"/>
    <w:rsid w:val="00343901"/>
    <w:rsid w:val="00346E27"/>
    <w:rsid w:val="00360F83"/>
    <w:rsid w:val="0038118B"/>
    <w:rsid w:val="00385688"/>
    <w:rsid w:val="0039291D"/>
    <w:rsid w:val="003B1D6A"/>
    <w:rsid w:val="00414507"/>
    <w:rsid w:val="00434986"/>
    <w:rsid w:val="004360A8"/>
    <w:rsid w:val="0044299D"/>
    <w:rsid w:val="004B07C1"/>
    <w:rsid w:val="004B42C3"/>
    <w:rsid w:val="004B507B"/>
    <w:rsid w:val="004B5EF6"/>
    <w:rsid w:val="004C1260"/>
    <w:rsid w:val="004F6C00"/>
    <w:rsid w:val="00517653"/>
    <w:rsid w:val="0052051F"/>
    <w:rsid w:val="00532705"/>
    <w:rsid w:val="00542197"/>
    <w:rsid w:val="00597E19"/>
    <w:rsid w:val="005B430F"/>
    <w:rsid w:val="005C4329"/>
    <w:rsid w:val="005D5975"/>
    <w:rsid w:val="006408A1"/>
    <w:rsid w:val="00647E58"/>
    <w:rsid w:val="00656A27"/>
    <w:rsid w:val="0068775E"/>
    <w:rsid w:val="006966AD"/>
    <w:rsid w:val="006D683C"/>
    <w:rsid w:val="006D757A"/>
    <w:rsid w:val="006E7490"/>
    <w:rsid w:val="00735513"/>
    <w:rsid w:val="00741FCE"/>
    <w:rsid w:val="0075010B"/>
    <w:rsid w:val="00770D09"/>
    <w:rsid w:val="007812D3"/>
    <w:rsid w:val="00784B57"/>
    <w:rsid w:val="00820E83"/>
    <w:rsid w:val="00861A15"/>
    <w:rsid w:val="008752C8"/>
    <w:rsid w:val="00886AC4"/>
    <w:rsid w:val="008B02C8"/>
    <w:rsid w:val="008E5ECA"/>
    <w:rsid w:val="00901DB7"/>
    <w:rsid w:val="00906022"/>
    <w:rsid w:val="00956FC5"/>
    <w:rsid w:val="009606B1"/>
    <w:rsid w:val="00961068"/>
    <w:rsid w:val="00984F94"/>
    <w:rsid w:val="009B2A03"/>
    <w:rsid w:val="009D3F8C"/>
    <w:rsid w:val="009E3A0B"/>
    <w:rsid w:val="009E4E98"/>
    <w:rsid w:val="00A06A29"/>
    <w:rsid w:val="00A30483"/>
    <w:rsid w:val="00A40939"/>
    <w:rsid w:val="00A51D3A"/>
    <w:rsid w:val="00A55523"/>
    <w:rsid w:val="00A726DE"/>
    <w:rsid w:val="00AA32A6"/>
    <w:rsid w:val="00AA6D4A"/>
    <w:rsid w:val="00AC130E"/>
    <w:rsid w:val="00AF5017"/>
    <w:rsid w:val="00B25AB6"/>
    <w:rsid w:val="00B52C50"/>
    <w:rsid w:val="00B53F48"/>
    <w:rsid w:val="00B635CD"/>
    <w:rsid w:val="00B76EA7"/>
    <w:rsid w:val="00B83C52"/>
    <w:rsid w:val="00B95987"/>
    <w:rsid w:val="00BA3969"/>
    <w:rsid w:val="00BC0125"/>
    <w:rsid w:val="00BE5107"/>
    <w:rsid w:val="00BF0FCD"/>
    <w:rsid w:val="00C05C00"/>
    <w:rsid w:val="00C148CF"/>
    <w:rsid w:val="00C23B29"/>
    <w:rsid w:val="00C25CEF"/>
    <w:rsid w:val="00C301E5"/>
    <w:rsid w:val="00C41EAB"/>
    <w:rsid w:val="00C66BDA"/>
    <w:rsid w:val="00C73775"/>
    <w:rsid w:val="00C9798D"/>
    <w:rsid w:val="00CB029B"/>
    <w:rsid w:val="00CC0896"/>
    <w:rsid w:val="00CE0F9A"/>
    <w:rsid w:val="00CF5136"/>
    <w:rsid w:val="00D13B6C"/>
    <w:rsid w:val="00D205A5"/>
    <w:rsid w:val="00D408C6"/>
    <w:rsid w:val="00D57EC7"/>
    <w:rsid w:val="00D7794C"/>
    <w:rsid w:val="00D8525D"/>
    <w:rsid w:val="00DA0490"/>
    <w:rsid w:val="00DA4F1D"/>
    <w:rsid w:val="00DC342F"/>
    <w:rsid w:val="00DC6FC6"/>
    <w:rsid w:val="00DD40FC"/>
    <w:rsid w:val="00DE5567"/>
    <w:rsid w:val="00DF2A1E"/>
    <w:rsid w:val="00E01EC7"/>
    <w:rsid w:val="00E419C1"/>
    <w:rsid w:val="00E7757A"/>
    <w:rsid w:val="00EC04C2"/>
    <w:rsid w:val="00EF1E8C"/>
    <w:rsid w:val="00F02B53"/>
    <w:rsid w:val="00F12EAB"/>
    <w:rsid w:val="00F15858"/>
    <w:rsid w:val="00F17A04"/>
    <w:rsid w:val="00F21E9C"/>
    <w:rsid w:val="00F2524C"/>
    <w:rsid w:val="00FA68A7"/>
    <w:rsid w:val="00FA7A5D"/>
    <w:rsid w:val="00FB2A70"/>
    <w:rsid w:val="00FD1ECB"/>
    <w:rsid w:val="00FF1244"/>
    <w:rsid w:val="00FF2E68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C4D7318-37AB-4401-B596-E0B69128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5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975"/>
  </w:style>
  <w:style w:type="paragraph" w:styleId="Footer">
    <w:name w:val="footer"/>
    <w:basedOn w:val="Normal"/>
    <w:link w:val="FooterChar"/>
    <w:uiPriority w:val="99"/>
    <w:unhideWhenUsed/>
    <w:rsid w:val="005D5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975"/>
  </w:style>
  <w:style w:type="paragraph" w:styleId="ListBullet">
    <w:name w:val="List Bullet"/>
    <w:basedOn w:val="Normal"/>
    <w:uiPriority w:val="99"/>
    <w:rsid w:val="00BF0FC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F0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D8525D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8525D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8525D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8525D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A8177-7158-40EF-89F5-712E6EB8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 College of Medicine</Company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medlocal</dc:creator>
  <cp:lastModifiedBy>Olson, Nels</cp:lastModifiedBy>
  <cp:revision>2</cp:revision>
  <dcterms:created xsi:type="dcterms:W3CDTF">2015-09-25T18:27:00Z</dcterms:created>
  <dcterms:modified xsi:type="dcterms:W3CDTF">2015-09-25T18:27:00Z</dcterms:modified>
</cp:coreProperties>
</file>