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6A7E0" w14:textId="77777777" w:rsidR="00510550" w:rsidRPr="009C6046" w:rsidRDefault="00510550" w:rsidP="00510550">
      <w:pPr>
        <w:pStyle w:val="Heading1"/>
        <w:jc w:val="center"/>
        <w:rPr>
          <w:color w:val="000000" w:themeColor="text1"/>
        </w:rPr>
      </w:pPr>
      <w:r w:rsidRPr="009C6046">
        <w:rPr>
          <w:color w:val="000000" w:themeColor="text1"/>
        </w:rPr>
        <w:t xml:space="preserve">Economic cost of </w:t>
      </w:r>
      <w:r w:rsidRPr="009C6046">
        <w:rPr>
          <w:i/>
          <w:color w:val="000000" w:themeColor="text1"/>
        </w:rPr>
        <w:t>Campylobacter</w:t>
      </w:r>
      <w:r w:rsidRPr="009C6046">
        <w:rPr>
          <w:color w:val="000000" w:themeColor="text1"/>
        </w:rPr>
        <w:t>, norovirus and rotavirus disease in the United Kingdom: Technical appendix</w:t>
      </w:r>
    </w:p>
    <w:p w14:paraId="5A7304D4" w14:textId="77777777" w:rsidR="00510550" w:rsidRPr="009C6046" w:rsidRDefault="00510550" w:rsidP="00510550">
      <w:pPr>
        <w:jc w:val="center"/>
        <w:rPr>
          <w:color w:val="000000" w:themeColor="text1"/>
        </w:rPr>
      </w:pPr>
    </w:p>
    <w:p w14:paraId="098D2BA9" w14:textId="77777777" w:rsidR="00510550" w:rsidRPr="009C6046" w:rsidRDefault="00510550" w:rsidP="00510550">
      <w:pPr>
        <w:pStyle w:val="Heading2"/>
        <w:rPr>
          <w:color w:val="000000" w:themeColor="text1"/>
        </w:rPr>
      </w:pPr>
      <w:r w:rsidRPr="009C6046">
        <w:rPr>
          <w:color w:val="000000" w:themeColor="text1"/>
        </w:rPr>
        <w:t>Description of data sources</w:t>
      </w:r>
    </w:p>
    <w:p w14:paraId="07D0A26D" w14:textId="77777777" w:rsidR="00510550" w:rsidRPr="009C6046" w:rsidRDefault="00510550" w:rsidP="00510550">
      <w:pPr>
        <w:pStyle w:val="Heading3"/>
        <w:rPr>
          <w:color w:val="000000" w:themeColor="text1"/>
        </w:rPr>
      </w:pPr>
      <w:r w:rsidRPr="009C6046">
        <w:rPr>
          <w:color w:val="000000" w:themeColor="text1"/>
        </w:rPr>
        <w:t>IID2 Cohort Study (2008-9)</w:t>
      </w:r>
    </w:p>
    <w:p w14:paraId="69F3F3A1" w14:textId="77777777" w:rsidR="00510550" w:rsidRPr="009C6046" w:rsidRDefault="00510550" w:rsidP="00510550">
      <w:pPr>
        <w:jc w:val="both"/>
        <w:rPr>
          <w:color w:val="000000" w:themeColor="text1"/>
        </w:rPr>
      </w:pPr>
      <w:r w:rsidRPr="009C6046">
        <w:rPr>
          <w:color w:val="000000" w:themeColor="text1"/>
        </w:rPr>
        <w:t xml:space="preserve">6836 individuals of all ages were recruited from the population registered with 88 general practices in the UK. Participants reported on a weekly basis whether or not they had symptoms of IID for a period of up to 52 weeks. IID cases completed a questionnaire enquiring about symptoms and usage of health services, including telephone health and advice services; general practice consultations in person, by telephone, and out of hours; visits to Accident &amp; Emergency departments; and admissions to hospital. IID cases also submitted a stool specimen for microbiological confirmation. The study comprised 4658 person-years of follow-up and measured the population incidence of IID overall and for 12 individual pathogens </w:t>
      </w:r>
      <w:r w:rsidRPr="009C6046">
        <w:rPr>
          <w:color w:val="000000" w:themeColor="text1"/>
        </w:rPr>
        <w:fldChar w:fldCharType="begin" w:fldLock="1"/>
      </w:r>
      <w:r w:rsidRPr="009C6046">
        <w:rPr>
          <w:color w:val="000000" w:themeColor="text1"/>
        </w:rPr>
        <w:instrText>ADDIN CSL_CITATION { "citationItems" : [ { "id" : "ITEM-1", "itemData" : { "author" : [ { "dropping-particle" : "", "family" : "Tam", "given" : "C C", "non-dropping-particle" : "", "parse-names" : false, "suffix" : "" }, { "dropping-particle" : "", "family" : "Rodrigues", "given" : "L C", "non-dropping-particle" : "", "parse-names" : false, "suffix" : "" }, { "dropping-particle" : "", "family" : "Viviani", "given" : "Laura", "non-dropping-particle" : "", "parse-names" : false, "suffix" : "" }, { "dropping-particle" : "", "family" : "Dodds", "given" : "J P", "non-dropping-particle" : "", "parse-names" : false, "suffix" : "" }, { "dropping-particle" : "", "family" : "Evans", "given" : "M R", "non-dropping-particle" : "", "parse-names" : false, "suffix" : "" }, { "dropping-particle" : "", "family" : "Hunter", "given" : "P R", "non-dropping-particle" : "", "parse-names" : false, "suffix" : "" }, { "dropping-particle" : "", "family" : "Gray", "given" : "J J", "non-dropping-particle" : "", "parse-names" : false, "suffix" : "" }, { "dropping-particle" : "", "family" : "Letley", "given" : "L H", "non-dropping-particle" : "", "parse-names" : false, "suffix" : "" }, { "dropping-particle" : "", "family" : "Rait", "given" : "G", "non-dropping-particle" : "", "parse-names" : false, "suffix" : "" }, { "dropping-particle" : "", "family" : "Tompkins", "given" : "D S", "non-dropping-particle" : "", "parse-names" : false, "suffix" : "" }, { "dropping-particle" : "", "family" : "others", "given" : "", "non-dropping-particle" : "", "parse-names" : false, "suffix" : "" } ], "container-title" : "Gut", "id" : "ITEM-1", "issue" : "1", "issued" : { "date-parts" : [ [ "2012" ] ] }, "page" : "69-77", "publisher" : "BMJ Group", "title" : "Longitudinal study of infectious intestinal disease in the UK (IID2 study): incidence in the community and presenting to general practice", "type" : "article-journal", "volume" : "61" }, "uris" : [ "http://www.mendeley.com/documents/?uuid=16664c79-750a-4b0a-96ec-4a358c58b21a" ] } ], "mendeley" : { "formattedCitation" : "[1]", "plainTextFormattedCitation" : "[1]", "previouslyFormattedCitation" : "[1]" }, "properties" : { "noteIndex" : 0 }, "schema" : "https://github.com/citation-style-language/schema/raw/master/csl-citation.json" }</w:instrText>
      </w:r>
      <w:r w:rsidRPr="009C6046">
        <w:rPr>
          <w:color w:val="000000" w:themeColor="text1"/>
        </w:rPr>
        <w:fldChar w:fldCharType="separate"/>
      </w:r>
      <w:r w:rsidRPr="009C6046">
        <w:rPr>
          <w:noProof/>
          <w:color w:val="000000" w:themeColor="text1"/>
        </w:rPr>
        <w:t>[1]</w:t>
      </w:r>
      <w:r w:rsidRPr="009C6046">
        <w:rPr>
          <w:color w:val="000000" w:themeColor="text1"/>
        </w:rPr>
        <w:fldChar w:fldCharType="end"/>
      </w:r>
      <w:r w:rsidRPr="009C6046">
        <w:rPr>
          <w:color w:val="000000" w:themeColor="text1"/>
        </w:rPr>
        <w:t>.</w:t>
      </w:r>
    </w:p>
    <w:p w14:paraId="4ED664FE" w14:textId="77777777" w:rsidR="00510550" w:rsidRPr="009C6046" w:rsidRDefault="00510550" w:rsidP="00510550">
      <w:pPr>
        <w:pStyle w:val="Heading3"/>
        <w:rPr>
          <w:color w:val="000000" w:themeColor="text1"/>
        </w:rPr>
      </w:pPr>
      <w:r w:rsidRPr="009C6046">
        <w:rPr>
          <w:color w:val="000000" w:themeColor="text1"/>
        </w:rPr>
        <w:t>IID2 GP Presentation Study (2008-9)</w:t>
      </w:r>
    </w:p>
    <w:p w14:paraId="11ED47A2" w14:textId="77777777" w:rsidR="00510550" w:rsidRPr="009C6046" w:rsidRDefault="00510550" w:rsidP="00510550">
      <w:pPr>
        <w:jc w:val="both"/>
        <w:rPr>
          <w:color w:val="000000" w:themeColor="text1"/>
        </w:rPr>
      </w:pPr>
      <w:r w:rsidRPr="009C6046">
        <w:rPr>
          <w:color w:val="000000" w:themeColor="text1"/>
        </w:rPr>
        <w:t xml:space="preserve">Patients presenting with IID were recruited from 37 general practices in the UK. IID cases completed a questionnaire enquiring about symptoms and usage of health services, including telephone health and advice services; general practice consultations in person, by telephone, and out of hours; visits to Accident &amp; Emergency departments; and admissions to hospital. IID cases also submitted a stool specimen for microbiological confirmation. The study comprised 312,232 person-years of follow-up and measured IID primary care consultation rates overall and for 12 individual pathogens </w:t>
      </w:r>
      <w:r w:rsidRPr="009C6046">
        <w:rPr>
          <w:color w:val="000000" w:themeColor="text1"/>
        </w:rPr>
        <w:fldChar w:fldCharType="begin" w:fldLock="1"/>
      </w:r>
      <w:r w:rsidRPr="009C6046">
        <w:rPr>
          <w:color w:val="000000" w:themeColor="text1"/>
        </w:rPr>
        <w:instrText>ADDIN CSL_CITATION { "citationItems" : [ { "id" : "ITEM-1", "itemData" : { "author" : [ { "dropping-particle" : "", "family" : "Tam", "given" : "C C", "non-dropping-particle" : "", "parse-names" : false, "suffix" : "" }, { "dropping-particle" : "", "family" : "Rodrigues", "given" : "L C", "non-dropping-particle" : "", "parse-names" : false, "suffix" : "" }, { "dropping-particle" : "", "family" : "Viviani", "given" : "Laura", "non-dropping-particle" : "", "parse-names" : false, "suffix" : "" }, { "dropping-particle" : "", "family" : "Dodds", "given" : "J P", "non-dropping-particle" : "", "parse-names" : false, "suffix" : "" }, { "dropping-particle" : "", "family" : "Evans", "given" : "M R", "non-dropping-particle" : "", "parse-names" : false, "suffix" : "" }, { "dropping-particle" : "", "family" : "Hunter", "given" : "P R", "non-dropping-particle" : "", "parse-names" : false, "suffix" : "" }, { "dropping-particle" : "", "family" : "Gray", "given" : "J J", "non-dropping-particle" : "", "parse-names" : false, "suffix" : "" }, { "dropping-particle" : "", "family" : "Letley", "given" : "L H", "non-dropping-particle" : "", "parse-names" : false, "suffix" : "" }, { "dropping-particle" : "", "family" : "Rait", "given" : "G", "non-dropping-particle" : "", "parse-names" : false, "suffix" : "" }, { "dropping-particle" : "", "family" : "Tompkins", "given" : "D S", "non-dropping-particle" : "", "parse-names" : false, "suffix" : "" }, { "dropping-particle" : "", "family" : "others", "given" : "", "non-dropping-particle" : "", "parse-names" : false, "suffix" : "" } ], "container-title" : "Gut", "id" : "ITEM-1", "issue" : "1", "issued" : { "date-parts" : [ [ "2012" ] ] }, "page" : "69-77", "publisher" : "BMJ Group", "title" : "Longitudinal study of infectious intestinal disease in the UK (IID2 study): incidence in the community and presenting to general practice", "type" : "article-journal", "volume" : "61" }, "uris" : [ "http://www.mendeley.com/documents/?uuid=16664c79-750a-4b0a-96ec-4a358c58b21a" ] } ], "mendeley" : { "formattedCitation" : "[1]", "plainTextFormattedCitation" : "[1]", "previouslyFormattedCitation" : "[1]" }, "properties" : { "noteIndex" : 0 }, "schema" : "https://github.com/citation-style-language/schema/raw/master/csl-citation.json" }</w:instrText>
      </w:r>
      <w:r w:rsidRPr="009C6046">
        <w:rPr>
          <w:color w:val="000000" w:themeColor="text1"/>
        </w:rPr>
        <w:fldChar w:fldCharType="separate"/>
      </w:r>
      <w:r w:rsidRPr="009C6046">
        <w:rPr>
          <w:noProof/>
          <w:color w:val="000000" w:themeColor="text1"/>
        </w:rPr>
        <w:t>[1]</w:t>
      </w:r>
      <w:r w:rsidRPr="009C6046">
        <w:rPr>
          <w:color w:val="000000" w:themeColor="text1"/>
        </w:rPr>
        <w:fldChar w:fldCharType="end"/>
      </w:r>
      <w:r w:rsidRPr="009C6046">
        <w:rPr>
          <w:color w:val="000000" w:themeColor="text1"/>
        </w:rPr>
        <w:t>.</w:t>
      </w:r>
    </w:p>
    <w:p w14:paraId="56E1BFC8" w14:textId="77777777" w:rsidR="00510550" w:rsidRPr="009C6046" w:rsidRDefault="00510550" w:rsidP="00510550">
      <w:pPr>
        <w:pStyle w:val="Heading3"/>
        <w:rPr>
          <w:color w:val="000000" w:themeColor="text1"/>
        </w:rPr>
      </w:pPr>
      <w:r w:rsidRPr="009C6046">
        <w:rPr>
          <w:color w:val="000000" w:themeColor="text1"/>
        </w:rPr>
        <w:t>IID Study (1993-6)</w:t>
      </w:r>
    </w:p>
    <w:p w14:paraId="2D8742C2" w14:textId="77777777" w:rsidR="00510550" w:rsidRPr="009C6046" w:rsidRDefault="00510550" w:rsidP="00510550">
      <w:pPr>
        <w:jc w:val="both"/>
        <w:rPr>
          <w:color w:val="000000" w:themeColor="text1"/>
        </w:rPr>
      </w:pPr>
      <w:r w:rsidRPr="009C6046">
        <w:rPr>
          <w:color w:val="000000" w:themeColor="text1"/>
        </w:rPr>
        <w:t xml:space="preserve">This study comprised Cohort and GP Presentation studies using similar methodologies as described above for the IID2 Study. In addition, the IID Study included an economic component: IID cases were interviewed using an economic questionnaire to obtain information about health services used and costs incurred as a result of illness. Costs to patients and their carers included lost wages due to absence from work, costs related to healthcare consulation (transportation, prescription medication, telephone charges) and other costs incurred as a direct result of illness (special foods, purchase of additional hygiene or cleaning products, cancellation of pre-arranged activities, childcare arrangements). Costs were estimated for all IID and for specific pathogens </w:t>
      </w:r>
      <w:r w:rsidRPr="009C6046">
        <w:rPr>
          <w:color w:val="000000" w:themeColor="text1"/>
        </w:rPr>
        <w:fldChar w:fldCharType="begin" w:fldLock="1"/>
      </w:r>
      <w:r w:rsidRPr="009C6046">
        <w:rPr>
          <w:color w:val="000000" w:themeColor="text1"/>
        </w:rPr>
        <w:instrText>ADDIN CSL_CITATION { "citationItems" : [ { "id" : "ITEM-1", "itemData" : { "ISSN" : "0950-2688", "PMID" : "12613740", "abstract" : "To assess the socio-economic impact of infectious intestinal disease (IID) on the health care sector, cases and their families, cases of IID ascertained from a population cohort component and those presenting to general practices were sent a socio-economic questionnaire 3 weeks after the acute episode. The impact of the illness was measured and the resources used were identified and costed. The duration, severity and costs of illness linked to viruses were less than those linked to bacteria. The average cost per case of IID presenting to the GP was Pound Sterling253 and the costs of those not seeing a GP were Pound Sterling34. The average cost per case was Pound Sterling606 for a case with salmonella, Pound Sterling315 for campylobacter, Pound Sterling164 for rotavirus and Pound Sterling176 for SRSV. The estimated cost of IID in England was Pound Sterling743m expressed in 1994/5 prices. The costs of IID are considerable and the duration of the illness was found to be longer than previous reports have suggested.", "author" : [ { "dropping-particle" : "", "family" : "Roberts", "given" : "J A", "non-dropping-particle" : "", "parse-names" : false, "suffix" : "" }, { "dropping-particle" : "", "family" : "Cumberland", "given" : "P", "non-dropping-particle" : "", "parse-names" : false, "suffix" : "" }, { "dropping-particle" : "", "family" : "Sockett", "given" : "P N", "non-dropping-particle" : "", "parse-names" : false, "suffix" : "" }, { "dropping-particle" : "", "family" : "Wheeler", "given" : "J", "non-dropping-particle" : "", "parse-names" : false, "suffix" : "" }, { "dropping-particle" : "", "family" : "Rodrigues", "given" : "L C", "non-dropping-particle" : "", "parse-names" : false, "suffix" : "" }, { "dropping-particle" : "", "family" : "Sethi", "given" : "D", "non-dropping-particle" : "", "parse-names" : false, "suffix" : "" }, { "dropping-particle" : "", "family" : "Roderick", "given" : "P J", "non-dropping-particle" : "", "parse-names" : false, "suffix" : "" } ], "container-title" : "Epidemiology and infection", "id" : "ITEM-1", "issue" : "1", "issued" : { "date-parts" : [ [ "2003", "2" ] ] }, "page" : "1-11", "title" : "The study of infectious intestinal disease in England: socio-economic impact.", "type" : "article-journal", "volume" : "130" }, "uris" : [ "http://www.mendeley.com/documents/?uuid=f202f9a4-2c26-4604-9c8b-2692346cc926" ] } ], "mendeley" : { "formattedCitation" : "[2]", "plainTextFormattedCitation" : "[2]", "previouslyFormattedCitation" : "[2]" }, "properties" : { "noteIndex" : 0 }, "schema" : "https://github.com/citation-style-language/schema/raw/master/csl-citation.json" }</w:instrText>
      </w:r>
      <w:r w:rsidRPr="009C6046">
        <w:rPr>
          <w:color w:val="000000" w:themeColor="text1"/>
        </w:rPr>
        <w:fldChar w:fldCharType="separate"/>
      </w:r>
      <w:r w:rsidRPr="009C6046">
        <w:rPr>
          <w:noProof/>
          <w:color w:val="000000" w:themeColor="text1"/>
        </w:rPr>
        <w:t>[2]</w:t>
      </w:r>
      <w:r w:rsidRPr="009C6046">
        <w:rPr>
          <w:color w:val="000000" w:themeColor="text1"/>
        </w:rPr>
        <w:fldChar w:fldCharType="end"/>
      </w:r>
      <w:r w:rsidRPr="009C6046">
        <w:rPr>
          <w:color w:val="000000" w:themeColor="text1"/>
        </w:rPr>
        <w:t>.</w:t>
      </w:r>
    </w:p>
    <w:p w14:paraId="3918E3EB" w14:textId="77777777" w:rsidR="00510550" w:rsidRPr="009C6046" w:rsidRDefault="00510550" w:rsidP="00510550">
      <w:pPr>
        <w:pStyle w:val="Heading3"/>
        <w:rPr>
          <w:color w:val="000000" w:themeColor="text1"/>
        </w:rPr>
      </w:pPr>
      <w:r w:rsidRPr="009C6046">
        <w:rPr>
          <w:color w:val="000000" w:themeColor="text1"/>
        </w:rPr>
        <w:t>Outbreak surveillance (GSurv)</w:t>
      </w:r>
    </w:p>
    <w:p w14:paraId="0AEC873D" w14:textId="77777777" w:rsidR="00510550" w:rsidRPr="009C6046" w:rsidRDefault="00510550" w:rsidP="00510550">
      <w:pPr>
        <w:jc w:val="both"/>
        <w:rPr>
          <w:color w:val="000000" w:themeColor="text1"/>
        </w:rPr>
      </w:pPr>
      <w:r w:rsidRPr="009C6046">
        <w:rPr>
          <w:color w:val="000000" w:themeColor="text1"/>
        </w:rPr>
        <w:t xml:space="preserve">Surveillance of IID-related outbreaks has been conducted by Public Health England (PHE) since 1992. Outbreaks are reported and investigated by local or regional Medical Officers of Health, and a minimum dataset for each outbreak is returned to PHE at the end of the investigation. This minimum dataset includes information on the outbreak setting, the mode(s) of transmission, the number of cases affected, the number of cases hospitalised, the number of deaths, details of investigations conducted, the suspected </w:t>
      </w:r>
      <w:r w:rsidRPr="009C6046">
        <w:rPr>
          <w:color w:val="000000" w:themeColor="text1"/>
        </w:rPr>
        <w:lastRenderedPageBreak/>
        <w:t xml:space="preserve">vehicle of infection, the suspected pathogen, and the type of evidence to support the pathogen and vehicle suspected </w:t>
      </w:r>
      <w:r w:rsidRPr="009C6046">
        <w:rPr>
          <w:color w:val="000000" w:themeColor="text1"/>
        </w:rPr>
        <w:fldChar w:fldCharType="begin" w:fldLock="1"/>
      </w:r>
      <w:r w:rsidRPr="009C6046">
        <w:rPr>
          <w:color w:val="000000" w:themeColor="text1"/>
        </w:rPr>
        <w:instrText>ADDIN CSL_CITATION { "citationItems" : [ { "id" : "ITEM-1", "itemData" : { "ISSN" : "1350-9349", "PMID" : "8680502", "abstract" : "Three main routine sources of data on food poisoning are used in England and Wales. The first is the statutory notification system, in which clinicians notify the 'proper officer' of their local authorities of cases or suspected cases of food poisoning, and the data are collated by the Office for National Statistics. Second and third are the reporting schemes for laboratory confirmed infections and general outbreaks of infectious intestinal disease, both of which are coordinated by the PHLS Communicable Disease Surveillance Centre. This review discusses the strengths and weaknesses of the three sources.", "author" : [ { "dropping-particle" : "", "family" : "Wall", "given" : "P G", "non-dropping-particle" : "", "parse-names" : false, "suffix" : "" }, { "dropping-particle" : "", "family" : "Louvois", "given" : "J", "non-dropping-particle" : "de", "parse-names" : false, "suffix" : "" }, { "dropping-particle" : "", "family" : "Gilbert", "given" : "R J", "non-dropping-particle" : "", "parse-names" : false, "suffix" : "" }, { "dropping-particle" : "", "family" : "Rowe", "given" : "B", "non-dropping-particle" : "", "parse-names" : false, "suffix" : "" } ], "container-title" : "Communicable disease report. CDR review", "id" : "ITEM-1", "issue" : "7", "issued" : { "date-parts" : [ [ "1996", "6", "21" ] ] }, "page" : "R93-100", "title" : "Food poisoning: notifications, laboratory reports, and outbreaks--where do the statistics come from and what do they mean?", "type" : "article-journal", "volume" : "6" }, "uris" : [ "http://www.mendeley.com/documents/?uuid=6d9c51e9-5a1a-42a6-9967-386b8b90679d" ] } ], "mendeley" : { "formattedCitation" : "[3]", "plainTextFormattedCitation" : "[3]" }, "properties" : { "noteIndex" : 0 }, "schema" : "https://github.com/citation-style-language/schema/raw/master/csl-citation.json" }</w:instrText>
      </w:r>
      <w:r w:rsidRPr="009C6046">
        <w:rPr>
          <w:color w:val="000000" w:themeColor="text1"/>
        </w:rPr>
        <w:fldChar w:fldCharType="separate"/>
      </w:r>
      <w:r w:rsidRPr="009C6046">
        <w:rPr>
          <w:noProof/>
          <w:color w:val="000000" w:themeColor="text1"/>
        </w:rPr>
        <w:t>[3]</w:t>
      </w:r>
      <w:r w:rsidRPr="009C6046">
        <w:rPr>
          <w:color w:val="000000" w:themeColor="text1"/>
        </w:rPr>
        <w:fldChar w:fldCharType="end"/>
      </w:r>
      <w:r w:rsidRPr="009C6046">
        <w:rPr>
          <w:color w:val="000000" w:themeColor="text1"/>
        </w:rPr>
        <w:t>.</w:t>
      </w:r>
    </w:p>
    <w:p w14:paraId="2F0CF2F9" w14:textId="77777777" w:rsidR="00510550" w:rsidRPr="009C6046" w:rsidRDefault="00510550" w:rsidP="00510550">
      <w:pPr>
        <w:pStyle w:val="Heading2"/>
        <w:rPr>
          <w:color w:val="000000" w:themeColor="text1"/>
        </w:rPr>
      </w:pPr>
      <w:r w:rsidRPr="009C6046">
        <w:rPr>
          <w:color w:val="000000" w:themeColor="text1"/>
        </w:rPr>
        <w:t>Incidence model</w:t>
      </w:r>
    </w:p>
    <w:p w14:paraId="1ED1FCB2" w14:textId="77777777" w:rsidR="00510550" w:rsidRPr="009C6046" w:rsidRDefault="00510550" w:rsidP="00510550">
      <w:pPr>
        <w:rPr>
          <w:color w:val="000000" w:themeColor="text1"/>
        </w:rPr>
      </w:pPr>
      <w:r w:rsidRPr="009C6046">
        <w:rPr>
          <w:color w:val="000000" w:themeColor="text1"/>
        </w:rPr>
        <w:t xml:space="preserve">We used the model below to estimate the number of cases, general practice consultations and health service usage for the three pathogens </w:t>
      </w:r>
      <w:r w:rsidRPr="009C6046">
        <w:rPr>
          <w:i/>
          <w:color w:val="000000" w:themeColor="text1"/>
        </w:rPr>
        <w:t>Campylobacter</w:t>
      </w:r>
      <w:r w:rsidRPr="009C6046">
        <w:rPr>
          <w:color w:val="000000" w:themeColor="text1"/>
        </w:rPr>
        <w:t xml:space="preserve">, norovirus and rotavirus. </w:t>
      </w:r>
    </w:p>
    <w:p w14:paraId="78D80204" w14:textId="77777777" w:rsidR="00510550" w:rsidRPr="009C6046" w:rsidRDefault="00510550" w:rsidP="00510550">
      <w:pPr>
        <w:rPr>
          <w:color w:val="000000" w:themeColor="text1"/>
        </w:rPr>
      </w:pPr>
    </w:p>
    <w:p w14:paraId="11D24CFD" w14:textId="77777777" w:rsidR="00510550" w:rsidRPr="009C6046" w:rsidRDefault="00510550" w:rsidP="00510550">
      <w:pPr>
        <w:jc w:val="center"/>
        <w:rPr>
          <w:i/>
          <w:color w:val="000000" w:themeColor="text1"/>
        </w:rPr>
      </w:pPr>
      <w:r w:rsidRPr="009C6046">
        <w:rPr>
          <w:i/>
          <w:color w:val="000000" w:themeColor="text1"/>
        </w:rPr>
        <w:t>C</w:t>
      </w:r>
      <w:r w:rsidRPr="009C6046">
        <w:rPr>
          <w:i/>
          <w:color w:val="000000" w:themeColor="text1"/>
          <w:vertAlign w:val="subscript"/>
        </w:rPr>
        <w:t>p</w:t>
      </w:r>
      <w:r w:rsidRPr="009C6046">
        <w:rPr>
          <w:i/>
          <w:color w:val="000000" w:themeColor="text1"/>
        </w:rPr>
        <w:t xml:space="preserve"> = N * c</w:t>
      </w:r>
      <w:r w:rsidRPr="009C6046">
        <w:rPr>
          <w:i/>
          <w:color w:val="000000" w:themeColor="text1"/>
          <w:vertAlign w:val="subscript"/>
        </w:rPr>
        <w:t>p</w:t>
      </w:r>
    </w:p>
    <w:p w14:paraId="4BE0515D" w14:textId="77777777" w:rsidR="00510550" w:rsidRPr="009C6046" w:rsidRDefault="00510550" w:rsidP="00510550">
      <w:pPr>
        <w:jc w:val="center"/>
        <w:rPr>
          <w:i/>
          <w:color w:val="000000" w:themeColor="text1"/>
        </w:rPr>
      </w:pPr>
      <w:r w:rsidRPr="009C6046">
        <w:rPr>
          <w:i/>
          <w:color w:val="000000" w:themeColor="text1"/>
        </w:rPr>
        <w:t>G</w:t>
      </w:r>
      <w:r w:rsidRPr="009C6046">
        <w:rPr>
          <w:i/>
          <w:color w:val="000000" w:themeColor="text1"/>
          <w:vertAlign w:val="subscript"/>
        </w:rPr>
        <w:t>p</w:t>
      </w:r>
      <w:r w:rsidRPr="009C6046">
        <w:rPr>
          <w:i/>
          <w:color w:val="000000" w:themeColor="text1"/>
        </w:rPr>
        <w:t xml:space="preserve"> = N * g</w:t>
      </w:r>
      <w:r w:rsidRPr="009C6046">
        <w:rPr>
          <w:i/>
          <w:color w:val="000000" w:themeColor="text1"/>
          <w:vertAlign w:val="subscript"/>
        </w:rPr>
        <w:t>p</w:t>
      </w:r>
    </w:p>
    <w:p w14:paraId="779E3340" w14:textId="77777777" w:rsidR="00510550" w:rsidRPr="009C6046" w:rsidRDefault="00510550" w:rsidP="00510550">
      <w:pPr>
        <w:jc w:val="center"/>
        <w:rPr>
          <w:i/>
          <w:color w:val="000000" w:themeColor="text1"/>
        </w:rPr>
      </w:pPr>
      <w:r w:rsidRPr="009C6046">
        <w:rPr>
          <w:i/>
          <w:color w:val="000000" w:themeColor="text1"/>
        </w:rPr>
        <w:t>A</w:t>
      </w:r>
      <w:r w:rsidRPr="009C6046">
        <w:rPr>
          <w:i/>
          <w:color w:val="000000" w:themeColor="text1"/>
          <w:vertAlign w:val="subscript"/>
        </w:rPr>
        <w:t>p</w:t>
      </w:r>
      <w:r w:rsidRPr="009C6046">
        <w:rPr>
          <w:i/>
          <w:color w:val="000000" w:themeColor="text1"/>
        </w:rPr>
        <w:t xml:space="preserve"> = C</w:t>
      </w:r>
      <w:r w:rsidRPr="009C6046">
        <w:rPr>
          <w:i/>
          <w:color w:val="000000" w:themeColor="text1"/>
          <w:vertAlign w:val="subscript"/>
        </w:rPr>
        <w:t>p</w:t>
      </w:r>
      <w:r w:rsidRPr="009C6046">
        <w:rPr>
          <w:i/>
          <w:color w:val="000000" w:themeColor="text1"/>
        </w:rPr>
        <w:t xml:space="preserve"> * a</w:t>
      </w:r>
    </w:p>
    <w:p w14:paraId="0B210F9F" w14:textId="77777777" w:rsidR="00510550" w:rsidRPr="009C6046" w:rsidRDefault="00510550" w:rsidP="00510550">
      <w:pPr>
        <w:jc w:val="center"/>
        <w:rPr>
          <w:i/>
          <w:color w:val="000000" w:themeColor="text1"/>
        </w:rPr>
      </w:pPr>
      <w:r w:rsidRPr="009C6046">
        <w:rPr>
          <w:i/>
          <w:color w:val="000000" w:themeColor="text1"/>
        </w:rPr>
        <w:t>E</w:t>
      </w:r>
      <w:r w:rsidRPr="009C6046">
        <w:rPr>
          <w:i/>
          <w:color w:val="000000" w:themeColor="text1"/>
          <w:vertAlign w:val="subscript"/>
        </w:rPr>
        <w:t>p</w:t>
      </w:r>
      <w:r w:rsidRPr="009C6046">
        <w:rPr>
          <w:i/>
          <w:color w:val="000000" w:themeColor="text1"/>
        </w:rPr>
        <w:t xml:space="preserve"> = C</w:t>
      </w:r>
      <w:r w:rsidRPr="009C6046">
        <w:rPr>
          <w:i/>
          <w:color w:val="000000" w:themeColor="text1"/>
          <w:vertAlign w:val="subscript"/>
        </w:rPr>
        <w:t>p</w:t>
      </w:r>
      <w:r w:rsidRPr="009C6046">
        <w:rPr>
          <w:i/>
          <w:color w:val="000000" w:themeColor="text1"/>
        </w:rPr>
        <w:t xml:space="preserve"> * e</w:t>
      </w:r>
    </w:p>
    <w:p w14:paraId="0E60F37F" w14:textId="77777777" w:rsidR="00510550" w:rsidRPr="009C6046" w:rsidRDefault="00510550" w:rsidP="00510550">
      <w:pPr>
        <w:jc w:val="center"/>
        <w:rPr>
          <w:i/>
          <w:color w:val="000000" w:themeColor="text1"/>
        </w:rPr>
      </w:pPr>
      <w:r w:rsidRPr="009C6046">
        <w:rPr>
          <w:i/>
          <w:color w:val="000000" w:themeColor="text1"/>
        </w:rPr>
        <w:t>O</w:t>
      </w:r>
      <w:r w:rsidRPr="009C6046">
        <w:rPr>
          <w:i/>
          <w:color w:val="000000" w:themeColor="text1"/>
          <w:vertAlign w:val="subscript"/>
        </w:rPr>
        <w:t>p</w:t>
      </w:r>
      <w:r w:rsidRPr="009C6046">
        <w:rPr>
          <w:i/>
          <w:color w:val="000000" w:themeColor="text1"/>
        </w:rPr>
        <w:t xml:space="preserve"> = G</w:t>
      </w:r>
      <w:r w:rsidRPr="009C6046">
        <w:rPr>
          <w:i/>
          <w:color w:val="000000" w:themeColor="text1"/>
          <w:vertAlign w:val="subscript"/>
        </w:rPr>
        <w:t>p</w:t>
      </w:r>
      <w:r w:rsidRPr="009C6046">
        <w:rPr>
          <w:i/>
          <w:color w:val="000000" w:themeColor="text1"/>
        </w:rPr>
        <w:t xml:space="preserve"> * o</w:t>
      </w:r>
      <w:r w:rsidRPr="009C6046">
        <w:rPr>
          <w:i/>
          <w:color w:val="000000" w:themeColor="text1"/>
          <w:vertAlign w:val="subscript"/>
        </w:rPr>
        <w:t>p</w:t>
      </w:r>
    </w:p>
    <w:p w14:paraId="386A1379" w14:textId="77777777" w:rsidR="00510550" w:rsidRPr="009C6046" w:rsidRDefault="00510550" w:rsidP="00510550">
      <w:pPr>
        <w:jc w:val="center"/>
        <w:rPr>
          <w:i/>
          <w:color w:val="000000" w:themeColor="text1"/>
        </w:rPr>
      </w:pPr>
      <w:r w:rsidRPr="009C6046">
        <w:rPr>
          <w:i/>
          <w:color w:val="000000" w:themeColor="text1"/>
        </w:rPr>
        <w:t>T</w:t>
      </w:r>
      <w:r w:rsidRPr="009C6046">
        <w:rPr>
          <w:i/>
          <w:color w:val="000000" w:themeColor="text1"/>
          <w:vertAlign w:val="subscript"/>
        </w:rPr>
        <w:t>p</w:t>
      </w:r>
      <w:r w:rsidRPr="009C6046">
        <w:rPr>
          <w:i/>
          <w:color w:val="000000" w:themeColor="text1"/>
        </w:rPr>
        <w:t xml:space="preserve"> = G</w:t>
      </w:r>
      <w:r w:rsidRPr="009C6046">
        <w:rPr>
          <w:i/>
          <w:color w:val="000000" w:themeColor="text1"/>
          <w:vertAlign w:val="subscript"/>
        </w:rPr>
        <w:t>p</w:t>
      </w:r>
      <w:r w:rsidRPr="009C6046">
        <w:rPr>
          <w:i/>
          <w:color w:val="000000" w:themeColor="text1"/>
        </w:rPr>
        <w:t xml:space="preserve"> * t</w:t>
      </w:r>
      <w:r w:rsidRPr="009C6046">
        <w:rPr>
          <w:i/>
          <w:color w:val="000000" w:themeColor="text1"/>
          <w:vertAlign w:val="subscript"/>
        </w:rPr>
        <w:t>p</w:t>
      </w:r>
    </w:p>
    <w:p w14:paraId="5879D59C" w14:textId="77777777" w:rsidR="00510550" w:rsidRPr="009C6046" w:rsidRDefault="00510550" w:rsidP="00510550">
      <w:pPr>
        <w:jc w:val="center"/>
        <w:rPr>
          <w:i/>
          <w:color w:val="000000" w:themeColor="text1"/>
        </w:rPr>
      </w:pPr>
      <w:r w:rsidRPr="009C6046">
        <w:rPr>
          <w:i/>
          <w:color w:val="000000" w:themeColor="text1"/>
        </w:rPr>
        <w:t>I</w:t>
      </w:r>
      <w:r w:rsidRPr="009C6046">
        <w:rPr>
          <w:i/>
          <w:color w:val="000000" w:themeColor="text1"/>
          <w:vertAlign w:val="subscript"/>
        </w:rPr>
        <w:t>p</w:t>
      </w:r>
      <w:r w:rsidRPr="009C6046">
        <w:rPr>
          <w:i/>
          <w:color w:val="000000" w:themeColor="text1"/>
        </w:rPr>
        <w:t xml:space="preserve"> = G</w:t>
      </w:r>
      <w:r w:rsidRPr="009C6046">
        <w:rPr>
          <w:i/>
          <w:color w:val="000000" w:themeColor="text1"/>
          <w:vertAlign w:val="subscript"/>
        </w:rPr>
        <w:t>p</w:t>
      </w:r>
      <w:r w:rsidRPr="009C6046">
        <w:rPr>
          <w:i/>
          <w:color w:val="000000" w:themeColor="text1"/>
        </w:rPr>
        <w:t xml:space="preserve"> * i</w:t>
      </w:r>
      <w:r w:rsidRPr="009C6046">
        <w:rPr>
          <w:i/>
          <w:color w:val="000000" w:themeColor="text1"/>
          <w:vertAlign w:val="subscript"/>
        </w:rPr>
        <w:t>p</w:t>
      </w:r>
    </w:p>
    <w:p w14:paraId="5504948B" w14:textId="77777777" w:rsidR="00510550" w:rsidRPr="009C6046" w:rsidRDefault="00510550" w:rsidP="00510550">
      <w:pPr>
        <w:jc w:val="center"/>
        <w:rPr>
          <w:color w:val="000000" w:themeColor="text1"/>
          <w:vertAlign w:val="subscript"/>
        </w:rPr>
      </w:pPr>
      <w:r w:rsidRPr="009C6046">
        <w:rPr>
          <w:i/>
          <w:color w:val="000000" w:themeColor="text1"/>
        </w:rPr>
        <w:t>H</w:t>
      </w:r>
      <w:r w:rsidRPr="009C6046">
        <w:rPr>
          <w:i/>
          <w:color w:val="000000" w:themeColor="text1"/>
          <w:vertAlign w:val="subscript"/>
        </w:rPr>
        <w:t>p</w:t>
      </w:r>
      <w:r w:rsidRPr="009C6046">
        <w:rPr>
          <w:i/>
          <w:color w:val="000000" w:themeColor="text1"/>
        </w:rPr>
        <w:t xml:space="preserve"> = C</w:t>
      </w:r>
      <w:r w:rsidRPr="009C6046">
        <w:rPr>
          <w:i/>
          <w:color w:val="000000" w:themeColor="text1"/>
          <w:vertAlign w:val="subscript"/>
        </w:rPr>
        <w:t>p</w:t>
      </w:r>
      <w:r w:rsidRPr="009C6046">
        <w:rPr>
          <w:i/>
          <w:color w:val="000000" w:themeColor="text1"/>
        </w:rPr>
        <w:t xml:space="preserve"> * h</w:t>
      </w:r>
      <w:r w:rsidRPr="009C6046">
        <w:rPr>
          <w:i/>
          <w:color w:val="000000" w:themeColor="text1"/>
          <w:vertAlign w:val="subscript"/>
        </w:rPr>
        <w:t>p</w:t>
      </w:r>
    </w:p>
    <w:p w14:paraId="2BC36E4A" w14:textId="77777777" w:rsidR="00510550" w:rsidRPr="009C6046" w:rsidRDefault="00510550" w:rsidP="00510550">
      <w:pPr>
        <w:jc w:val="center"/>
        <w:rPr>
          <w:i/>
          <w:color w:val="000000" w:themeColor="text1"/>
          <w:vertAlign w:val="subscript"/>
        </w:rPr>
      </w:pPr>
      <w:r w:rsidRPr="009C6046">
        <w:rPr>
          <w:i/>
          <w:color w:val="000000" w:themeColor="text1"/>
        </w:rPr>
        <w:t>S</w:t>
      </w:r>
      <w:r w:rsidRPr="009C6046">
        <w:rPr>
          <w:i/>
          <w:color w:val="000000" w:themeColor="text1"/>
          <w:vertAlign w:val="subscript"/>
        </w:rPr>
        <w:t xml:space="preserve">campy </w:t>
      </w:r>
      <w:r w:rsidRPr="009C6046">
        <w:rPr>
          <w:i/>
          <w:color w:val="000000" w:themeColor="text1"/>
        </w:rPr>
        <w:t>= C</w:t>
      </w:r>
      <w:r w:rsidRPr="009C6046">
        <w:rPr>
          <w:i/>
          <w:color w:val="000000" w:themeColor="text1"/>
          <w:vertAlign w:val="subscript"/>
        </w:rPr>
        <w:t>p</w:t>
      </w:r>
      <w:r w:rsidRPr="009C6046">
        <w:rPr>
          <w:i/>
          <w:color w:val="000000" w:themeColor="text1"/>
        </w:rPr>
        <w:t xml:space="preserve"> * s</w:t>
      </w:r>
      <w:r w:rsidRPr="009C6046">
        <w:rPr>
          <w:i/>
          <w:color w:val="000000" w:themeColor="text1"/>
          <w:vertAlign w:val="subscript"/>
        </w:rPr>
        <w:t>campy</w:t>
      </w:r>
    </w:p>
    <w:p w14:paraId="036AE5E7" w14:textId="77777777" w:rsidR="00510550" w:rsidRPr="009C6046" w:rsidRDefault="00510550" w:rsidP="00510550">
      <w:pPr>
        <w:rPr>
          <w:i/>
          <w:color w:val="000000" w:themeColor="text1"/>
        </w:rPr>
      </w:pPr>
    </w:p>
    <w:tbl>
      <w:tblPr>
        <w:tblStyle w:val="TableGrid"/>
        <w:tblW w:w="8755" w:type="dxa"/>
        <w:jc w:val="center"/>
        <w:tblLook w:val="04A0" w:firstRow="1" w:lastRow="0" w:firstColumn="1" w:lastColumn="0" w:noHBand="0" w:noVBand="1"/>
      </w:tblPr>
      <w:tblGrid>
        <w:gridCol w:w="1459"/>
        <w:gridCol w:w="7296"/>
      </w:tblGrid>
      <w:tr w:rsidR="00510550" w:rsidRPr="009C6046" w14:paraId="1DB7D2FC" w14:textId="77777777" w:rsidTr="00D3148C">
        <w:trPr>
          <w:jc w:val="center"/>
        </w:trPr>
        <w:tc>
          <w:tcPr>
            <w:tcW w:w="1459" w:type="dxa"/>
          </w:tcPr>
          <w:p w14:paraId="37027A4D" w14:textId="77777777" w:rsidR="00510550" w:rsidRPr="009C6046" w:rsidRDefault="00510550" w:rsidP="00D3148C">
            <w:pPr>
              <w:jc w:val="center"/>
              <w:rPr>
                <w:color w:val="000000" w:themeColor="text1"/>
                <w:sz w:val="20"/>
                <w:szCs w:val="20"/>
              </w:rPr>
            </w:pPr>
            <w:r w:rsidRPr="009C6046">
              <w:rPr>
                <w:color w:val="000000" w:themeColor="text1"/>
                <w:sz w:val="20"/>
                <w:szCs w:val="20"/>
              </w:rPr>
              <w:t>Parameter</w:t>
            </w:r>
          </w:p>
        </w:tc>
        <w:tc>
          <w:tcPr>
            <w:tcW w:w="7296" w:type="dxa"/>
          </w:tcPr>
          <w:p w14:paraId="751ABC54" w14:textId="77777777" w:rsidR="00510550" w:rsidRPr="009C6046" w:rsidRDefault="00510550" w:rsidP="00D3148C">
            <w:pPr>
              <w:rPr>
                <w:color w:val="000000" w:themeColor="text1"/>
                <w:sz w:val="20"/>
                <w:szCs w:val="20"/>
              </w:rPr>
            </w:pPr>
            <w:r w:rsidRPr="009C6046">
              <w:rPr>
                <w:color w:val="000000" w:themeColor="text1"/>
                <w:sz w:val="20"/>
                <w:szCs w:val="20"/>
              </w:rPr>
              <w:t>Description</w:t>
            </w:r>
          </w:p>
        </w:tc>
      </w:tr>
      <w:tr w:rsidR="00510550" w:rsidRPr="009C6046" w14:paraId="4B390881" w14:textId="77777777" w:rsidTr="00D3148C">
        <w:trPr>
          <w:jc w:val="center"/>
        </w:trPr>
        <w:tc>
          <w:tcPr>
            <w:tcW w:w="1459" w:type="dxa"/>
          </w:tcPr>
          <w:p w14:paraId="3025D9C0" w14:textId="77777777" w:rsidR="00510550" w:rsidRPr="009C6046" w:rsidRDefault="00510550" w:rsidP="00D3148C">
            <w:pPr>
              <w:jc w:val="center"/>
              <w:rPr>
                <w:i/>
                <w:color w:val="000000" w:themeColor="text1"/>
                <w:sz w:val="20"/>
                <w:szCs w:val="20"/>
              </w:rPr>
            </w:pPr>
            <w:r w:rsidRPr="009C6046">
              <w:rPr>
                <w:i/>
                <w:color w:val="000000" w:themeColor="text1"/>
                <w:sz w:val="20"/>
                <w:szCs w:val="20"/>
              </w:rPr>
              <w:t>N</w:t>
            </w:r>
          </w:p>
        </w:tc>
        <w:tc>
          <w:tcPr>
            <w:tcW w:w="7296" w:type="dxa"/>
          </w:tcPr>
          <w:p w14:paraId="371F6A2D" w14:textId="77777777" w:rsidR="00510550" w:rsidRPr="009C6046" w:rsidRDefault="00510550" w:rsidP="00D3148C">
            <w:pPr>
              <w:rPr>
                <w:color w:val="000000" w:themeColor="text1"/>
                <w:sz w:val="20"/>
                <w:szCs w:val="20"/>
              </w:rPr>
            </w:pPr>
            <w:r w:rsidRPr="009C6046">
              <w:rPr>
                <w:color w:val="000000" w:themeColor="text1"/>
                <w:sz w:val="20"/>
                <w:szCs w:val="20"/>
              </w:rPr>
              <w:t>UK population in 2009 = 61,792,000</w:t>
            </w:r>
          </w:p>
        </w:tc>
      </w:tr>
      <w:tr w:rsidR="00510550" w:rsidRPr="009C6046" w14:paraId="35F64EB0" w14:textId="77777777" w:rsidTr="00D3148C">
        <w:trPr>
          <w:jc w:val="center"/>
        </w:trPr>
        <w:tc>
          <w:tcPr>
            <w:tcW w:w="1459" w:type="dxa"/>
          </w:tcPr>
          <w:p w14:paraId="660813A1" w14:textId="77777777" w:rsidR="00510550" w:rsidRPr="009C6046" w:rsidRDefault="00510550" w:rsidP="00D3148C">
            <w:pPr>
              <w:jc w:val="center"/>
              <w:rPr>
                <w:i/>
                <w:color w:val="000000" w:themeColor="text1"/>
                <w:sz w:val="20"/>
                <w:szCs w:val="20"/>
                <w:vertAlign w:val="subscript"/>
              </w:rPr>
            </w:pPr>
            <w:r w:rsidRPr="009C6046">
              <w:rPr>
                <w:i/>
                <w:color w:val="000000" w:themeColor="text1"/>
                <w:sz w:val="20"/>
                <w:szCs w:val="20"/>
              </w:rPr>
              <w:t>C</w:t>
            </w:r>
            <w:r w:rsidRPr="009C6046">
              <w:rPr>
                <w:i/>
                <w:color w:val="000000" w:themeColor="text1"/>
                <w:sz w:val="20"/>
                <w:szCs w:val="20"/>
                <w:vertAlign w:val="subscript"/>
              </w:rPr>
              <w:t>p</w:t>
            </w:r>
          </w:p>
        </w:tc>
        <w:tc>
          <w:tcPr>
            <w:tcW w:w="7296" w:type="dxa"/>
          </w:tcPr>
          <w:p w14:paraId="5EE5EE5D" w14:textId="77777777" w:rsidR="00510550" w:rsidRPr="009C6046" w:rsidRDefault="00510550" w:rsidP="00D3148C">
            <w:pPr>
              <w:rPr>
                <w:color w:val="000000" w:themeColor="text1"/>
                <w:sz w:val="20"/>
                <w:szCs w:val="20"/>
              </w:rPr>
            </w:pPr>
            <w:r w:rsidRPr="009C6046">
              <w:rPr>
                <w:color w:val="000000" w:themeColor="text1"/>
                <w:sz w:val="20"/>
                <w:szCs w:val="20"/>
              </w:rPr>
              <w:t xml:space="preserve">Total IID cases due to pathogen </w:t>
            </w:r>
            <w:r w:rsidRPr="009C6046">
              <w:rPr>
                <w:i/>
                <w:color w:val="000000" w:themeColor="text1"/>
                <w:sz w:val="20"/>
                <w:szCs w:val="20"/>
              </w:rPr>
              <w:t>p</w:t>
            </w:r>
          </w:p>
        </w:tc>
      </w:tr>
      <w:tr w:rsidR="00510550" w:rsidRPr="009C6046" w14:paraId="4D7C727B" w14:textId="77777777" w:rsidTr="00D3148C">
        <w:trPr>
          <w:jc w:val="center"/>
        </w:trPr>
        <w:tc>
          <w:tcPr>
            <w:tcW w:w="1459" w:type="dxa"/>
          </w:tcPr>
          <w:p w14:paraId="453574CD" w14:textId="77777777" w:rsidR="00510550" w:rsidRPr="009C6046" w:rsidRDefault="00510550" w:rsidP="00D3148C">
            <w:pPr>
              <w:jc w:val="center"/>
              <w:rPr>
                <w:i/>
                <w:color w:val="000000" w:themeColor="text1"/>
                <w:sz w:val="20"/>
                <w:szCs w:val="20"/>
                <w:vertAlign w:val="subscript"/>
              </w:rPr>
            </w:pPr>
            <w:r w:rsidRPr="009C6046">
              <w:rPr>
                <w:i/>
                <w:color w:val="000000" w:themeColor="text1"/>
                <w:sz w:val="20"/>
                <w:szCs w:val="20"/>
              </w:rPr>
              <w:t>c</w:t>
            </w:r>
            <w:r w:rsidRPr="009C6046">
              <w:rPr>
                <w:i/>
                <w:color w:val="000000" w:themeColor="text1"/>
                <w:sz w:val="20"/>
                <w:szCs w:val="20"/>
                <w:vertAlign w:val="subscript"/>
              </w:rPr>
              <w:t>p</w:t>
            </w:r>
          </w:p>
        </w:tc>
        <w:tc>
          <w:tcPr>
            <w:tcW w:w="7296" w:type="dxa"/>
          </w:tcPr>
          <w:p w14:paraId="2ECEC586" w14:textId="77777777" w:rsidR="00510550" w:rsidRPr="009C6046" w:rsidRDefault="00510550" w:rsidP="00D3148C">
            <w:pPr>
              <w:rPr>
                <w:color w:val="000000" w:themeColor="text1"/>
                <w:sz w:val="20"/>
                <w:szCs w:val="20"/>
              </w:rPr>
            </w:pPr>
            <w:r w:rsidRPr="009C6046">
              <w:rPr>
                <w:color w:val="000000" w:themeColor="text1"/>
                <w:sz w:val="20"/>
                <w:szCs w:val="20"/>
              </w:rPr>
              <w:t xml:space="preserve">Population rate of IID due to pathogen </w:t>
            </w:r>
            <w:r w:rsidRPr="009C6046">
              <w:rPr>
                <w:i/>
                <w:color w:val="000000" w:themeColor="text1"/>
                <w:sz w:val="20"/>
                <w:szCs w:val="20"/>
              </w:rPr>
              <w:t>p</w:t>
            </w:r>
          </w:p>
        </w:tc>
      </w:tr>
      <w:tr w:rsidR="00510550" w:rsidRPr="009C6046" w14:paraId="35FC1DEB" w14:textId="77777777" w:rsidTr="00D3148C">
        <w:trPr>
          <w:jc w:val="center"/>
        </w:trPr>
        <w:tc>
          <w:tcPr>
            <w:tcW w:w="1459" w:type="dxa"/>
          </w:tcPr>
          <w:p w14:paraId="3A40B97E" w14:textId="77777777" w:rsidR="00510550" w:rsidRPr="009C6046" w:rsidRDefault="00510550" w:rsidP="00D3148C">
            <w:pPr>
              <w:jc w:val="center"/>
              <w:rPr>
                <w:i/>
                <w:color w:val="000000" w:themeColor="text1"/>
                <w:sz w:val="20"/>
                <w:szCs w:val="20"/>
                <w:vertAlign w:val="subscript"/>
              </w:rPr>
            </w:pPr>
            <w:r w:rsidRPr="009C6046">
              <w:rPr>
                <w:i/>
                <w:color w:val="000000" w:themeColor="text1"/>
                <w:sz w:val="20"/>
                <w:szCs w:val="20"/>
              </w:rPr>
              <w:t>G</w:t>
            </w:r>
            <w:r w:rsidRPr="009C6046">
              <w:rPr>
                <w:i/>
                <w:color w:val="000000" w:themeColor="text1"/>
                <w:sz w:val="20"/>
                <w:szCs w:val="20"/>
                <w:vertAlign w:val="subscript"/>
              </w:rPr>
              <w:t>p</w:t>
            </w:r>
          </w:p>
        </w:tc>
        <w:tc>
          <w:tcPr>
            <w:tcW w:w="7296" w:type="dxa"/>
          </w:tcPr>
          <w:p w14:paraId="6018E453" w14:textId="77777777" w:rsidR="00510550" w:rsidRPr="009C6046" w:rsidRDefault="00510550" w:rsidP="00D3148C">
            <w:pPr>
              <w:rPr>
                <w:color w:val="000000" w:themeColor="text1"/>
                <w:sz w:val="20"/>
                <w:szCs w:val="20"/>
              </w:rPr>
            </w:pPr>
            <w:r w:rsidRPr="009C6046">
              <w:rPr>
                <w:color w:val="000000" w:themeColor="text1"/>
                <w:sz w:val="20"/>
                <w:szCs w:val="20"/>
              </w:rPr>
              <w:t xml:space="preserve">Total general practice consultations due to pathogen </w:t>
            </w:r>
            <w:r w:rsidRPr="009C6046">
              <w:rPr>
                <w:i/>
                <w:color w:val="000000" w:themeColor="text1"/>
                <w:sz w:val="20"/>
                <w:szCs w:val="20"/>
              </w:rPr>
              <w:t>p</w:t>
            </w:r>
          </w:p>
        </w:tc>
      </w:tr>
      <w:tr w:rsidR="00510550" w:rsidRPr="009C6046" w14:paraId="7895F15B" w14:textId="77777777" w:rsidTr="00D3148C">
        <w:trPr>
          <w:jc w:val="center"/>
        </w:trPr>
        <w:tc>
          <w:tcPr>
            <w:tcW w:w="1459" w:type="dxa"/>
          </w:tcPr>
          <w:p w14:paraId="24148B14" w14:textId="77777777" w:rsidR="00510550" w:rsidRPr="009C6046" w:rsidRDefault="00510550" w:rsidP="00D3148C">
            <w:pPr>
              <w:jc w:val="center"/>
              <w:rPr>
                <w:i/>
                <w:color w:val="000000" w:themeColor="text1"/>
                <w:sz w:val="20"/>
                <w:szCs w:val="20"/>
                <w:vertAlign w:val="subscript"/>
              </w:rPr>
            </w:pPr>
            <w:r w:rsidRPr="009C6046">
              <w:rPr>
                <w:i/>
                <w:color w:val="000000" w:themeColor="text1"/>
                <w:sz w:val="20"/>
                <w:szCs w:val="20"/>
              </w:rPr>
              <w:t>g</w:t>
            </w:r>
            <w:r w:rsidRPr="009C6046">
              <w:rPr>
                <w:i/>
                <w:color w:val="000000" w:themeColor="text1"/>
                <w:sz w:val="20"/>
                <w:szCs w:val="20"/>
                <w:vertAlign w:val="subscript"/>
              </w:rPr>
              <w:t>p</w:t>
            </w:r>
          </w:p>
        </w:tc>
        <w:tc>
          <w:tcPr>
            <w:tcW w:w="7296" w:type="dxa"/>
          </w:tcPr>
          <w:p w14:paraId="4328356A" w14:textId="77777777" w:rsidR="00510550" w:rsidRPr="009C6046" w:rsidRDefault="00510550" w:rsidP="00D3148C">
            <w:pPr>
              <w:rPr>
                <w:color w:val="000000" w:themeColor="text1"/>
                <w:sz w:val="20"/>
                <w:szCs w:val="20"/>
              </w:rPr>
            </w:pPr>
            <w:r w:rsidRPr="009C6046">
              <w:rPr>
                <w:color w:val="000000" w:themeColor="text1"/>
                <w:sz w:val="20"/>
                <w:szCs w:val="20"/>
              </w:rPr>
              <w:t xml:space="preserve">Rate of consultation to general practice for IID due to pathogen </w:t>
            </w:r>
            <w:r w:rsidRPr="009C6046">
              <w:rPr>
                <w:i/>
                <w:color w:val="000000" w:themeColor="text1"/>
                <w:sz w:val="20"/>
                <w:szCs w:val="20"/>
              </w:rPr>
              <w:t>p</w:t>
            </w:r>
          </w:p>
        </w:tc>
      </w:tr>
      <w:tr w:rsidR="00510550" w:rsidRPr="009C6046" w14:paraId="4BB755A3" w14:textId="77777777" w:rsidTr="00D3148C">
        <w:trPr>
          <w:jc w:val="center"/>
        </w:trPr>
        <w:tc>
          <w:tcPr>
            <w:tcW w:w="1459" w:type="dxa"/>
          </w:tcPr>
          <w:p w14:paraId="2B5925B3" w14:textId="77777777" w:rsidR="00510550" w:rsidRPr="009C6046" w:rsidRDefault="00510550" w:rsidP="00D3148C">
            <w:pPr>
              <w:jc w:val="center"/>
              <w:rPr>
                <w:i/>
                <w:color w:val="000000" w:themeColor="text1"/>
                <w:sz w:val="20"/>
                <w:szCs w:val="20"/>
                <w:vertAlign w:val="subscript"/>
              </w:rPr>
            </w:pPr>
            <w:r w:rsidRPr="009C6046">
              <w:rPr>
                <w:i/>
                <w:color w:val="000000" w:themeColor="text1"/>
                <w:sz w:val="20"/>
                <w:szCs w:val="20"/>
              </w:rPr>
              <w:t>A</w:t>
            </w:r>
            <w:r w:rsidRPr="009C6046">
              <w:rPr>
                <w:i/>
                <w:color w:val="000000" w:themeColor="text1"/>
                <w:sz w:val="20"/>
                <w:szCs w:val="20"/>
                <w:vertAlign w:val="subscript"/>
              </w:rPr>
              <w:t>p</w:t>
            </w:r>
          </w:p>
        </w:tc>
        <w:tc>
          <w:tcPr>
            <w:tcW w:w="7296" w:type="dxa"/>
          </w:tcPr>
          <w:p w14:paraId="1607FE66" w14:textId="77777777" w:rsidR="00510550" w:rsidRPr="009C6046" w:rsidRDefault="00510550" w:rsidP="00D3148C">
            <w:pPr>
              <w:rPr>
                <w:color w:val="000000" w:themeColor="text1"/>
                <w:sz w:val="20"/>
                <w:szCs w:val="20"/>
              </w:rPr>
            </w:pPr>
            <w:r w:rsidRPr="009C6046">
              <w:rPr>
                <w:color w:val="000000" w:themeColor="text1"/>
                <w:sz w:val="20"/>
                <w:szCs w:val="20"/>
              </w:rPr>
              <w:t xml:space="preserve">Calls to telephone health and advice services due to pathogen </w:t>
            </w:r>
            <w:r w:rsidRPr="009C6046">
              <w:rPr>
                <w:i/>
                <w:color w:val="000000" w:themeColor="text1"/>
                <w:sz w:val="20"/>
                <w:szCs w:val="20"/>
              </w:rPr>
              <w:t>p</w:t>
            </w:r>
          </w:p>
        </w:tc>
      </w:tr>
      <w:tr w:rsidR="00510550" w:rsidRPr="009C6046" w14:paraId="7BD7ABF5" w14:textId="77777777" w:rsidTr="00D3148C">
        <w:trPr>
          <w:jc w:val="center"/>
        </w:trPr>
        <w:tc>
          <w:tcPr>
            <w:tcW w:w="1459" w:type="dxa"/>
          </w:tcPr>
          <w:p w14:paraId="535D2C19" w14:textId="77777777" w:rsidR="00510550" w:rsidRPr="009C6046" w:rsidRDefault="00510550" w:rsidP="00D3148C">
            <w:pPr>
              <w:jc w:val="center"/>
              <w:rPr>
                <w:i/>
                <w:color w:val="000000" w:themeColor="text1"/>
                <w:sz w:val="20"/>
                <w:szCs w:val="20"/>
              </w:rPr>
            </w:pPr>
            <w:r w:rsidRPr="009C6046">
              <w:rPr>
                <w:i/>
                <w:color w:val="000000" w:themeColor="text1"/>
                <w:sz w:val="20"/>
                <w:szCs w:val="20"/>
              </w:rPr>
              <w:t>a</w:t>
            </w:r>
          </w:p>
        </w:tc>
        <w:tc>
          <w:tcPr>
            <w:tcW w:w="7296" w:type="dxa"/>
          </w:tcPr>
          <w:p w14:paraId="3871ABC6" w14:textId="77777777" w:rsidR="00510550" w:rsidRPr="009C6046" w:rsidRDefault="00510550" w:rsidP="00D3148C">
            <w:pPr>
              <w:rPr>
                <w:color w:val="000000" w:themeColor="text1"/>
                <w:sz w:val="20"/>
                <w:szCs w:val="20"/>
              </w:rPr>
            </w:pPr>
            <w:r w:rsidRPr="009C6046">
              <w:rPr>
                <w:color w:val="000000" w:themeColor="text1"/>
                <w:sz w:val="20"/>
                <w:szCs w:val="20"/>
              </w:rPr>
              <w:t>Proportion of IID cases in the IID2 Cohort Study using telephone health and advice services (all pathogens)</w:t>
            </w:r>
          </w:p>
        </w:tc>
      </w:tr>
      <w:tr w:rsidR="00510550" w:rsidRPr="009C6046" w14:paraId="01202EA9" w14:textId="77777777" w:rsidTr="00D3148C">
        <w:trPr>
          <w:jc w:val="center"/>
        </w:trPr>
        <w:tc>
          <w:tcPr>
            <w:tcW w:w="1459" w:type="dxa"/>
          </w:tcPr>
          <w:p w14:paraId="1BECDED3" w14:textId="77777777" w:rsidR="00510550" w:rsidRPr="009C6046" w:rsidRDefault="00510550" w:rsidP="00D3148C">
            <w:pPr>
              <w:jc w:val="center"/>
              <w:rPr>
                <w:i/>
                <w:color w:val="000000" w:themeColor="text1"/>
                <w:sz w:val="20"/>
                <w:szCs w:val="20"/>
                <w:vertAlign w:val="subscript"/>
              </w:rPr>
            </w:pPr>
            <w:r w:rsidRPr="009C6046">
              <w:rPr>
                <w:i/>
                <w:color w:val="000000" w:themeColor="text1"/>
                <w:sz w:val="20"/>
                <w:szCs w:val="20"/>
              </w:rPr>
              <w:t>E</w:t>
            </w:r>
            <w:r w:rsidRPr="009C6046">
              <w:rPr>
                <w:i/>
                <w:color w:val="000000" w:themeColor="text1"/>
                <w:sz w:val="20"/>
                <w:szCs w:val="20"/>
                <w:vertAlign w:val="subscript"/>
              </w:rPr>
              <w:t>p</w:t>
            </w:r>
          </w:p>
        </w:tc>
        <w:tc>
          <w:tcPr>
            <w:tcW w:w="7296" w:type="dxa"/>
          </w:tcPr>
          <w:p w14:paraId="692D1233" w14:textId="77777777" w:rsidR="00510550" w:rsidRPr="009C6046" w:rsidRDefault="00510550" w:rsidP="00D3148C">
            <w:pPr>
              <w:rPr>
                <w:color w:val="000000" w:themeColor="text1"/>
                <w:sz w:val="20"/>
                <w:szCs w:val="20"/>
              </w:rPr>
            </w:pPr>
            <w:r w:rsidRPr="009C6046">
              <w:rPr>
                <w:color w:val="000000" w:themeColor="text1"/>
                <w:sz w:val="20"/>
                <w:szCs w:val="20"/>
              </w:rPr>
              <w:t xml:space="preserve">Visits to Accident &amp; Emergency departments for IID due to pathogen </w:t>
            </w:r>
            <w:r w:rsidRPr="009C6046">
              <w:rPr>
                <w:i/>
                <w:color w:val="000000" w:themeColor="text1"/>
                <w:sz w:val="20"/>
                <w:szCs w:val="20"/>
              </w:rPr>
              <w:t>p</w:t>
            </w:r>
          </w:p>
        </w:tc>
      </w:tr>
      <w:tr w:rsidR="00510550" w:rsidRPr="009C6046" w14:paraId="4524F884" w14:textId="77777777" w:rsidTr="00D3148C">
        <w:trPr>
          <w:jc w:val="center"/>
        </w:trPr>
        <w:tc>
          <w:tcPr>
            <w:tcW w:w="1459" w:type="dxa"/>
          </w:tcPr>
          <w:p w14:paraId="4AAAADBC" w14:textId="77777777" w:rsidR="00510550" w:rsidRPr="009C6046" w:rsidRDefault="00510550" w:rsidP="00D3148C">
            <w:pPr>
              <w:jc w:val="center"/>
              <w:rPr>
                <w:i/>
                <w:color w:val="000000" w:themeColor="text1"/>
                <w:sz w:val="20"/>
                <w:szCs w:val="20"/>
              </w:rPr>
            </w:pPr>
            <w:r w:rsidRPr="009C6046">
              <w:rPr>
                <w:i/>
                <w:color w:val="000000" w:themeColor="text1"/>
                <w:sz w:val="20"/>
                <w:szCs w:val="20"/>
              </w:rPr>
              <w:t>e</w:t>
            </w:r>
          </w:p>
        </w:tc>
        <w:tc>
          <w:tcPr>
            <w:tcW w:w="7296" w:type="dxa"/>
          </w:tcPr>
          <w:p w14:paraId="10D7E2D0" w14:textId="77777777" w:rsidR="00510550" w:rsidRPr="009C6046" w:rsidRDefault="00510550" w:rsidP="00D3148C">
            <w:pPr>
              <w:rPr>
                <w:color w:val="000000" w:themeColor="text1"/>
                <w:sz w:val="20"/>
                <w:szCs w:val="20"/>
              </w:rPr>
            </w:pPr>
            <w:r w:rsidRPr="009C6046">
              <w:rPr>
                <w:color w:val="000000" w:themeColor="text1"/>
                <w:sz w:val="20"/>
                <w:szCs w:val="20"/>
              </w:rPr>
              <w:t>Proportion of IID cases in the IID2 Cohort Study visiting Accident &amp; Emergency departments (all pathogens)</w:t>
            </w:r>
          </w:p>
        </w:tc>
      </w:tr>
      <w:tr w:rsidR="00510550" w:rsidRPr="009C6046" w14:paraId="369DB761" w14:textId="77777777" w:rsidTr="00D3148C">
        <w:trPr>
          <w:jc w:val="center"/>
        </w:trPr>
        <w:tc>
          <w:tcPr>
            <w:tcW w:w="1459" w:type="dxa"/>
          </w:tcPr>
          <w:p w14:paraId="365EA736" w14:textId="77777777" w:rsidR="00510550" w:rsidRPr="009C6046" w:rsidRDefault="00510550" w:rsidP="00D3148C">
            <w:pPr>
              <w:jc w:val="center"/>
              <w:rPr>
                <w:i/>
                <w:color w:val="000000" w:themeColor="text1"/>
                <w:sz w:val="20"/>
                <w:szCs w:val="20"/>
                <w:vertAlign w:val="subscript"/>
              </w:rPr>
            </w:pPr>
            <w:r w:rsidRPr="009C6046">
              <w:rPr>
                <w:i/>
                <w:color w:val="000000" w:themeColor="text1"/>
                <w:sz w:val="20"/>
                <w:szCs w:val="20"/>
              </w:rPr>
              <w:t>O</w:t>
            </w:r>
            <w:r w:rsidRPr="009C6046">
              <w:rPr>
                <w:i/>
                <w:color w:val="000000" w:themeColor="text1"/>
                <w:sz w:val="20"/>
                <w:szCs w:val="20"/>
                <w:vertAlign w:val="subscript"/>
              </w:rPr>
              <w:t>p</w:t>
            </w:r>
          </w:p>
        </w:tc>
        <w:tc>
          <w:tcPr>
            <w:tcW w:w="7296" w:type="dxa"/>
          </w:tcPr>
          <w:p w14:paraId="6841927D" w14:textId="77777777" w:rsidR="00510550" w:rsidRPr="009C6046" w:rsidRDefault="00510550" w:rsidP="00D3148C">
            <w:pPr>
              <w:rPr>
                <w:color w:val="000000" w:themeColor="text1"/>
                <w:sz w:val="20"/>
                <w:szCs w:val="20"/>
              </w:rPr>
            </w:pPr>
            <w:r w:rsidRPr="009C6046">
              <w:rPr>
                <w:color w:val="000000" w:themeColor="text1"/>
                <w:sz w:val="20"/>
                <w:szCs w:val="20"/>
              </w:rPr>
              <w:t xml:space="preserve">Out-of-hours consultations to general practice due to pathogen </w:t>
            </w:r>
            <w:r w:rsidRPr="009C6046">
              <w:rPr>
                <w:i/>
                <w:color w:val="000000" w:themeColor="text1"/>
                <w:sz w:val="20"/>
                <w:szCs w:val="20"/>
              </w:rPr>
              <w:t>p</w:t>
            </w:r>
          </w:p>
        </w:tc>
      </w:tr>
      <w:tr w:rsidR="00510550" w:rsidRPr="009C6046" w14:paraId="73683923" w14:textId="77777777" w:rsidTr="00D3148C">
        <w:trPr>
          <w:jc w:val="center"/>
        </w:trPr>
        <w:tc>
          <w:tcPr>
            <w:tcW w:w="1459" w:type="dxa"/>
          </w:tcPr>
          <w:p w14:paraId="5B90C247" w14:textId="77777777" w:rsidR="00510550" w:rsidRPr="009C6046" w:rsidRDefault="00510550" w:rsidP="00D3148C">
            <w:pPr>
              <w:jc w:val="center"/>
              <w:rPr>
                <w:i/>
                <w:color w:val="000000" w:themeColor="text1"/>
                <w:sz w:val="20"/>
                <w:szCs w:val="20"/>
                <w:vertAlign w:val="subscript"/>
              </w:rPr>
            </w:pPr>
            <w:r w:rsidRPr="009C6046">
              <w:rPr>
                <w:i/>
                <w:color w:val="000000" w:themeColor="text1"/>
                <w:sz w:val="20"/>
                <w:szCs w:val="20"/>
              </w:rPr>
              <w:t>o</w:t>
            </w:r>
            <w:r w:rsidRPr="009C6046">
              <w:rPr>
                <w:i/>
                <w:color w:val="000000" w:themeColor="text1"/>
                <w:sz w:val="20"/>
                <w:szCs w:val="20"/>
                <w:vertAlign w:val="subscript"/>
              </w:rPr>
              <w:t>p</w:t>
            </w:r>
          </w:p>
        </w:tc>
        <w:tc>
          <w:tcPr>
            <w:tcW w:w="7296" w:type="dxa"/>
          </w:tcPr>
          <w:p w14:paraId="5B7A06EA" w14:textId="77777777" w:rsidR="00510550" w:rsidRPr="009C6046" w:rsidRDefault="00510550" w:rsidP="00D3148C">
            <w:pPr>
              <w:rPr>
                <w:color w:val="000000" w:themeColor="text1"/>
                <w:sz w:val="20"/>
                <w:szCs w:val="20"/>
              </w:rPr>
            </w:pPr>
            <w:r w:rsidRPr="009C6046">
              <w:rPr>
                <w:color w:val="000000" w:themeColor="text1"/>
                <w:sz w:val="20"/>
                <w:szCs w:val="20"/>
              </w:rPr>
              <w:t xml:space="preserve">Proportion of IID cases in the IID2 GP Presentation Study due to pathogen </w:t>
            </w:r>
            <w:r w:rsidRPr="009C6046">
              <w:rPr>
                <w:i/>
                <w:color w:val="000000" w:themeColor="text1"/>
                <w:sz w:val="20"/>
                <w:szCs w:val="20"/>
              </w:rPr>
              <w:t>p</w:t>
            </w:r>
            <w:r w:rsidRPr="009C6046">
              <w:rPr>
                <w:color w:val="000000" w:themeColor="text1"/>
                <w:sz w:val="20"/>
                <w:szCs w:val="20"/>
              </w:rPr>
              <w:t xml:space="preserve"> that consulted out-of-hours services</w:t>
            </w:r>
          </w:p>
        </w:tc>
      </w:tr>
      <w:tr w:rsidR="00510550" w:rsidRPr="009C6046" w14:paraId="1EF8271B" w14:textId="77777777" w:rsidTr="00D3148C">
        <w:trPr>
          <w:jc w:val="center"/>
        </w:trPr>
        <w:tc>
          <w:tcPr>
            <w:tcW w:w="1459" w:type="dxa"/>
          </w:tcPr>
          <w:p w14:paraId="0064F6C5" w14:textId="77777777" w:rsidR="00510550" w:rsidRPr="009C6046" w:rsidRDefault="00510550" w:rsidP="00D3148C">
            <w:pPr>
              <w:jc w:val="center"/>
              <w:rPr>
                <w:i/>
                <w:color w:val="000000" w:themeColor="text1"/>
                <w:sz w:val="20"/>
                <w:szCs w:val="20"/>
                <w:vertAlign w:val="subscript"/>
              </w:rPr>
            </w:pPr>
            <w:r w:rsidRPr="009C6046">
              <w:rPr>
                <w:i/>
                <w:color w:val="000000" w:themeColor="text1"/>
                <w:sz w:val="20"/>
                <w:szCs w:val="20"/>
              </w:rPr>
              <w:t>T</w:t>
            </w:r>
            <w:r w:rsidRPr="009C6046">
              <w:rPr>
                <w:i/>
                <w:color w:val="000000" w:themeColor="text1"/>
                <w:sz w:val="20"/>
                <w:szCs w:val="20"/>
                <w:vertAlign w:val="subscript"/>
              </w:rPr>
              <w:t>p</w:t>
            </w:r>
          </w:p>
        </w:tc>
        <w:tc>
          <w:tcPr>
            <w:tcW w:w="7296" w:type="dxa"/>
          </w:tcPr>
          <w:p w14:paraId="3C5B8B34" w14:textId="77777777" w:rsidR="00510550" w:rsidRPr="009C6046" w:rsidRDefault="00510550" w:rsidP="00D3148C">
            <w:pPr>
              <w:rPr>
                <w:color w:val="000000" w:themeColor="text1"/>
                <w:sz w:val="20"/>
                <w:szCs w:val="20"/>
              </w:rPr>
            </w:pPr>
            <w:r w:rsidRPr="009C6046">
              <w:rPr>
                <w:color w:val="000000" w:themeColor="text1"/>
                <w:sz w:val="20"/>
                <w:szCs w:val="20"/>
              </w:rPr>
              <w:t xml:space="preserve">Telephone consultations to general practice due to  pathogen </w:t>
            </w:r>
            <w:r w:rsidRPr="009C6046">
              <w:rPr>
                <w:i/>
                <w:color w:val="000000" w:themeColor="text1"/>
                <w:sz w:val="20"/>
                <w:szCs w:val="20"/>
              </w:rPr>
              <w:t>p</w:t>
            </w:r>
          </w:p>
        </w:tc>
      </w:tr>
      <w:tr w:rsidR="00510550" w:rsidRPr="009C6046" w14:paraId="4D4A8A62" w14:textId="77777777" w:rsidTr="00D3148C">
        <w:trPr>
          <w:jc w:val="center"/>
        </w:trPr>
        <w:tc>
          <w:tcPr>
            <w:tcW w:w="1459" w:type="dxa"/>
          </w:tcPr>
          <w:p w14:paraId="3100F72C" w14:textId="77777777" w:rsidR="00510550" w:rsidRPr="009C6046" w:rsidRDefault="00510550" w:rsidP="00D3148C">
            <w:pPr>
              <w:jc w:val="center"/>
              <w:rPr>
                <w:i/>
                <w:color w:val="000000" w:themeColor="text1"/>
                <w:sz w:val="20"/>
                <w:szCs w:val="20"/>
                <w:vertAlign w:val="subscript"/>
              </w:rPr>
            </w:pPr>
            <w:r w:rsidRPr="009C6046">
              <w:rPr>
                <w:i/>
                <w:color w:val="000000" w:themeColor="text1"/>
                <w:sz w:val="20"/>
                <w:szCs w:val="20"/>
              </w:rPr>
              <w:t>t</w:t>
            </w:r>
            <w:r w:rsidRPr="009C6046">
              <w:rPr>
                <w:i/>
                <w:color w:val="000000" w:themeColor="text1"/>
                <w:sz w:val="20"/>
                <w:szCs w:val="20"/>
                <w:vertAlign w:val="subscript"/>
              </w:rPr>
              <w:t>p</w:t>
            </w:r>
          </w:p>
        </w:tc>
        <w:tc>
          <w:tcPr>
            <w:tcW w:w="7296" w:type="dxa"/>
          </w:tcPr>
          <w:p w14:paraId="0D172DF3" w14:textId="77777777" w:rsidR="00510550" w:rsidRPr="009C6046" w:rsidRDefault="00510550" w:rsidP="00D3148C">
            <w:pPr>
              <w:rPr>
                <w:color w:val="000000" w:themeColor="text1"/>
                <w:sz w:val="20"/>
                <w:szCs w:val="20"/>
              </w:rPr>
            </w:pPr>
            <w:r w:rsidRPr="009C6046">
              <w:rPr>
                <w:color w:val="000000" w:themeColor="text1"/>
                <w:sz w:val="20"/>
                <w:szCs w:val="20"/>
              </w:rPr>
              <w:t>Proportion of IID cases in the IID2 GP Presentation Study due to pathogen p that consulted their general practice by telephone</w:t>
            </w:r>
          </w:p>
        </w:tc>
      </w:tr>
      <w:tr w:rsidR="00510550" w:rsidRPr="009C6046" w14:paraId="52956A7E" w14:textId="77777777" w:rsidTr="00D3148C">
        <w:trPr>
          <w:jc w:val="center"/>
        </w:trPr>
        <w:tc>
          <w:tcPr>
            <w:tcW w:w="1459" w:type="dxa"/>
          </w:tcPr>
          <w:p w14:paraId="3FABB9E7" w14:textId="77777777" w:rsidR="00510550" w:rsidRPr="009C6046" w:rsidRDefault="00510550" w:rsidP="00D3148C">
            <w:pPr>
              <w:jc w:val="center"/>
              <w:rPr>
                <w:i/>
                <w:color w:val="000000" w:themeColor="text1"/>
                <w:sz w:val="20"/>
                <w:szCs w:val="20"/>
                <w:vertAlign w:val="subscript"/>
              </w:rPr>
            </w:pPr>
            <w:r w:rsidRPr="009C6046">
              <w:rPr>
                <w:i/>
                <w:color w:val="000000" w:themeColor="text1"/>
                <w:sz w:val="20"/>
                <w:szCs w:val="20"/>
              </w:rPr>
              <w:t>I</w:t>
            </w:r>
            <w:r w:rsidRPr="009C6046">
              <w:rPr>
                <w:i/>
                <w:color w:val="000000" w:themeColor="text1"/>
                <w:sz w:val="20"/>
                <w:szCs w:val="20"/>
                <w:vertAlign w:val="subscript"/>
              </w:rPr>
              <w:t>p</w:t>
            </w:r>
          </w:p>
        </w:tc>
        <w:tc>
          <w:tcPr>
            <w:tcW w:w="7296" w:type="dxa"/>
          </w:tcPr>
          <w:p w14:paraId="3A07A6C3" w14:textId="77777777" w:rsidR="00510550" w:rsidRPr="009C6046" w:rsidRDefault="00510550" w:rsidP="00D3148C">
            <w:pPr>
              <w:rPr>
                <w:color w:val="000000" w:themeColor="text1"/>
                <w:sz w:val="20"/>
                <w:szCs w:val="20"/>
              </w:rPr>
            </w:pPr>
            <w:r w:rsidRPr="009C6046">
              <w:rPr>
                <w:color w:val="000000" w:themeColor="text1"/>
                <w:sz w:val="20"/>
                <w:szCs w:val="20"/>
              </w:rPr>
              <w:t xml:space="preserve">In-person general practice consultations due to pathogen </w:t>
            </w:r>
            <w:r w:rsidRPr="009C6046">
              <w:rPr>
                <w:i/>
                <w:color w:val="000000" w:themeColor="text1"/>
                <w:sz w:val="20"/>
                <w:szCs w:val="20"/>
              </w:rPr>
              <w:t>p</w:t>
            </w:r>
          </w:p>
        </w:tc>
      </w:tr>
      <w:tr w:rsidR="00510550" w:rsidRPr="009C6046" w14:paraId="2E171990" w14:textId="77777777" w:rsidTr="00D3148C">
        <w:trPr>
          <w:jc w:val="center"/>
        </w:trPr>
        <w:tc>
          <w:tcPr>
            <w:tcW w:w="1459" w:type="dxa"/>
          </w:tcPr>
          <w:p w14:paraId="492353F1" w14:textId="77777777" w:rsidR="00510550" w:rsidRPr="009C6046" w:rsidRDefault="00510550" w:rsidP="00D3148C">
            <w:pPr>
              <w:jc w:val="center"/>
              <w:rPr>
                <w:i/>
                <w:color w:val="000000" w:themeColor="text1"/>
                <w:sz w:val="20"/>
                <w:szCs w:val="20"/>
                <w:vertAlign w:val="subscript"/>
              </w:rPr>
            </w:pPr>
            <w:r w:rsidRPr="009C6046">
              <w:rPr>
                <w:i/>
                <w:color w:val="000000" w:themeColor="text1"/>
                <w:sz w:val="20"/>
                <w:szCs w:val="20"/>
              </w:rPr>
              <w:t>i</w:t>
            </w:r>
            <w:r w:rsidRPr="009C6046">
              <w:rPr>
                <w:i/>
                <w:color w:val="000000" w:themeColor="text1"/>
                <w:sz w:val="20"/>
                <w:szCs w:val="20"/>
                <w:vertAlign w:val="subscript"/>
              </w:rPr>
              <w:t>p</w:t>
            </w:r>
          </w:p>
        </w:tc>
        <w:tc>
          <w:tcPr>
            <w:tcW w:w="7296" w:type="dxa"/>
          </w:tcPr>
          <w:p w14:paraId="6B581B2A" w14:textId="77777777" w:rsidR="00510550" w:rsidRPr="009C6046" w:rsidRDefault="00510550" w:rsidP="00D3148C">
            <w:pPr>
              <w:rPr>
                <w:color w:val="000000" w:themeColor="text1"/>
                <w:sz w:val="20"/>
                <w:szCs w:val="20"/>
              </w:rPr>
            </w:pPr>
            <w:r w:rsidRPr="009C6046">
              <w:rPr>
                <w:color w:val="000000" w:themeColor="text1"/>
                <w:sz w:val="20"/>
                <w:szCs w:val="20"/>
              </w:rPr>
              <w:t xml:space="preserve">Proportion of IID cases in the IID2 GP Presentation Study due to pathogen </w:t>
            </w:r>
            <w:r w:rsidRPr="009C6046">
              <w:rPr>
                <w:i/>
                <w:color w:val="000000" w:themeColor="text1"/>
                <w:sz w:val="20"/>
                <w:szCs w:val="20"/>
              </w:rPr>
              <w:t>p</w:t>
            </w:r>
            <w:r w:rsidRPr="009C6046">
              <w:rPr>
                <w:color w:val="000000" w:themeColor="text1"/>
                <w:sz w:val="20"/>
                <w:szCs w:val="20"/>
              </w:rPr>
              <w:t xml:space="preserve"> that consulted their general practice in person</w:t>
            </w:r>
          </w:p>
        </w:tc>
      </w:tr>
      <w:tr w:rsidR="00510550" w:rsidRPr="009C6046" w14:paraId="6741975C" w14:textId="77777777" w:rsidTr="00D3148C">
        <w:trPr>
          <w:jc w:val="center"/>
        </w:trPr>
        <w:tc>
          <w:tcPr>
            <w:tcW w:w="1459" w:type="dxa"/>
          </w:tcPr>
          <w:p w14:paraId="473C742A" w14:textId="77777777" w:rsidR="00510550" w:rsidRPr="009C6046" w:rsidRDefault="00510550" w:rsidP="00D3148C">
            <w:pPr>
              <w:jc w:val="center"/>
              <w:rPr>
                <w:i/>
                <w:color w:val="000000" w:themeColor="text1"/>
                <w:sz w:val="20"/>
                <w:szCs w:val="20"/>
                <w:vertAlign w:val="subscript"/>
              </w:rPr>
            </w:pPr>
            <w:r w:rsidRPr="009C6046">
              <w:rPr>
                <w:i/>
                <w:color w:val="000000" w:themeColor="text1"/>
                <w:sz w:val="20"/>
                <w:szCs w:val="20"/>
              </w:rPr>
              <w:t>H</w:t>
            </w:r>
            <w:r w:rsidRPr="009C6046">
              <w:rPr>
                <w:i/>
                <w:color w:val="000000" w:themeColor="text1"/>
                <w:sz w:val="20"/>
                <w:szCs w:val="20"/>
                <w:vertAlign w:val="subscript"/>
              </w:rPr>
              <w:t>p</w:t>
            </w:r>
          </w:p>
        </w:tc>
        <w:tc>
          <w:tcPr>
            <w:tcW w:w="7296" w:type="dxa"/>
          </w:tcPr>
          <w:p w14:paraId="75415AB4" w14:textId="77777777" w:rsidR="00510550" w:rsidRPr="009C6046" w:rsidRDefault="00510550" w:rsidP="00D3148C">
            <w:pPr>
              <w:rPr>
                <w:color w:val="000000" w:themeColor="text1"/>
                <w:sz w:val="20"/>
                <w:szCs w:val="20"/>
              </w:rPr>
            </w:pPr>
            <w:r w:rsidRPr="009C6046">
              <w:rPr>
                <w:color w:val="000000" w:themeColor="text1"/>
                <w:sz w:val="20"/>
                <w:szCs w:val="20"/>
              </w:rPr>
              <w:t xml:space="preserve">Hospital admissions due to pathogen </w:t>
            </w:r>
            <w:r w:rsidRPr="009C6046">
              <w:rPr>
                <w:i/>
                <w:color w:val="000000" w:themeColor="text1"/>
                <w:sz w:val="20"/>
                <w:szCs w:val="20"/>
              </w:rPr>
              <w:t>p</w:t>
            </w:r>
          </w:p>
        </w:tc>
      </w:tr>
      <w:tr w:rsidR="00510550" w:rsidRPr="009C6046" w14:paraId="2A9628B7" w14:textId="77777777" w:rsidTr="00D3148C">
        <w:trPr>
          <w:jc w:val="center"/>
        </w:trPr>
        <w:tc>
          <w:tcPr>
            <w:tcW w:w="1459" w:type="dxa"/>
          </w:tcPr>
          <w:p w14:paraId="5A589AE2" w14:textId="77777777" w:rsidR="00510550" w:rsidRPr="009C6046" w:rsidRDefault="00510550" w:rsidP="00D3148C">
            <w:pPr>
              <w:jc w:val="center"/>
              <w:rPr>
                <w:i/>
                <w:color w:val="000000" w:themeColor="text1"/>
                <w:sz w:val="20"/>
                <w:szCs w:val="20"/>
                <w:vertAlign w:val="subscript"/>
              </w:rPr>
            </w:pPr>
            <w:r w:rsidRPr="009C6046">
              <w:rPr>
                <w:i/>
                <w:color w:val="000000" w:themeColor="text1"/>
                <w:sz w:val="20"/>
                <w:szCs w:val="20"/>
              </w:rPr>
              <w:t>h</w:t>
            </w:r>
            <w:r w:rsidRPr="009C6046">
              <w:rPr>
                <w:i/>
                <w:color w:val="000000" w:themeColor="text1"/>
                <w:sz w:val="20"/>
                <w:szCs w:val="20"/>
                <w:vertAlign w:val="subscript"/>
              </w:rPr>
              <w:t>p</w:t>
            </w:r>
          </w:p>
        </w:tc>
        <w:tc>
          <w:tcPr>
            <w:tcW w:w="7296" w:type="dxa"/>
          </w:tcPr>
          <w:p w14:paraId="143AB09D" w14:textId="77777777" w:rsidR="00510550" w:rsidRPr="009C6046" w:rsidRDefault="00510550" w:rsidP="00D3148C">
            <w:pPr>
              <w:rPr>
                <w:color w:val="000000" w:themeColor="text1"/>
                <w:sz w:val="20"/>
                <w:szCs w:val="20"/>
              </w:rPr>
            </w:pPr>
            <w:r w:rsidRPr="009C6046">
              <w:rPr>
                <w:color w:val="000000" w:themeColor="text1"/>
                <w:sz w:val="20"/>
                <w:szCs w:val="20"/>
              </w:rPr>
              <w:t xml:space="preserve">Proportion of IID cases due to pathogen </w:t>
            </w:r>
            <w:r w:rsidRPr="009C6046">
              <w:rPr>
                <w:i/>
                <w:color w:val="000000" w:themeColor="text1"/>
                <w:sz w:val="20"/>
                <w:szCs w:val="20"/>
              </w:rPr>
              <w:t>p</w:t>
            </w:r>
            <w:r w:rsidRPr="009C6046">
              <w:rPr>
                <w:color w:val="000000" w:themeColor="text1"/>
                <w:sz w:val="20"/>
                <w:szCs w:val="20"/>
              </w:rPr>
              <w:t xml:space="preserve"> that were hospitalised</w:t>
            </w:r>
          </w:p>
        </w:tc>
      </w:tr>
      <w:tr w:rsidR="00510550" w:rsidRPr="009C6046" w14:paraId="5B23E34A" w14:textId="77777777" w:rsidTr="00D3148C">
        <w:trPr>
          <w:jc w:val="center"/>
        </w:trPr>
        <w:tc>
          <w:tcPr>
            <w:tcW w:w="1459" w:type="dxa"/>
          </w:tcPr>
          <w:p w14:paraId="5DA4B85D" w14:textId="77777777" w:rsidR="00510550" w:rsidRPr="009C6046" w:rsidRDefault="00510550" w:rsidP="00D3148C">
            <w:pPr>
              <w:jc w:val="center"/>
              <w:rPr>
                <w:i/>
                <w:color w:val="000000" w:themeColor="text1"/>
                <w:sz w:val="20"/>
                <w:szCs w:val="20"/>
                <w:vertAlign w:val="subscript"/>
              </w:rPr>
            </w:pPr>
            <w:r w:rsidRPr="009C6046">
              <w:rPr>
                <w:i/>
                <w:color w:val="000000" w:themeColor="text1"/>
                <w:sz w:val="20"/>
                <w:szCs w:val="20"/>
              </w:rPr>
              <w:t>S</w:t>
            </w:r>
            <w:r w:rsidRPr="009C6046">
              <w:rPr>
                <w:i/>
                <w:color w:val="000000" w:themeColor="text1"/>
                <w:sz w:val="20"/>
                <w:szCs w:val="20"/>
                <w:vertAlign w:val="subscript"/>
              </w:rPr>
              <w:t>campy</w:t>
            </w:r>
          </w:p>
        </w:tc>
        <w:tc>
          <w:tcPr>
            <w:tcW w:w="7296" w:type="dxa"/>
          </w:tcPr>
          <w:p w14:paraId="1341B75B" w14:textId="77777777" w:rsidR="00510550" w:rsidRPr="009C6046" w:rsidRDefault="00510550" w:rsidP="00D3148C">
            <w:pPr>
              <w:rPr>
                <w:i/>
                <w:color w:val="000000" w:themeColor="text1"/>
                <w:sz w:val="20"/>
                <w:szCs w:val="20"/>
              </w:rPr>
            </w:pPr>
            <w:r w:rsidRPr="009C6046">
              <w:rPr>
                <w:color w:val="000000" w:themeColor="text1"/>
                <w:sz w:val="20"/>
                <w:szCs w:val="20"/>
              </w:rPr>
              <w:t xml:space="preserve">Hospitalisations for Guillain-Barré syndrome due to </w:t>
            </w:r>
            <w:r w:rsidRPr="009C6046">
              <w:rPr>
                <w:i/>
                <w:color w:val="000000" w:themeColor="text1"/>
                <w:sz w:val="20"/>
                <w:szCs w:val="20"/>
              </w:rPr>
              <w:t>Campylobacter</w:t>
            </w:r>
          </w:p>
        </w:tc>
      </w:tr>
      <w:tr w:rsidR="00510550" w:rsidRPr="009C6046" w14:paraId="47249B55" w14:textId="77777777" w:rsidTr="00D3148C">
        <w:trPr>
          <w:jc w:val="center"/>
        </w:trPr>
        <w:tc>
          <w:tcPr>
            <w:tcW w:w="1459" w:type="dxa"/>
          </w:tcPr>
          <w:p w14:paraId="0AD387CB" w14:textId="77777777" w:rsidR="00510550" w:rsidRPr="009C6046" w:rsidRDefault="00510550" w:rsidP="00D3148C">
            <w:pPr>
              <w:jc w:val="center"/>
              <w:rPr>
                <w:i/>
                <w:color w:val="000000" w:themeColor="text1"/>
                <w:sz w:val="20"/>
                <w:szCs w:val="20"/>
                <w:vertAlign w:val="subscript"/>
              </w:rPr>
            </w:pPr>
            <w:r w:rsidRPr="009C6046">
              <w:rPr>
                <w:i/>
                <w:color w:val="000000" w:themeColor="text1"/>
                <w:sz w:val="20"/>
                <w:szCs w:val="20"/>
              </w:rPr>
              <w:t>s</w:t>
            </w:r>
            <w:r w:rsidRPr="009C6046">
              <w:rPr>
                <w:i/>
                <w:color w:val="000000" w:themeColor="text1"/>
                <w:sz w:val="20"/>
                <w:szCs w:val="20"/>
                <w:vertAlign w:val="subscript"/>
              </w:rPr>
              <w:t>campy</w:t>
            </w:r>
          </w:p>
        </w:tc>
        <w:tc>
          <w:tcPr>
            <w:tcW w:w="7296" w:type="dxa"/>
          </w:tcPr>
          <w:p w14:paraId="700D3E86" w14:textId="77777777" w:rsidR="00510550" w:rsidRPr="009C6046" w:rsidRDefault="00510550" w:rsidP="00D3148C">
            <w:pPr>
              <w:rPr>
                <w:color w:val="000000" w:themeColor="text1"/>
                <w:sz w:val="20"/>
                <w:szCs w:val="20"/>
              </w:rPr>
            </w:pPr>
            <w:r w:rsidRPr="009C6046">
              <w:rPr>
                <w:color w:val="000000" w:themeColor="text1"/>
                <w:sz w:val="20"/>
                <w:szCs w:val="20"/>
              </w:rPr>
              <w:t xml:space="preserve">Rate of Guillain-Barré syndrome among </w:t>
            </w:r>
            <w:r w:rsidRPr="009C6046">
              <w:rPr>
                <w:i/>
                <w:color w:val="000000" w:themeColor="text1"/>
                <w:sz w:val="20"/>
                <w:szCs w:val="20"/>
              </w:rPr>
              <w:t xml:space="preserve">Campylobacter </w:t>
            </w:r>
            <w:r w:rsidRPr="009C6046">
              <w:rPr>
                <w:color w:val="000000" w:themeColor="text1"/>
                <w:sz w:val="20"/>
                <w:szCs w:val="20"/>
              </w:rPr>
              <w:t>IID cases</w:t>
            </w:r>
          </w:p>
        </w:tc>
      </w:tr>
    </w:tbl>
    <w:p w14:paraId="6267E112" w14:textId="77777777" w:rsidR="00510550" w:rsidRPr="009C6046" w:rsidRDefault="00510550" w:rsidP="00510550">
      <w:pPr>
        <w:rPr>
          <w:i/>
          <w:color w:val="000000" w:themeColor="text1"/>
        </w:rPr>
      </w:pPr>
    </w:p>
    <w:p w14:paraId="46325D89" w14:textId="77777777" w:rsidR="00510550" w:rsidRPr="009C6046" w:rsidRDefault="00510550" w:rsidP="00510550">
      <w:pPr>
        <w:jc w:val="both"/>
        <w:rPr>
          <w:color w:val="000000" w:themeColor="text1"/>
        </w:rPr>
      </w:pPr>
      <w:r w:rsidRPr="009C6046">
        <w:rPr>
          <w:color w:val="000000" w:themeColor="text1"/>
        </w:rPr>
        <w:t xml:space="preserve">The parameter distributions for each pathogen are described in Annex Tables 1-3. Rate parameters were modelled using Normal distributions defined by the log rate and the corresponding standard deivation. Proportions were modelled using Beta distributions. Parameters for the Beta distributions were obtained by fitting a Beta function to the observed data using maximum likelihood methods. The resulting distributions were checked visually as shown in Appendix Figures 1-3. No acceptance criteria were used. </w:t>
      </w:r>
    </w:p>
    <w:p w14:paraId="17D90BA0" w14:textId="1F5150DB" w:rsidR="00510550" w:rsidRPr="009C6046" w:rsidRDefault="00510550" w:rsidP="00510550">
      <w:pPr>
        <w:jc w:val="both"/>
        <w:rPr>
          <w:color w:val="000000" w:themeColor="text1"/>
        </w:rPr>
      </w:pPr>
      <w:r w:rsidRPr="009C6046">
        <w:rPr>
          <w:color w:val="000000" w:themeColor="text1"/>
        </w:rPr>
        <w:t>For each outcome, estimated frequencies were obtained by drawing parameter values at random from the relevant distributions. The median from 9999 simulations was taken as the point estimate, and the 2.5</w:t>
      </w:r>
      <w:r w:rsidRPr="009C6046">
        <w:rPr>
          <w:color w:val="000000" w:themeColor="text1"/>
          <w:vertAlign w:val="superscript"/>
        </w:rPr>
        <w:t>th</w:t>
      </w:r>
      <w:r w:rsidRPr="009C6046">
        <w:rPr>
          <w:color w:val="000000" w:themeColor="text1"/>
        </w:rPr>
        <w:t xml:space="preserve"> and 97.5</w:t>
      </w:r>
      <w:r w:rsidRPr="009C6046">
        <w:rPr>
          <w:color w:val="000000" w:themeColor="text1"/>
          <w:vertAlign w:val="superscript"/>
        </w:rPr>
        <w:t>th</w:t>
      </w:r>
      <w:r w:rsidRPr="009C6046">
        <w:rPr>
          <w:color w:val="000000" w:themeColor="text1"/>
        </w:rPr>
        <w:t xml:space="preserve"> centiles as the lower and upper 95% confidence bounds.</w:t>
      </w:r>
    </w:p>
    <w:p w14:paraId="7C9FB909" w14:textId="77777777" w:rsidR="00510550" w:rsidRPr="009C6046" w:rsidRDefault="00510550" w:rsidP="00510550">
      <w:pPr>
        <w:jc w:val="both"/>
        <w:rPr>
          <w:color w:val="000000" w:themeColor="text1"/>
        </w:rPr>
      </w:pPr>
      <w:r w:rsidRPr="009C6046">
        <w:rPr>
          <w:color w:val="000000" w:themeColor="text1"/>
        </w:rPr>
        <w:t>Analysis was conducted in Stata 13.0 (Stata Corporation).</w:t>
      </w:r>
    </w:p>
    <w:p w14:paraId="168A8C27" w14:textId="77777777" w:rsidR="00510550" w:rsidRPr="009C6046" w:rsidRDefault="00510550" w:rsidP="00510550">
      <w:pPr>
        <w:jc w:val="both"/>
        <w:rPr>
          <w:color w:val="000000" w:themeColor="text1"/>
        </w:rPr>
        <w:sectPr w:rsidR="00510550" w:rsidRPr="009C6046" w:rsidSect="00CD52F5">
          <w:footerReference w:type="even" r:id="rId7"/>
          <w:footerReference w:type="default" r:id="rId8"/>
          <w:pgSz w:w="11901" w:h="16840"/>
          <w:pgMar w:top="1440" w:right="1800" w:bottom="1440" w:left="1800" w:header="708" w:footer="708" w:gutter="0"/>
          <w:cols w:space="708"/>
          <w:docGrid w:linePitch="360"/>
        </w:sectPr>
      </w:pPr>
    </w:p>
    <w:p w14:paraId="5C2F6DA3" w14:textId="77777777" w:rsidR="00510550" w:rsidRPr="009C6046" w:rsidRDefault="00404B59" w:rsidP="00510550">
      <w:pPr>
        <w:pStyle w:val="Heading2"/>
        <w:rPr>
          <w:color w:val="000000" w:themeColor="text1"/>
        </w:rPr>
      </w:pPr>
      <w:r>
        <w:rPr>
          <w:color w:val="000000" w:themeColor="text1"/>
        </w:rPr>
        <w:t>Table A</w:t>
      </w:r>
      <w:r w:rsidR="00510550" w:rsidRPr="009C6046">
        <w:rPr>
          <w:color w:val="000000" w:themeColor="text1"/>
        </w:rPr>
        <w:t xml:space="preserve">: Model parameters for </w:t>
      </w:r>
      <w:r w:rsidR="00510550" w:rsidRPr="009C6046">
        <w:rPr>
          <w:i/>
          <w:color w:val="000000" w:themeColor="text1"/>
        </w:rPr>
        <w:t>Campylobacter</w:t>
      </w:r>
    </w:p>
    <w:p w14:paraId="228DEC45" w14:textId="77777777" w:rsidR="00510550" w:rsidRPr="009C6046" w:rsidRDefault="00510550" w:rsidP="00510550">
      <w:pPr>
        <w:rPr>
          <w:color w:val="000000" w:themeColor="text1"/>
        </w:rPr>
      </w:pPr>
    </w:p>
    <w:tbl>
      <w:tblPr>
        <w:tblW w:w="13439" w:type="dxa"/>
        <w:tblInd w:w="93" w:type="dxa"/>
        <w:tblBorders>
          <w:top w:val="single" w:sz="4" w:space="0" w:color="auto"/>
          <w:bottom w:val="single" w:sz="4" w:space="0" w:color="auto"/>
        </w:tblBorders>
        <w:tblLook w:val="04A0" w:firstRow="1" w:lastRow="0" w:firstColumn="1" w:lastColumn="0" w:noHBand="0" w:noVBand="1"/>
      </w:tblPr>
      <w:tblGrid>
        <w:gridCol w:w="1251"/>
        <w:gridCol w:w="1250"/>
        <w:gridCol w:w="1484"/>
        <w:gridCol w:w="1959"/>
        <w:gridCol w:w="1846"/>
        <w:gridCol w:w="2989"/>
        <w:gridCol w:w="2660"/>
      </w:tblGrid>
      <w:tr w:rsidR="00510550" w:rsidRPr="009C6046" w14:paraId="3F35A2DD" w14:textId="77777777" w:rsidTr="00D3148C">
        <w:trPr>
          <w:trHeight w:val="300"/>
        </w:trPr>
        <w:tc>
          <w:tcPr>
            <w:tcW w:w="1251" w:type="dxa"/>
            <w:tcBorders>
              <w:bottom w:val="nil"/>
            </w:tcBorders>
            <w:shd w:val="clear" w:color="auto" w:fill="auto"/>
            <w:noWrap/>
            <w:vAlign w:val="center"/>
          </w:tcPr>
          <w:p w14:paraId="39ADD5AE" w14:textId="77777777" w:rsidR="00510550" w:rsidRPr="009C6046" w:rsidRDefault="00510550" w:rsidP="00D3148C">
            <w:pPr>
              <w:jc w:val="center"/>
              <w:rPr>
                <w:rFonts w:eastAsia="Times New Roman" w:cs="Times New Roman"/>
                <w:color w:val="000000" w:themeColor="text1"/>
                <w:sz w:val="20"/>
                <w:szCs w:val="20"/>
              </w:rPr>
            </w:pPr>
          </w:p>
        </w:tc>
        <w:tc>
          <w:tcPr>
            <w:tcW w:w="4693" w:type="dxa"/>
            <w:gridSpan w:val="3"/>
            <w:tcBorders>
              <w:top w:val="single" w:sz="4" w:space="0" w:color="auto"/>
              <w:bottom w:val="single" w:sz="4" w:space="0" w:color="auto"/>
            </w:tcBorders>
            <w:vAlign w:val="center"/>
          </w:tcPr>
          <w:p w14:paraId="5CEB3A0B"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Data</w:t>
            </w:r>
          </w:p>
        </w:tc>
        <w:tc>
          <w:tcPr>
            <w:tcW w:w="1846" w:type="dxa"/>
            <w:tcBorders>
              <w:bottom w:val="nil"/>
            </w:tcBorders>
            <w:shd w:val="clear" w:color="auto" w:fill="auto"/>
            <w:noWrap/>
            <w:vAlign w:val="center"/>
          </w:tcPr>
          <w:p w14:paraId="471E9CED"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Model</w:t>
            </w:r>
          </w:p>
        </w:tc>
        <w:tc>
          <w:tcPr>
            <w:tcW w:w="2989" w:type="dxa"/>
            <w:tcBorders>
              <w:bottom w:val="nil"/>
            </w:tcBorders>
            <w:shd w:val="clear" w:color="auto" w:fill="auto"/>
            <w:noWrap/>
            <w:vAlign w:val="center"/>
          </w:tcPr>
          <w:p w14:paraId="7C76FD45" w14:textId="77777777" w:rsidR="00510550" w:rsidRPr="009C6046" w:rsidRDefault="00510550" w:rsidP="00D3148C">
            <w:pPr>
              <w:jc w:val="center"/>
              <w:rPr>
                <w:rFonts w:eastAsia="Times New Roman" w:cs="Times New Roman"/>
                <w:color w:val="000000" w:themeColor="text1"/>
                <w:sz w:val="20"/>
                <w:szCs w:val="20"/>
              </w:rPr>
            </w:pPr>
          </w:p>
        </w:tc>
        <w:tc>
          <w:tcPr>
            <w:tcW w:w="2660" w:type="dxa"/>
            <w:tcBorders>
              <w:bottom w:val="nil"/>
            </w:tcBorders>
            <w:shd w:val="clear" w:color="auto" w:fill="auto"/>
            <w:noWrap/>
            <w:vAlign w:val="center"/>
          </w:tcPr>
          <w:p w14:paraId="7BDF43B6" w14:textId="77777777" w:rsidR="00510550" w:rsidRPr="009C6046" w:rsidRDefault="00510550" w:rsidP="00D3148C">
            <w:pPr>
              <w:jc w:val="center"/>
              <w:rPr>
                <w:rFonts w:eastAsia="Times New Roman" w:cs="Times New Roman"/>
                <w:color w:val="000000" w:themeColor="text1"/>
                <w:sz w:val="20"/>
                <w:szCs w:val="20"/>
              </w:rPr>
            </w:pPr>
          </w:p>
        </w:tc>
      </w:tr>
      <w:tr w:rsidR="00510550" w:rsidRPr="009C6046" w14:paraId="60EBFEF5" w14:textId="77777777" w:rsidTr="00D3148C">
        <w:trPr>
          <w:trHeight w:val="300"/>
        </w:trPr>
        <w:tc>
          <w:tcPr>
            <w:tcW w:w="1251" w:type="dxa"/>
            <w:tcBorders>
              <w:top w:val="nil"/>
              <w:bottom w:val="single" w:sz="4" w:space="0" w:color="auto"/>
            </w:tcBorders>
            <w:shd w:val="clear" w:color="auto" w:fill="auto"/>
            <w:noWrap/>
            <w:vAlign w:val="center"/>
            <w:hideMark/>
          </w:tcPr>
          <w:p w14:paraId="07B5DAF8"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Parameter</w:t>
            </w:r>
          </w:p>
        </w:tc>
        <w:tc>
          <w:tcPr>
            <w:tcW w:w="1250" w:type="dxa"/>
            <w:tcBorders>
              <w:top w:val="single" w:sz="4" w:space="0" w:color="auto"/>
              <w:bottom w:val="single" w:sz="4" w:space="0" w:color="auto"/>
            </w:tcBorders>
            <w:vAlign w:val="center"/>
          </w:tcPr>
          <w:p w14:paraId="669E1809"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Mean</w:t>
            </w:r>
          </w:p>
        </w:tc>
        <w:tc>
          <w:tcPr>
            <w:tcW w:w="1484" w:type="dxa"/>
            <w:tcBorders>
              <w:top w:val="single" w:sz="4" w:space="0" w:color="auto"/>
              <w:bottom w:val="single" w:sz="4" w:space="0" w:color="auto"/>
            </w:tcBorders>
            <w:vAlign w:val="center"/>
          </w:tcPr>
          <w:p w14:paraId="5A0CF719"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Denominator</w:t>
            </w:r>
          </w:p>
        </w:tc>
        <w:tc>
          <w:tcPr>
            <w:tcW w:w="1959" w:type="dxa"/>
            <w:tcBorders>
              <w:top w:val="single" w:sz="4" w:space="0" w:color="auto"/>
              <w:bottom w:val="single" w:sz="4" w:space="0" w:color="auto"/>
            </w:tcBorders>
            <w:vAlign w:val="center"/>
          </w:tcPr>
          <w:p w14:paraId="3E704E27"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Denominator units</w:t>
            </w:r>
          </w:p>
        </w:tc>
        <w:tc>
          <w:tcPr>
            <w:tcW w:w="1846" w:type="dxa"/>
            <w:tcBorders>
              <w:top w:val="nil"/>
              <w:bottom w:val="single" w:sz="4" w:space="0" w:color="auto"/>
            </w:tcBorders>
            <w:shd w:val="clear" w:color="auto" w:fill="auto"/>
            <w:noWrap/>
            <w:vAlign w:val="center"/>
            <w:hideMark/>
          </w:tcPr>
          <w:p w14:paraId="7573005D"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Distribution</w:t>
            </w:r>
          </w:p>
        </w:tc>
        <w:tc>
          <w:tcPr>
            <w:tcW w:w="2989" w:type="dxa"/>
            <w:tcBorders>
              <w:top w:val="nil"/>
              <w:bottom w:val="single" w:sz="4" w:space="0" w:color="auto"/>
            </w:tcBorders>
            <w:shd w:val="clear" w:color="auto" w:fill="auto"/>
            <w:noWrap/>
            <w:vAlign w:val="center"/>
            <w:hideMark/>
          </w:tcPr>
          <w:p w14:paraId="57E1D397"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Variable</w:t>
            </w:r>
          </w:p>
        </w:tc>
        <w:tc>
          <w:tcPr>
            <w:tcW w:w="2660" w:type="dxa"/>
            <w:tcBorders>
              <w:top w:val="nil"/>
              <w:bottom w:val="single" w:sz="4" w:space="0" w:color="auto"/>
            </w:tcBorders>
            <w:shd w:val="clear" w:color="auto" w:fill="auto"/>
            <w:noWrap/>
            <w:vAlign w:val="center"/>
            <w:hideMark/>
          </w:tcPr>
          <w:p w14:paraId="0D7F1F9A"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Data source</w:t>
            </w:r>
          </w:p>
        </w:tc>
      </w:tr>
      <w:tr w:rsidR="00510550" w:rsidRPr="009C6046" w14:paraId="2F4F1B48" w14:textId="77777777" w:rsidTr="00D3148C">
        <w:trPr>
          <w:trHeight w:val="300"/>
        </w:trPr>
        <w:tc>
          <w:tcPr>
            <w:tcW w:w="1251" w:type="dxa"/>
            <w:tcBorders>
              <w:top w:val="single" w:sz="4" w:space="0" w:color="auto"/>
            </w:tcBorders>
            <w:shd w:val="clear" w:color="auto" w:fill="auto"/>
            <w:noWrap/>
            <w:vAlign w:val="center"/>
            <w:hideMark/>
          </w:tcPr>
          <w:p w14:paraId="58A0D6B1" w14:textId="77777777" w:rsidR="00510550" w:rsidRPr="009C6046" w:rsidRDefault="00510550" w:rsidP="00D3148C">
            <w:pPr>
              <w:jc w:val="center"/>
              <w:rPr>
                <w:rFonts w:eastAsia="Times New Roman" w:cs="Times New Roman"/>
                <w:i/>
                <w:color w:val="000000" w:themeColor="text1"/>
                <w:sz w:val="20"/>
                <w:szCs w:val="20"/>
              </w:rPr>
            </w:pPr>
            <w:r w:rsidRPr="009C6046">
              <w:rPr>
                <w:rFonts w:eastAsia="Times New Roman" w:cs="Times New Roman"/>
                <w:i/>
                <w:color w:val="000000" w:themeColor="text1"/>
                <w:sz w:val="20"/>
                <w:szCs w:val="20"/>
              </w:rPr>
              <w:t>c</w:t>
            </w:r>
            <w:r w:rsidRPr="009C6046">
              <w:rPr>
                <w:rFonts w:eastAsia="Times New Roman" w:cs="Times New Roman"/>
                <w:i/>
                <w:color w:val="000000" w:themeColor="text1"/>
                <w:sz w:val="20"/>
                <w:szCs w:val="20"/>
                <w:vertAlign w:val="subscript"/>
              </w:rPr>
              <w:t>p</w:t>
            </w:r>
          </w:p>
        </w:tc>
        <w:tc>
          <w:tcPr>
            <w:tcW w:w="1250" w:type="dxa"/>
            <w:tcBorders>
              <w:top w:val="single" w:sz="4" w:space="0" w:color="auto"/>
            </w:tcBorders>
            <w:vAlign w:val="center"/>
          </w:tcPr>
          <w:p w14:paraId="2D592E67"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0.00951</w:t>
            </w:r>
          </w:p>
        </w:tc>
        <w:tc>
          <w:tcPr>
            <w:tcW w:w="1484" w:type="dxa"/>
            <w:tcBorders>
              <w:top w:val="single" w:sz="4" w:space="0" w:color="auto"/>
            </w:tcBorders>
            <w:vAlign w:val="center"/>
          </w:tcPr>
          <w:p w14:paraId="5155E0AF"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4658.6</w:t>
            </w:r>
          </w:p>
        </w:tc>
        <w:tc>
          <w:tcPr>
            <w:tcW w:w="1959" w:type="dxa"/>
            <w:tcBorders>
              <w:top w:val="single" w:sz="4" w:space="0" w:color="auto"/>
            </w:tcBorders>
            <w:vAlign w:val="center"/>
          </w:tcPr>
          <w:p w14:paraId="66998D69"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Person-years</w:t>
            </w:r>
          </w:p>
        </w:tc>
        <w:tc>
          <w:tcPr>
            <w:tcW w:w="1846" w:type="dxa"/>
            <w:tcBorders>
              <w:top w:val="single" w:sz="4" w:space="0" w:color="auto"/>
            </w:tcBorders>
            <w:shd w:val="clear" w:color="auto" w:fill="auto"/>
            <w:noWrap/>
            <w:vAlign w:val="center"/>
            <w:hideMark/>
          </w:tcPr>
          <w:p w14:paraId="2BD2EE4E"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N(-4.68,0.22)</w:t>
            </w:r>
          </w:p>
        </w:tc>
        <w:tc>
          <w:tcPr>
            <w:tcW w:w="2989" w:type="dxa"/>
            <w:tcBorders>
              <w:top w:val="single" w:sz="4" w:space="0" w:color="auto"/>
            </w:tcBorders>
            <w:shd w:val="clear" w:color="auto" w:fill="auto"/>
            <w:noWrap/>
            <w:vAlign w:val="center"/>
            <w:hideMark/>
          </w:tcPr>
          <w:p w14:paraId="560CF529"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Population rate</w:t>
            </w:r>
          </w:p>
        </w:tc>
        <w:tc>
          <w:tcPr>
            <w:tcW w:w="2660" w:type="dxa"/>
            <w:tcBorders>
              <w:top w:val="single" w:sz="4" w:space="0" w:color="auto"/>
            </w:tcBorders>
            <w:shd w:val="clear" w:color="auto" w:fill="auto"/>
            <w:noWrap/>
            <w:vAlign w:val="center"/>
            <w:hideMark/>
          </w:tcPr>
          <w:p w14:paraId="4A260308"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 xml:space="preserve">IID2 Cohort Study </w:t>
            </w:r>
            <w:r w:rsidRPr="009C6046">
              <w:rPr>
                <w:rFonts w:eastAsia="Times New Roman" w:cs="Times New Roman"/>
                <w:color w:val="000000" w:themeColor="text1"/>
                <w:sz w:val="20"/>
                <w:szCs w:val="20"/>
              </w:rPr>
              <w:fldChar w:fldCharType="begin" w:fldLock="1"/>
            </w:r>
            <w:r w:rsidRPr="009C6046">
              <w:rPr>
                <w:rFonts w:eastAsia="Times New Roman" w:cs="Times New Roman"/>
                <w:color w:val="000000" w:themeColor="text1"/>
                <w:sz w:val="20"/>
                <w:szCs w:val="20"/>
              </w:rPr>
              <w:instrText>ADDIN CSL_CITATION { "citationItems" : [ { "id" : "ITEM-1", "itemData" : { "author" : [ { "dropping-particle" : "", "family" : "Tam", "given" : "C C", "non-dropping-particle" : "", "parse-names" : false, "suffix" : "" }, { "dropping-particle" : "", "family" : "Rodrigues", "given" : "L C", "non-dropping-particle" : "", "parse-names" : false, "suffix" : "" }, { "dropping-particle" : "", "family" : "Viviani", "given" : "Laura", "non-dropping-particle" : "", "parse-names" : false, "suffix" : "" }, { "dropping-particle" : "", "family" : "Dodds", "given" : "J P", "non-dropping-particle" : "", "parse-names" : false, "suffix" : "" }, { "dropping-particle" : "", "family" : "Evans", "given" : "M R", "non-dropping-particle" : "", "parse-names" : false, "suffix" : "" }, { "dropping-particle" : "", "family" : "Hunter", "given" : "P R", "non-dropping-particle" : "", "parse-names" : false, "suffix" : "" }, { "dropping-particle" : "", "family" : "Gray", "given" : "J J", "non-dropping-particle" : "", "parse-names" : false, "suffix" : "" }, { "dropping-particle" : "", "family" : "Letley", "given" : "L H", "non-dropping-particle" : "", "parse-names" : false, "suffix" : "" }, { "dropping-particle" : "", "family" : "Rait", "given" : "G", "non-dropping-particle" : "", "parse-names" : false, "suffix" : "" }, { "dropping-particle" : "", "family" : "Tompkins", "given" : "D S", "non-dropping-particle" : "", "parse-names" : false, "suffix" : "" }, { "dropping-particle" : "", "family" : "others", "given" : "", "non-dropping-particle" : "", "parse-names" : false, "suffix" : "" } ], "container-title" : "Gut", "id" : "ITEM-1", "issue" : "1", "issued" : { "date-parts" : [ [ "2012" ] ] }, "page" : "69-77", "publisher" : "BMJ Group", "title" : "Longitudinal study of infectious intestinal disease in the UK (IID2 study): incidence in the community and presenting to general practice", "type" : "article-journal", "volume" : "61" }, "uris" : [ "http://www.mendeley.com/documents/?uuid=16664c79-750a-4b0a-96ec-4a358c58b21a" ] } ], "mendeley" : { "formattedCitation" : "[1]", "plainTextFormattedCitation" : "[1]", "previouslyFormattedCitation" : "[1]" }, "properties" : { "noteIndex" : 0 }, "schema" : "https://github.com/citation-style-language/schema/raw/master/csl-citation.json" }</w:instrText>
            </w:r>
            <w:r w:rsidRPr="009C6046">
              <w:rPr>
                <w:rFonts w:eastAsia="Times New Roman" w:cs="Times New Roman"/>
                <w:color w:val="000000" w:themeColor="text1"/>
                <w:sz w:val="20"/>
                <w:szCs w:val="20"/>
              </w:rPr>
              <w:fldChar w:fldCharType="separate"/>
            </w:r>
            <w:r w:rsidRPr="009C6046">
              <w:rPr>
                <w:rFonts w:eastAsia="Times New Roman" w:cs="Times New Roman"/>
                <w:noProof/>
                <w:color w:val="000000" w:themeColor="text1"/>
                <w:sz w:val="20"/>
                <w:szCs w:val="20"/>
              </w:rPr>
              <w:t>[1]</w:t>
            </w:r>
            <w:r w:rsidRPr="009C6046">
              <w:rPr>
                <w:rFonts w:eastAsia="Times New Roman" w:cs="Times New Roman"/>
                <w:color w:val="000000" w:themeColor="text1"/>
                <w:sz w:val="20"/>
                <w:szCs w:val="20"/>
              </w:rPr>
              <w:fldChar w:fldCharType="end"/>
            </w:r>
          </w:p>
        </w:tc>
      </w:tr>
      <w:tr w:rsidR="00510550" w:rsidRPr="009C6046" w14:paraId="425EF864" w14:textId="77777777" w:rsidTr="00D3148C">
        <w:trPr>
          <w:trHeight w:val="300"/>
        </w:trPr>
        <w:tc>
          <w:tcPr>
            <w:tcW w:w="1251" w:type="dxa"/>
            <w:shd w:val="clear" w:color="auto" w:fill="auto"/>
            <w:noWrap/>
            <w:vAlign w:val="center"/>
            <w:hideMark/>
          </w:tcPr>
          <w:p w14:paraId="08D656AD" w14:textId="77777777" w:rsidR="00510550" w:rsidRPr="009C6046" w:rsidRDefault="00510550" w:rsidP="00D3148C">
            <w:pPr>
              <w:jc w:val="center"/>
              <w:rPr>
                <w:rFonts w:eastAsia="Times New Roman" w:cs="Times New Roman"/>
                <w:i/>
                <w:color w:val="000000" w:themeColor="text1"/>
                <w:sz w:val="20"/>
                <w:szCs w:val="20"/>
              </w:rPr>
            </w:pPr>
            <w:r w:rsidRPr="009C6046">
              <w:rPr>
                <w:rFonts w:eastAsia="Times New Roman" w:cs="Times New Roman"/>
                <w:i/>
                <w:color w:val="000000" w:themeColor="text1"/>
                <w:sz w:val="20"/>
                <w:szCs w:val="20"/>
              </w:rPr>
              <w:t>g</w:t>
            </w:r>
            <w:r w:rsidRPr="009C6046">
              <w:rPr>
                <w:rFonts w:eastAsia="Times New Roman" w:cs="Times New Roman"/>
                <w:i/>
                <w:color w:val="000000" w:themeColor="text1"/>
                <w:sz w:val="20"/>
                <w:szCs w:val="20"/>
                <w:vertAlign w:val="subscript"/>
              </w:rPr>
              <w:t>p</w:t>
            </w:r>
          </w:p>
        </w:tc>
        <w:tc>
          <w:tcPr>
            <w:tcW w:w="1250" w:type="dxa"/>
            <w:vAlign w:val="center"/>
          </w:tcPr>
          <w:p w14:paraId="21C7E332"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0.00130</w:t>
            </w:r>
          </w:p>
        </w:tc>
        <w:tc>
          <w:tcPr>
            <w:tcW w:w="1484" w:type="dxa"/>
            <w:vAlign w:val="center"/>
          </w:tcPr>
          <w:p w14:paraId="0C63BF6C"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312,232</w:t>
            </w:r>
          </w:p>
        </w:tc>
        <w:tc>
          <w:tcPr>
            <w:tcW w:w="1959" w:type="dxa"/>
            <w:vAlign w:val="center"/>
          </w:tcPr>
          <w:p w14:paraId="69B345EF"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Person-years</w:t>
            </w:r>
          </w:p>
        </w:tc>
        <w:tc>
          <w:tcPr>
            <w:tcW w:w="1846" w:type="dxa"/>
            <w:shd w:val="clear" w:color="auto" w:fill="auto"/>
            <w:noWrap/>
            <w:vAlign w:val="center"/>
            <w:hideMark/>
          </w:tcPr>
          <w:p w14:paraId="1D8EC867"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N(-6.66,0.18)</w:t>
            </w:r>
          </w:p>
        </w:tc>
        <w:tc>
          <w:tcPr>
            <w:tcW w:w="2989" w:type="dxa"/>
            <w:shd w:val="clear" w:color="auto" w:fill="auto"/>
            <w:noWrap/>
            <w:vAlign w:val="center"/>
            <w:hideMark/>
          </w:tcPr>
          <w:p w14:paraId="09AAE473"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GP consultation rate</w:t>
            </w:r>
          </w:p>
        </w:tc>
        <w:tc>
          <w:tcPr>
            <w:tcW w:w="2660" w:type="dxa"/>
            <w:shd w:val="clear" w:color="auto" w:fill="auto"/>
            <w:noWrap/>
            <w:vAlign w:val="center"/>
            <w:hideMark/>
          </w:tcPr>
          <w:p w14:paraId="7C0AB8C3"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 xml:space="preserve">IID2 GP Presentation Study </w:t>
            </w:r>
            <w:r w:rsidRPr="009C6046">
              <w:rPr>
                <w:rFonts w:eastAsia="Times New Roman" w:cs="Times New Roman"/>
                <w:color w:val="000000" w:themeColor="text1"/>
                <w:sz w:val="20"/>
                <w:szCs w:val="20"/>
              </w:rPr>
              <w:fldChar w:fldCharType="begin" w:fldLock="1"/>
            </w:r>
            <w:r w:rsidRPr="009C6046">
              <w:rPr>
                <w:rFonts w:eastAsia="Times New Roman" w:cs="Times New Roman"/>
                <w:color w:val="000000" w:themeColor="text1"/>
                <w:sz w:val="20"/>
                <w:szCs w:val="20"/>
              </w:rPr>
              <w:instrText>ADDIN CSL_CITATION { "citationItems" : [ { "id" : "ITEM-1", "itemData" : { "author" : [ { "dropping-particle" : "", "family" : "Tam", "given" : "C C", "non-dropping-particle" : "", "parse-names" : false, "suffix" : "" }, { "dropping-particle" : "", "family" : "Rodrigues", "given" : "L C", "non-dropping-particle" : "", "parse-names" : false, "suffix" : "" }, { "dropping-particle" : "", "family" : "Viviani", "given" : "Laura", "non-dropping-particle" : "", "parse-names" : false, "suffix" : "" }, { "dropping-particle" : "", "family" : "Dodds", "given" : "J P", "non-dropping-particle" : "", "parse-names" : false, "suffix" : "" }, { "dropping-particle" : "", "family" : "Evans", "given" : "M R", "non-dropping-particle" : "", "parse-names" : false, "suffix" : "" }, { "dropping-particle" : "", "family" : "Hunter", "given" : "P R", "non-dropping-particle" : "", "parse-names" : false, "suffix" : "" }, { "dropping-particle" : "", "family" : "Gray", "given" : "J J", "non-dropping-particle" : "", "parse-names" : false, "suffix" : "" }, { "dropping-particle" : "", "family" : "Letley", "given" : "L H", "non-dropping-particle" : "", "parse-names" : false, "suffix" : "" }, { "dropping-particle" : "", "family" : "Rait", "given" : "G", "non-dropping-particle" : "", "parse-names" : false, "suffix" : "" }, { "dropping-particle" : "", "family" : "Tompkins", "given" : "D S", "non-dropping-particle" : "", "parse-names" : false, "suffix" : "" }, { "dropping-particle" : "", "family" : "others", "given" : "", "non-dropping-particle" : "", "parse-names" : false, "suffix" : "" } ], "container-title" : "Gut", "id" : "ITEM-1", "issue" : "1", "issued" : { "date-parts" : [ [ "2012" ] ] }, "page" : "69-77", "publisher" : "BMJ Group", "title" : "Longitudinal study of infectious intestinal disease in the UK (IID2 study): incidence in the community and presenting to general practice", "type" : "article-journal", "volume" : "61" }, "uris" : [ "http://www.mendeley.com/documents/?uuid=16664c79-750a-4b0a-96ec-4a358c58b21a" ] } ], "mendeley" : { "formattedCitation" : "[1]", "plainTextFormattedCitation" : "[1]", "previouslyFormattedCitation" : "[1]" }, "properties" : { "noteIndex" : 0 }, "schema" : "https://github.com/citation-style-language/schema/raw/master/csl-citation.json" }</w:instrText>
            </w:r>
            <w:r w:rsidRPr="009C6046">
              <w:rPr>
                <w:rFonts w:eastAsia="Times New Roman" w:cs="Times New Roman"/>
                <w:color w:val="000000" w:themeColor="text1"/>
                <w:sz w:val="20"/>
                <w:szCs w:val="20"/>
              </w:rPr>
              <w:fldChar w:fldCharType="separate"/>
            </w:r>
            <w:r w:rsidRPr="009C6046">
              <w:rPr>
                <w:rFonts w:eastAsia="Times New Roman" w:cs="Times New Roman"/>
                <w:noProof/>
                <w:color w:val="000000" w:themeColor="text1"/>
                <w:sz w:val="20"/>
                <w:szCs w:val="20"/>
              </w:rPr>
              <w:t>[1]</w:t>
            </w:r>
            <w:r w:rsidRPr="009C6046">
              <w:rPr>
                <w:rFonts w:eastAsia="Times New Roman" w:cs="Times New Roman"/>
                <w:color w:val="000000" w:themeColor="text1"/>
                <w:sz w:val="20"/>
                <w:szCs w:val="20"/>
              </w:rPr>
              <w:fldChar w:fldCharType="end"/>
            </w:r>
          </w:p>
        </w:tc>
      </w:tr>
      <w:tr w:rsidR="00510550" w:rsidRPr="009C6046" w14:paraId="6AC4E1B4" w14:textId="77777777" w:rsidTr="00D3148C">
        <w:trPr>
          <w:trHeight w:val="300"/>
        </w:trPr>
        <w:tc>
          <w:tcPr>
            <w:tcW w:w="1251" w:type="dxa"/>
            <w:shd w:val="clear" w:color="auto" w:fill="auto"/>
            <w:noWrap/>
            <w:vAlign w:val="center"/>
            <w:hideMark/>
          </w:tcPr>
          <w:p w14:paraId="506BEF5E" w14:textId="77777777" w:rsidR="00510550" w:rsidRPr="009C6046" w:rsidRDefault="00510550" w:rsidP="00D3148C">
            <w:pPr>
              <w:jc w:val="center"/>
              <w:rPr>
                <w:rFonts w:eastAsia="Times New Roman" w:cs="Times New Roman"/>
                <w:i/>
                <w:color w:val="000000" w:themeColor="text1"/>
                <w:sz w:val="20"/>
                <w:szCs w:val="20"/>
              </w:rPr>
            </w:pPr>
            <w:r w:rsidRPr="009C6046">
              <w:rPr>
                <w:rFonts w:eastAsia="Times New Roman" w:cs="Times New Roman"/>
                <w:i/>
                <w:color w:val="000000" w:themeColor="text1"/>
                <w:sz w:val="20"/>
                <w:szCs w:val="20"/>
              </w:rPr>
              <w:t>a</w:t>
            </w:r>
          </w:p>
        </w:tc>
        <w:tc>
          <w:tcPr>
            <w:tcW w:w="1250" w:type="dxa"/>
            <w:vAlign w:val="center"/>
          </w:tcPr>
          <w:p w14:paraId="57CAB739"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0.0197</w:t>
            </w:r>
          </w:p>
        </w:tc>
        <w:tc>
          <w:tcPr>
            <w:tcW w:w="1484" w:type="dxa"/>
            <w:vAlign w:val="center"/>
          </w:tcPr>
          <w:p w14:paraId="16E3E9E4"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1323</w:t>
            </w:r>
          </w:p>
        </w:tc>
        <w:tc>
          <w:tcPr>
            <w:tcW w:w="1959" w:type="dxa"/>
            <w:vAlign w:val="center"/>
          </w:tcPr>
          <w:p w14:paraId="40907DAF"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Cases</w:t>
            </w:r>
          </w:p>
        </w:tc>
        <w:tc>
          <w:tcPr>
            <w:tcW w:w="1846" w:type="dxa"/>
            <w:shd w:val="clear" w:color="auto" w:fill="auto"/>
            <w:noWrap/>
            <w:vAlign w:val="center"/>
            <w:hideMark/>
          </w:tcPr>
          <w:p w14:paraId="023282B6"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Beta(25.8,1289.0)</w:t>
            </w:r>
          </w:p>
        </w:tc>
        <w:tc>
          <w:tcPr>
            <w:tcW w:w="2989" w:type="dxa"/>
            <w:shd w:val="clear" w:color="auto" w:fill="auto"/>
            <w:noWrap/>
            <w:vAlign w:val="center"/>
            <w:hideMark/>
          </w:tcPr>
          <w:p w14:paraId="66CD3550"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Telephone health and advice line</w:t>
            </w:r>
          </w:p>
        </w:tc>
        <w:tc>
          <w:tcPr>
            <w:tcW w:w="2660" w:type="dxa"/>
            <w:shd w:val="clear" w:color="auto" w:fill="auto"/>
            <w:noWrap/>
            <w:vAlign w:val="center"/>
            <w:hideMark/>
          </w:tcPr>
          <w:p w14:paraId="69833CEB"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IID2 Cohort Study</w:t>
            </w:r>
          </w:p>
        </w:tc>
      </w:tr>
      <w:tr w:rsidR="00510550" w:rsidRPr="009C6046" w14:paraId="59767E4D" w14:textId="77777777" w:rsidTr="00D3148C">
        <w:trPr>
          <w:trHeight w:val="300"/>
        </w:trPr>
        <w:tc>
          <w:tcPr>
            <w:tcW w:w="1251" w:type="dxa"/>
            <w:shd w:val="clear" w:color="auto" w:fill="auto"/>
            <w:noWrap/>
            <w:vAlign w:val="center"/>
            <w:hideMark/>
          </w:tcPr>
          <w:p w14:paraId="1E13AA88" w14:textId="77777777" w:rsidR="00510550" w:rsidRPr="009C6046" w:rsidRDefault="00510550" w:rsidP="00D3148C">
            <w:pPr>
              <w:jc w:val="center"/>
              <w:rPr>
                <w:rFonts w:eastAsia="Times New Roman" w:cs="Times New Roman"/>
                <w:i/>
                <w:color w:val="000000" w:themeColor="text1"/>
                <w:sz w:val="20"/>
                <w:szCs w:val="20"/>
              </w:rPr>
            </w:pPr>
            <w:r w:rsidRPr="009C6046">
              <w:rPr>
                <w:rFonts w:eastAsia="Times New Roman" w:cs="Times New Roman"/>
                <w:i/>
                <w:color w:val="000000" w:themeColor="text1"/>
                <w:sz w:val="20"/>
                <w:szCs w:val="20"/>
              </w:rPr>
              <w:t>o</w:t>
            </w:r>
            <w:r w:rsidRPr="009C6046">
              <w:rPr>
                <w:rFonts w:eastAsia="Times New Roman" w:cs="Times New Roman"/>
                <w:i/>
                <w:color w:val="000000" w:themeColor="text1"/>
                <w:sz w:val="20"/>
                <w:szCs w:val="20"/>
                <w:vertAlign w:val="subscript"/>
              </w:rPr>
              <w:t>p</w:t>
            </w:r>
          </w:p>
        </w:tc>
        <w:tc>
          <w:tcPr>
            <w:tcW w:w="1250" w:type="dxa"/>
            <w:vAlign w:val="center"/>
          </w:tcPr>
          <w:p w14:paraId="7381EBDC"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0.0850</w:t>
            </w:r>
          </w:p>
        </w:tc>
        <w:tc>
          <w:tcPr>
            <w:tcW w:w="1484" w:type="dxa"/>
            <w:vAlign w:val="center"/>
          </w:tcPr>
          <w:p w14:paraId="5A424990"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142</w:t>
            </w:r>
          </w:p>
        </w:tc>
        <w:tc>
          <w:tcPr>
            <w:tcW w:w="1959" w:type="dxa"/>
            <w:vAlign w:val="center"/>
          </w:tcPr>
          <w:p w14:paraId="3C0CEFDB"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Cases</w:t>
            </w:r>
          </w:p>
        </w:tc>
        <w:tc>
          <w:tcPr>
            <w:tcW w:w="1846" w:type="dxa"/>
            <w:shd w:val="clear" w:color="auto" w:fill="auto"/>
            <w:noWrap/>
            <w:vAlign w:val="center"/>
            <w:hideMark/>
          </w:tcPr>
          <w:p w14:paraId="575A7687"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Beta(11.6,124.1)</w:t>
            </w:r>
          </w:p>
        </w:tc>
        <w:tc>
          <w:tcPr>
            <w:tcW w:w="2989" w:type="dxa"/>
            <w:shd w:val="clear" w:color="auto" w:fill="auto"/>
            <w:noWrap/>
            <w:vAlign w:val="center"/>
            <w:hideMark/>
          </w:tcPr>
          <w:p w14:paraId="44820E4E"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Out-of-hours consultation</w:t>
            </w:r>
          </w:p>
        </w:tc>
        <w:tc>
          <w:tcPr>
            <w:tcW w:w="2660" w:type="dxa"/>
            <w:shd w:val="clear" w:color="auto" w:fill="auto"/>
            <w:noWrap/>
            <w:vAlign w:val="center"/>
            <w:hideMark/>
          </w:tcPr>
          <w:p w14:paraId="4C6BAA71"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IID2 GP Presentation Study</w:t>
            </w:r>
          </w:p>
        </w:tc>
      </w:tr>
      <w:tr w:rsidR="00510550" w:rsidRPr="009C6046" w14:paraId="1F15AFC8" w14:textId="77777777" w:rsidTr="00D3148C">
        <w:trPr>
          <w:trHeight w:val="300"/>
        </w:trPr>
        <w:tc>
          <w:tcPr>
            <w:tcW w:w="1251" w:type="dxa"/>
            <w:shd w:val="clear" w:color="auto" w:fill="auto"/>
            <w:noWrap/>
            <w:vAlign w:val="center"/>
            <w:hideMark/>
          </w:tcPr>
          <w:p w14:paraId="31D8343A" w14:textId="77777777" w:rsidR="00510550" w:rsidRPr="009C6046" w:rsidRDefault="00510550" w:rsidP="00D3148C">
            <w:pPr>
              <w:jc w:val="center"/>
              <w:rPr>
                <w:rFonts w:eastAsia="Times New Roman" w:cs="Times New Roman"/>
                <w:i/>
                <w:color w:val="000000" w:themeColor="text1"/>
                <w:sz w:val="20"/>
                <w:szCs w:val="20"/>
              </w:rPr>
            </w:pPr>
            <w:r w:rsidRPr="009C6046">
              <w:rPr>
                <w:rFonts w:eastAsia="Times New Roman" w:cs="Times New Roman"/>
                <w:i/>
                <w:color w:val="000000" w:themeColor="text1"/>
                <w:sz w:val="20"/>
                <w:szCs w:val="20"/>
              </w:rPr>
              <w:t>t</w:t>
            </w:r>
            <w:r w:rsidRPr="009C6046">
              <w:rPr>
                <w:rFonts w:eastAsia="Times New Roman" w:cs="Times New Roman"/>
                <w:i/>
                <w:color w:val="000000" w:themeColor="text1"/>
                <w:sz w:val="20"/>
                <w:szCs w:val="20"/>
                <w:vertAlign w:val="subscript"/>
              </w:rPr>
              <w:t>p</w:t>
            </w:r>
          </w:p>
        </w:tc>
        <w:tc>
          <w:tcPr>
            <w:tcW w:w="1250" w:type="dxa"/>
            <w:vAlign w:val="center"/>
          </w:tcPr>
          <w:p w14:paraId="4E587042"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0.409</w:t>
            </w:r>
          </w:p>
        </w:tc>
        <w:tc>
          <w:tcPr>
            <w:tcW w:w="1484" w:type="dxa"/>
            <w:vAlign w:val="center"/>
          </w:tcPr>
          <w:p w14:paraId="31D76FFD"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142</w:t>
            </w:r>
          </w:p>
        </w:tc>
        <w:tc>
          <w:tcPr>
            <w:tcW w:w="1959" w:type="dxa"/>
            <w:vAlign w:val="center"/>
          </w:tcPr>
          <w:p w14:paraId="30F018D9"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Cases</w:t>
            </w:r>
          </w:p>
        </w:tc>
        <w:tc>
          <w:tcPr>
            <w:tcW w:w="1846" w:type="dxa"/>
            <w:shd w:val="clear" w:color="auto" w:fill="auto"/>
            <w:noWrap/>
            <w:vAlign w:val="center"/>
            <w:hideMark/>
          </w:tcPr>
          <w:p w14:paraId="05F611CE"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Beta(57.4,82.9)</w:t>
            </w:r>
          </w:p>
        </w:tc>
        <w:tc>
          <w:tcPr>
            <w:tcW w:w="2989" w:type="dxa"/>
            <w:shd w:val="clear" w:color="auto" w:fill="auto"/>
            <w:noWrap/>
            <w:vAlign w:val="center"/>
            <w:hideMark/>
          </w:tcPr>
          <w:p w14:paraId="4C15BE90"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GP telephone consultation</w:t>
            </w:r>
          </w:p>
        </w:tc>
        <w:tc>
          <w:tcPr>
            <w:tcW w:w="2660" w:type="dxa"/>
            <w:shd w:val="clear" w:color="auto" w:fill="auto"/>
            <w:noWrap/>
            <w:vAlign w:val="center"/>
            <w:hideMark/>
          </w:tcPr>
          <w:p w14:paraId="793C7306"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IID2 GP Presentation Study</w:t>
            </w:r>
          </w:p>
        </w:tc>
      </w:tr>
      <w:tr w:rsidR="00510550" w:rsidRPr="009C6046" w14:paraId="40B5E583" w14:textId="77777777" w:rsidTr="00D3148C">
        <w:trPr>
          <w:trHeight w:val="300"/>
        </w:trPr>
        <w:tc>
          <w:tcPr>
            <w:tcW w:w="1251" w:type="dxa"/>
            <w:shd w:val="clear" w:color="auto" w:fill="auto"/>
            <w:noWrap/>
            <w:vAlign w:val="center"/>
            <w:hideMark/>
          </w:tcPr>
          <w:p w14:paraId="1E055636" w14:textId="77777777" w:rsidR="00510550" w:rsidRPr="009C6046" w:rsidRDefault="00510550" w:rsidP="00D3148C">
            <w:pPr>
              <w:jc w:val="center"/>
              <w:rPr>
                <w:rFonts w:eastAsia="Times New Roman" w:cs="Times New Roman"/>
                <w:i/>
                <w:color w:val="000000" w:themeColor="text1"/>
                <w:sz w:val="20"/>
                <w:szCs w:val="20"/>
              </w:rPr>
            </w:pPr>
            <w:r w:rsidRPr="009C6046">
              <w:rPr>
                <w:rFonts w:eastAsia="Times New Roman" w:cs="Times New Roman"/>
                <w:i/>
                <w:color w:val="000000" w:themeColor="text1"/>
                <w:sz w:val="20"/>
                <w:szCs w:val="20"/>
              </w:rPr>
              <w:t>i</w:t>
            </w:r>
            <w:r w:rsidRPr="009C6046">
              <w:rPr>
                <w:rFonts w:eastAsia="Times New Roman" w:cs="Times New Roman"/>
                <w:i/>
                <w:color w:val="000000" w:themeColor="text1"/>
                <w:sz w:val="20"/>
                <w:szCs w:val="20"/>
                <w:vertAlign w:val="subscript"/>
              </w:rPr>
              <w:t>p</w:t>
            </w:r>
          </w:p>
        </w:tc>
        <w:tc>
          <w:tcPr>
            <w:tcW w:w="1250" w:type="dxa"/>
            <w:vAlign w:val="center"/>
          </w:tcPr>
          <w:p w14:paraId="4DC92531"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0.775</w:t>
            </w:r>
          </w:p>
        </w:tc>
        <w:tc>
          <w:tcPr>
            <w:tcW w:w="1484" w:type="dxa"/>
            <w:vAlign w:val="center"/>
          </w:tcPr>
          <w:p w14:paraId="38A49EE5"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142</w:t>
            </w:r>
          </w:p>
        </w:tc>
        <w:tc>
          <w:tcPr>
            <w:tcW w:w="1959" w:type="dxa"/>
            <w:vAlign w:val="center"/>
          </w:tcPr>
          <w:p w14:paraId="1E7085B8"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Cases</w:t>
            </w:r>
          </w:p>
        </w:tc>
        <w:tc>
          <w:tcPr>
            <w:tcW w:w="1846" w:type="dxa"/>
            <w:shd w:val="clear" w:color="auto" w:fill="auto"/>
            <w:noWrap/>
            <w:vAlign w:val="center"/>
            <w:hideMark/>
          </w:tcPr>
          <w:p w14:paraId="5DC6A51B"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Beta(107.9,31.4)</w:t>
            </w:r>
          </w:p>
        </w:tc>
        <w:tc>
          <w:tcPr>
            <w:tcW w:w="2989" w:type="dxa"/>
            <w:shd w:val="clear" w:color="auto" w:fill="auto"/>
            <w:noWrap/>
            <w:vAlign w:val="center"/>
            <w:hideMark/>
          </w:tcPr>
          <w:p w14:paraId="28B8DEAB"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GP in-person consultation</w:t>
            </w:r>
          </w:p>
        </w:tc>
        <w:tc>
          <w:tcPr>
            <w:tcW w:w="2660" w:type="dxa"/>
            <w:shd w:val="clear" w:color="auto" w:fill="auto"/>
            <w:noWrap/>
            <w:vAlign w:val="center"/>
            <w:hideMark/>
          </w:tcPr>
          <w:p w14:paraId="57430223"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IID2 GP Presentation Study</w:t>
            </w:r>
          </w:p>
        </w:tc>
      </w:tr>
      <w:tr w:rsidR="00510550" w:rsidRPr="009C6046" w14:paraId="03391A95" w14:textId="77777777" w:rsidTr="00D3148C">
        <w:trPr>
          <w:trHeight w:val="300"/>
        </w:trPr>
        <w:tc>
          <w:tcPr>
            <w:tcW w:w="1251" w:type="dxa"/>
            <w:shd w:val="clear" w:color="auto" w:fill="auto"/>
            <w:noWrap/>
            <w:vAlign w:val="center"/>
            <w:hideMark/>
          </w:tcPr>
          <w:p w14:paraId="1D32A28A" w14:textId="77777777" w:rsidR="00510550" w:rsidRPr="009C6046" w:rsidRDefault="00510550" w:rsidP="00D3148C">
            <w:pPr>
              <w:jc w:val="center"/>
              <w:rPr>
                <w:rFonts w:eastAsia="Times New Roman" w:cs="Times New Roman"/>
                <w:i/>
                <w:color w:val="000000" w:themeColor="text1"/>
                <w:sz w:val="20"/>
                <w:szCs w:val="20"/>
              </w:rPr>
            </w:pPr>
            <w:r w:rsidRPr="009C6046">
              <w:rPr>
                <w:rFonts w:eastAsia="Times New Roman" w:cs="Times New Roman"/>
                <w:i/>
                <w:color w:val="000000" w:themeColor="text1"/>
                <w:sz w:val="20"/>
                <w:szCs w:val="20"/>
              </w:rPr>
              <w:t>e</w:t>
            </w:r>
          </w:p>
        </w:tc>
        <w:tc>
          <w:tcPr>
            <w:tcW w:w="1250" w:type="dxa"/>
            <w:vAlign w:val="center"/>
          </w:tcPr>
          <w:p w14:paraId="3A925AB4"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0.0106</w:t>
            </w:r>
          </w:p>
        </w:tc>
        <w:tc>
          <w:tcPr>
            <w:tcW w:w="1484" w:type="dxa"/>
            <w:vAlign w:val="center"/>
          </w:tcPr>
          <w:p w14:paraId="1BAE8BAD"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1318</w:t>
            </w:r>
          </w:p>
        </w:tc>
        <w:tc>
          <w:tcPr>
            <w:tcW w:w="1959" w:type="dxa"/>
            <w:vAlign w:val="center"/>
          </w:tcPr>
          <w:p w14:paraId="12312EFD"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Cases</w:t>
            </w:r>
          </w:p>
        </w:tc>
        <w:tc>
          <w:tcPr>
            <w:tcW w:w="1846" w:type="dxa"/>
            <w:shd w:val="clear" w:color="auto" w:fill="auto"/>
            <w:noWrap/>
            <w:vAlign w:val="center"/>
            <w:hideMark/>
          </w:tcPr>
          <w:p w14:paraId="03E449CD"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Beta(13.1,1228.9)</w:t>
            </w:r>
          </w:p>
        </w:tc>
        <w:tc>
          <w:tcPr>
            <w:tcW w:w="2989" w:type="dxa"/>
            <w:shd w:val="clear" w:color="auto" w:fill="auto"/>
            <w:noWrap/>
            <w:vAlign w:val="center"/>
            <w:hideMark/>
          </w:tcPr>
          <w:p w14:paraId="67EFDF30"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Accident &amp; Emergency visits</w:t>
            </w:r>
          </w:p>
        </w:tc>
        <w:tc>
          <w:tcPr>
            <w:tcW w:w="2660" w:type="dxa"/>
            <w:shd w:val="clear" w:color="auto" w:fill="auto"/>
            <w:noWrap/>
            <w:vAlign w:val="center"/>
            <w:hideMark/>
          </w:tcPr>
          <w:p w14:paraId="78522A99"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IID2 Cohort Study</w:t>
            </w:r>
          </w:p>
        </w:tc>
      </w:tr>
      <w:tr w:rsidR="00510550" w:rsidRPr="009C6046" w14:paraId="0D249D54" w14:textId="77777777" w:rsidTr="00D3148C">
        <w:trPr>
          <w:trHeight w:val="300"/>
        </w:trPr>
        <w:tc>
          <w:tcPr>
            <w:tcW w:w="1251" w:type="dxa"/>
            <w:shd w:val="clear" w:color="auto" w:fill="auto"/>
            <w:noWrap/>
            <w:vAlign w:val="center"/>
            <w:hideMark/>
          </w:tcPr>
          <w:p w14:paraId="40BD884A" w14:textId="77777777" w:rsidR="00510550" w:rsidRPr="009C6046" w:rsidRDefault="00510550" w:rsidP="00D3148C">
            <w:pPr>
              <w:jc w:val="center"/>
              <w:rPr>
                <w:rFonts w:eastAsia="Times New Roman" w:cs="Times New Roman"/>
                <w:i/>
                <w:color w:val="000000" w:themeColor="text1"/>
                <w:sz w:val="20"/>
                <w:szCs w:val="20"/>
              </w:rPr>
            </w:pPr>
            <w:r w:rsidRPr="009C6046">
              <w:rPr>
                <w:rFonts w:eastAsia="Times New Roman" w:cs="Times New Roman"/>
                <w:i/>
                <w:color w:val="000000" w:themeColor="text1"/>
                <w:sz w:val="20"/>
                <w:szCs w:val="20"/>
              </w:rPr>
              <w:t>h</w:t>
            </w:r>
            <w:r w:rsidRPr="009C6046">
              <w:rPr>
                <w:rFonts w:eastAsia="Times New Roman" w:cs="Times New Roman"/>
                <w:i/>
                <w:color w:val="000000" w:themeColor="text1"/>
                <w:sz w:val="20"/>
                <w:szCs w:val="20"/>
                <w:vertAlign w:val="subscript"/>
              </w:rPr>
              <w:t>p1</w:t>
            </w:r>
          </w:p>
        </w:tc>
        <w:tc>
          <w:tcPr>
            <w:tcW w:w="1250" w:type="dxa"/>
            <w:vAlign w:val="center"/>
          </w:tcPr>
          <w:p w14:paraId="422267A3"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0.00549</w:t>
            </w:r>
          </w:p>
        </w:tc>
        <w:tc>
          <w:tcPr>
            <w:tcW w:w="1484" w:type="dxa"/>
            <w:vAlign w:val="center"/>
          </w:tcPr>
          <w:p w14:paraId="3CEEA026"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424</w:t>
            </w:r>
          </w:p>
        </w:tc>
        <w:tc>
          <w:tcPr>
            <w:tcW w:w="1959" w:type="dxa"/>
            <w:vAlign w:val="center"/>
          </w:tcPr>
          <w:p w14:paraId="298293AB"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Cases</w:t>
            </w:r>
          </w:p>
        </w:tc>
        <w:tc>
          <w:tcPr>
            <w:tcW w:w="1846" w:type="dxa"/>
            <w:shd w:val="clear" w:color="auto" w:fill="auto"/>
            <w:noWrap/>
            <w:vAlign w:val="center"/>
            <w:hideMark/>
          </w:tcPr>
          <w:p w14:paraId="1167D400"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Beta(3.1,558.7)</w:t>
            </w:r>
          </w:p>
        </w:tc>
        <w:tc>
          <w:tcPr>
            <w:tcW w:w="2989" w:type="dxa"/>
            <w:shd w:val="clear" w:color="auto" w:fill="auto"/>
            <w:noWrap/>
            <w:vAlign w:val="center"/>
            <w:hideMark/>
          </w:tcPr>
          <w:p w14:paraId="573CC569"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Hospitalisation (scenario 1)</w:t>
            </w:r>
          </w:p>
        </w:tc>
        <w:tc>
          <w:tcPr>
            <w:tcW w:w="2660" w:type="dxa"/>
            <w:shd w:val="clear" w:color="auto" w:fill="auto"/>
            <w:noWrap/>
            <w:vAlign w:val="center"/>
            <w:hideMark/>
          </w:tcPr>
          <w:p w14:paraId="516E3CF0"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 xml:space="preserve">Outbreak data (Gsurv) </w:t>
            </w:r>
          </w:p>
        </w:tc>
      </w:tr>
      <w:tr w:rsidR="00510550" w:rsidRPr="009C6046" w14:paraId="3ECDB82E" w14:textId="77777777" w:rsidTr="00D3148C">
        <w:trPr>
          <w:trHeight w:val="300"/>
        </w:trPr>
        <w:tc>
          <w:tcPr>
            <w:tcW w:w="1251" w:type="dxa"/>
            <w:shd w:val="clear" w:color="auto" w:fill="auto"/>
            <w:noWrap/>
            <w:vAlign w:val="center"/>
            <w:hideMark/>
          </w:tcPr>
          <w:p w14:paraId="50B466B2" w14:textId="77777777" w:rsidR="00510550" w:rsidRPr="009C6046" w:rsidRDefault="00510550" w:rsidP="00D3148C">
            <w:pPr>
              <w:jc w:val="center"/>
              <w:rPr>
                <w:rFonts w:eastAsia="Times New Roman" w:cs="Times New Roman"/>
                <w:i/>
                <w:color w:val="000000" w:themeColor="text1"/>
                <w:sz w:val="20"/>
                <w:szCs w:val="20"/>
              </w:rPr>
            </w:pPr>
            <w:r w:rsidRPr="009C6046">
              <w:rPr>
                <w:rFonts w:eastAsia="Times New Roman" w:cs="Times New Roman"/>
                <w:i/>
                <w:color w:val="000000" w:themeColor="text1"/>
                <w:sz w:val="20"/>
                <w:szCs w:val="20"/>
              </w:rPr>
              <w:t>h</w:t>
            </w:r>
            <w:r w:rsidRPr="009C6046">
              <w:rPr>
                <w:rFonts w:eastAsia="Times New Roman" w:cs="Times New Roman"/>
                <w:i/>
                <w:color w:val="000000" w:themeColor="text1"/>
                <w:sz w:val="20"/>
                <w:szCs w:val="20"/>
                <w:vertAlign w:val="subscript"/>
              </w:rPr>
              <w:t>p2</w:t>
            </w:r>
          </w:p>
        </w:tc>
        <w:tc>
          <w:tcPr>
            <w:tcW w:w="1250" w:type="dxa"/>
            <w:vAlign w:val="center"/>
          </w:tcPr>
          <w:p w14:paraId="33D4A9EF"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0.00164</w:t>
            </w:r>
          </w:p>
        </w:tc>
        <w:tc>
          <w:tcPr>
            <w:tcW w:w="1484" w:type="dxa"/>
            <w:vAlign w:val="center"/>
          </w:tcPr>
          <w:p w14:paraId="0088058D"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441</w:t>
            </w:r>
          </w:p>
        </w:tc>
        <w:tc>
          <w:tcPr>
            <w:tcW w:w="1959" w:type="dxa"/>
            <w:vAlign w:val="center"/>
          </w:tcPr>
          <w:p w14:paraId="7D49AFE3"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Cases</w:t>
            </w:r>
          </w:p>
        </w:tc>
        <w:tc>
          <w:tcPr>
            <w:tcW w:w="1846" w:type="dxa"/>
            <w:shd w:val="clear" w:color="auto" w:fill="auto"/>
            <w:noWrap/>
            <w:vAlign w:val="center"/>
            <w:hideMark/>
          </w:tcPr>
          <w:p w14:paraId="0EED841E"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Beta(3.5,2119.3)</w:t>
            </w:r>
          </w:p>
        </w:tc>
        <w:tc>
          <w:tcPr>
            <w:tcW w:w="2989" w:type="dxa"/>
            <w:shd w:val="clear" w:color="auto" w:fill="auto"/>
            <w:noWrap/>
            <w:vAlign w:val="center"/>
            <w:hideMark/>
          </w:tcPr>
          <w:p w14:paraId="48F21A16"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Hospitalisation (scenario 2)</w:t>
            </w:r>
          </w:p>
        </w:tc>
        <w:tc>
          <w:tcPr>
            <w:tcW w:w="2660" w:type="dxa"/>
            <w:shd w:val="clear" w:color="auto" w:fill="auto"/>
            <w:noWrap/>
            <w:vAlign w:val="center"/>
            <w:hideMark/>
          </w:tcPr>
          <w:p w14:paraId="0ADF97C3"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Combined IID1 &amp; IID2 GP Presentation Study data</w:t>
            </w:r>
          </w:p>
        </w:tc>
      </w:tr>
      <w:tr w:rsidR="00510550" w:rsidRPr="009C6046" w14:paraId="36E36630" w14:textId="77777777" w:rsidTr="004B5833">
        <w:trPr>
          <w:trHeight w:val="774"/>
        </w:trPr>
        <w:tc>
          <w:tcPr>
            <w:tcW w:w="1251" w:type="dxa"/>
            <w:shd w:val="clear" w:color="auto" w:fill="auto"/>
            <w:noWrap/>
            <w:vAlign w:val="center"/>
          </w:tcPr>
          <w:p w14:paraId="751F9A38" w14:textId="77777777" w:rsidR="00510550" w:rsidRPr="009C6046" w:rsidRDefault="00510550" w:rsidP="00D3148C">
            <w:pPr>
              <w:jc w:val="center"/>
              <w:rPr>
                <w:rFonts w:eastAsia="Times New Roman" w:cs="Times New Roman"/>
                <w:i/>
                <w:color w:val="000000" w:themeColor="text1"/>
                <w:sz w:val="20"/>
                <w:szCs w:val="20"/>
                <w:vertAlign w:val="subscript"/>
              </w:rPr>
            </w:pPr>
            <w:r w:rsidRPr="009C6046">
              <w:rPr>
                <w:rFonts w:eastAsia="Times New Roman" w:cs="Times New Roman"/>
                <w:i/>
                <w:color w:val="000000" w:themeColor="text1"/>
                <w:sz w:val="20"/>
                <w:szCs w:val="20"/>
              </w:rPr>
              <w:t>s</w:t>
            </w:r>
            <w:r w:rsidRPr="009C6046">
              <w:rPr>
                <w:rFonts w:eastAsia="Times New Roman" w:cs="Times New Roman"/>
                <w:i/>
                <w:color w:val="000000" w:themeColor="text1"/>
                <w:sz w:val="20"/>
                <w:szCs w:val="20"/>
                <w:vertAlign w:val="subscript"/>
              </w:rPr>
              <w:t>campy</w:t>
            </w:r>
          </w:p>
        </w:tc>
        <w:tc>
          <w:tcPr>
            <w:tcW w:w="1250" w:type="dxa"/>
            <w:vAlign w:val="center"/>
          </w:tcPr>
          <w:p w14:paraId="586C4A8E"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0.00117</w:t>
            </w:r>
          </w:p>
        </w:tc>
        <w:tc>
          <w:tcPr>
            <w:tcW w:w="1484" w:type="dxa"/>
            <w:vAlign w:val="center"/>
          </w:tcPr>
          <w:p w14:paraId="4D751F4C"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2560</w:t>
            </w:r>
          </w:p>
        </w:tc>
        <w:tc>
          <w:tcPr>
            <w:tcW w:w="1959" w:type="dxa"/>
            <w:vAlign w:val="center"/>
          </w:tcPr>
          <w:p w14:paraId="213E8E2A"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Person-years</w:t>
            </w:r>
          </w:p>
        </w:tc>
        <w:tc>
          <w:tcPr>
            <w:tcW w:w="1846" w:type="dxa"/>
            <w:shd w:val="clear" w:color="auto" w:fill="auto"/>
            <w:noWrap/>
            <w:vAlign w:val="center"/>
          </w:tcPr>
          <w:p w14:paraId="77E095C8"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N(-6.75,0.574)</w:t>
            </w:r>
          </w:p>
        </w:tc>
        <w:tc>
          <w:tcPr>
            <w:tcW w:w="2989" w:type="dxa"/>
            <w:shd w:val="clear" w:color="auto" w:fill="auto"/>
            <w:noWrap/>
            <w:vAlign w:val="center"/>
          </w:tcPr>
          <w:p w14:paraId="7DDF0028" w14:textId="705BB5DB" w:rsidR="00510550" w:rsidRPr="009C6046" w:rsidRDefault="00510550" w:rsidP="00D3148C">
            <w:pPr>
              <w:jc w:val="center"/>
              <w:rPr>
                <w:rFonts w:eastAsia="Times New Roman" w:cs="Times New Roman"/>
                <w:color w:val="000000" w:themeColor="text1"/>
                <w:sz w:val="20"/>
                <w:szCs w:val="20"/>
              </w:rPr>
            </w:pPr>
            <w:r w:rsidRPr="009C6046">
              <w:rPr>
                <w:color w:val="000000" w:themeColor="text1"/>
                <w:sz w:val="20"/>
                <w:szCs w:val="20"/>
              </w:rPr>
              <w:t xml:space="preserve">Rate of Guillain-Barré syndrome among </w:t>
            </w:r>
            <w:r w:rsidRPr="009C6046">
              <w:rPr>
                <w:i/>
                <w:color w:val="000000" w:themeColor="text1"/>
                <w:sz w:val="20"/>
                <w:szCs w:val="20"/>
              </w:rPr>
              <w:t xml:space="preserve">Campylobacter </w:t>
            </w:r>
            <w:r w:rsidRPr="009C6046">
              <w:rPr>
                <w:color w:val="000000" w:themeColor="text1"/>
                <w:sz w:val="20"/>
                <w:szCs w:val="20"/>
              </w:rPr>
              <w:t>IID cases</w:t>
            </w:r>
          </w:p>
        </w:tc>
        <w:tc>
          <w:tcPr>
            <w:tcW w:w="2660" w:type="dxa"/>
            <w:shd w:val="clear" w:color="auto" w:fill="auto"/>
            <w:noWrap/>
            <w:vAlign w:val="center"/>
          </w:tcPr>
          <w:p w14:paraId="6F15EAF3"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 xml:space="preserve">General Practice Research Database </w:t>
            </w:r>
            <w:r w:rsidRPr="009C6046">
              <w:rPr>
                <w:rFonts w:eastAsia="Times New Roman" w:cs="Times New Roman"/>
                <w:color w:val="000000" w:themeColor="text1"/>
                <w:sz w:val="20"/>
                <w:szCs w:val="20"/>
              </w:rPr>
              <w:fldChar w:fldCharType="begin" w:fldLock="1"/>
            </w:r>
            <w:r w:rsidRPr="009C6046">
              <w:rPr>
                <w:rFonts w:eastAsia="Times New Roman" w:cs="Times New Roman"/>
                <w:color w:val="000000" w:themeColor="text1"/>
                <w:sz w:val="20"/>
                <w:szCs w:val="20"/>
              </w:rPr>
              <w:instrText>ADDIN CSL_CITATION { "citationItems" : [ { "id" : "ITEM-1", "itemData" : { "author" : [ { "dropping-particle" : "", "family" : "Tam", "given" : "C C", "non-dropping-particle" : "", "parse-names" : false, "suffix" : "" }, { "dropping-particle" : "", "family" : "Rodrigues", "given" : "L C", "non-dropping-particle" : "", "parse-names" : false, "suffix" : "" }, { "dropping-particle" : "", "family" : "Petersen", "given" : "I", "non-dropping-particle" : "", "parse-names" : false, "suffix" : "" }, { "dropping-particle" : "", "family" : "Islam", "given" : "A", "non-dropping-particle" : "", "parse-names" : false, "suffix" : "" }, { "dropping-particle" : "", "family" : "Hayward", "given" : "A", "non-dropping-particle" : "", "parse-names" : false, "suffix" : "" }, { "dropping-particle" : "", "family" : "O\u2019Brien", "given" : "S J", "non-dropping-particle" : "", "parse-names" : false, "suffix" : "" }, { "dropping-particle" : "", "family" : "O'Brien", "given" : "S J", "non-dropping-particle" : "", "parse-names" : false, "suffix" : "" } ], "container-title" : "Journal of Infectious Diseases", "id" : "ITEM-1", "issue" : "1", "issued" : { "date-parts" : [ [ "2006" ] ] }, "page" : "95-97", "publisher" : "Oxford University Press", "title" : "Incidence of Guillain-Barre syndrome among patients with Campylobacter infection: a general practice research database study", "type" : "article-journal", "volume" : "194" }, "uris" : [ "http://www.mendeley.com/documents/?uuid=1db533c6-d147-441b-93b7-87b76ee58759" ] } ], "mendeley" : { "formattedCitation" : "[4]", "plainTextFormattedCitation" : "[4]", "previouslyFormattedCitation" : "[6]" }, "properties" : { "noteIndex" : 0 }, "schema" : "https://github.com/citation-style-language/schema/raw/master/csl-citation.json" }</w:instrText>
            </w:r>
            <w:r w:rsidRPr="009C6046">
              <w:rPr>
                <w:rFonts w:eastAsia="Times New Roman" w:cs="Times New Roman"/>
                <w:color w:val="000000" w:themeColor="text1"/>
                <w:sz w:val="20"/>
                <w:szCs w:val="20"/>
              </w:rPr>
              <w:fldChar w:fldCharType="separate"/>
            </w:r>
            <w:r w:rsidRPr="009C6046">
              <w:rPr>
                <w:rFonts w:eastAsia="Times New Roman" w:cs="Times New Roman"/>
                <w:noProof/>
                <w:color w:val="000000" w:themeColor="text1"/>
                <w:sz w:val="20"/>
                <w:szCs w:val="20"/>
              </w:rPr>
              <w:t>[4]</w:t>
            </w:r>
            <w:r w:rsidRPr="009C6046">
              <w:rPr>
                <w:rFonts w:eastAsia="Times New Roman" w:cs="Times New Roman"/>
                <w:color w:val="000000" w:themeColor="text1"/>
                <w:sz w:val="20"/>
                <w:szCs w:val="20"/>
              </w:rPr>
              <w:fldChar w:fldCharType="end"/>
            </w:r>
          </w:p>
        </w:tc>
      </w:tr>
    </w:tbl>
    <w:p w14:paraId="4CD4074B" w14:textId="77777777" w:rsidR="00510550" w:rsidRPr="009C6046" w:rsidRDefault="00510550" w:rsidP="00510550">
      <w:pPr>
        <w:spacing w:line="240" w:lineRule="auto"/>
        <w:jc w:val="both"/>
        <w:rPr>
          <w:color w:val="000000" w:themeColor="text1"/>
        </w:rPr>
      </w:pPr>
      <w:r w:rsidRPr="009C6046">
        <w:rPr>
          <w:color w:val="000000" w:themeColor="text1"/>
        </w:rPr>
        <w:t>Health services are defined as follows: In-person GP consultation – a face-to-face consultation with a GP that takes place at the clinic; Telephone GP consultation – a consultation with a GP that takes place over the telephone; Out-of-hours consultation – a consultation with a dedicated service that provides health services outside GP operating hours (evenings and weekends); Accident &amp; Emergency visit – a consultation at a hospital Accident &amp; Emergency department; Telephone information and advice line – a telephone call to a dedicated service that provides syndrome-based medical triage and advice (at the time of this study, these services were NHS Direct in England and Wales, and NHS24 in Scotland); Hospital admission – an overnight stay in a hospital as a result of illness.</w:t>
      </w:r>
    </w:p>
    <w:p w14:paraId="7D28A980" w14:textId="77777777" w:rsidR="00510550" w:rsidRPr="009C6046" w:rsidRDefault="00510550" w:rsidP="00510550">
      <w:pPr>
        <w:rPr>
          <w:color w:val="000000" w:themeColor="text1"/>
        </w:rPr>
        <w:sectPr w:rsidR="00510550" w:rsidRPr="009C6046" w:rsidSect="00CD52F5">
          <w:pgSz w:w="16840" w:h="11901" w:orient="landscape"/>
          <w:pgMar w:top="1134" w:right="1440" w:bottom="1134" w:left="1440" w:header="720" w:footer="720" w:gutter="0"/>
          <w:cols w:space="720"/>
          <w:docGrid w:linePitch="360"/>
        </w:sectPr>
      </w:pPr>
    </w:p>
    <w:p w14:paraId="1BFB8ADD" w14:textId="77777777" w:rsidR="00510550" w:rsidRPr="009C6046" w:rsidRDefault="00404B59" w:rsidP="00510550">
      <w:pPr>
        <w:pStyle w:val="Heading2"/>
        <w:rPr>
          <w:color w:val="000000" w:themeColor="text1"/>
        </w:rPr>
      </w:pPr>
      <w:r>
        <w:rPr>
          <w:color w:val="000000" w:themeColor="text1"/>
        </w:rPr>
        <w:t>Table B</w:t>
      </w:r>
      <w:r w:rsidR="00510550" w:rsidRPr="009C6046">
        <w:rPr>
          <w:color w:val="000000" w:themeColor="text1"/>
        </w:rPr>
        <w:t>: Model parameters for norovirus</w:t>
      </w:r>
    </w:p>
    <w:p w14:paraId="1C0B0166" w14:textId="77777777" w:rsidR="00510550" w:rsidRPr="009C6046" w:rsidRDefault="00510550" w:rsidP="00510550">
      <w:pPr>
        <w:rPr>
          <w:color w:val="000000" w:themeColor="text1"/>
        </w:rPr>
      </w:pPr>
    </w:p>
    <w:tbl>
      <w:tblPr>
        <w:tblW w:w="13439" w:type="dxa"/>
        <w:tblInd w:w="93" w:type="dxa"/>
        <w:tblBorders>
          <w:top w:val="single" w:sz="4" w:space="0" w:color="auto"/>
          <w:bottom w:val="single" w:sz="4" w:space="0" w:color="auto"/>
        </w:tblBorders>
        <w:tblLook w:val="04A0" w:firstRow="1" w:lastRow="0" w:firstColumn="1" w:lastColumn="0" w:noHBand="0" w:noVBand="1"/>
      </w:tblPr>
      <w:tblGrid>
        <w:gridCol w:w="1251"/>
        <w:gridCol w:w="1250"/>
        <w:gridCol w:w="1484"/>
        <w:gridCol w:w="1959"/>
        <w:gridCol w:w="1846"/>
        <w:gridCol w:w="2989"/>
        <w:gridCol w:w="2660"/>
      </w:tblGrid>
      <w:tr w:rsidR="00510550" w:rsidRPr="009C6046" w14:paraId="5B4F329A" w14:textId="77777777" w:rsidTr="00D3148C">
        <w:trPr>
          <w:trHeight w:val="300"/>
        </w:trPr>
        <w:tc>
          <w:tcPr>
            <w:tcW w:w="1251" w:type="dxa"/>
            <w:tcBorders>
              <w:bottom w:val="nil"/>
            </w:tcBorders>
            <w:shd w:val="clear" w:color="auto" w:fill="auto"/>
            <w:noWrap/>
            <w:vAlign w:val="center"/>
          </w:tcPr>
          <w:p w14:paraId="6D4179F9" w14:textId="77777777" w:rsidR="00510550" w:rsidRPr="009C6046" w:rsidRDefault="00510550" w:rsidP="00D3148C">
            <w:pPr>
              <w:jc w:val="center"/>
              <w:rPr>
                <w:rFonts w:eastAsia="Times New Roman" w:cs="Times New Roman"/>
                <w:color w:val="000000" w:themeColor="text1"/>
                <w:sz w:val="20"/>
                <w:szCs w:val="20"/>
              </w:rPr>
            </w:pPr>
          </w:p>
        </w:tc>
        <w:tc>
          <w:tcPr>
            <w:tcW w:w="4693" w:type="dxa"/>
            <w:gridSpan w:val="3"/>
            <w:tcBorders>
              <w:top w:val="single" w:sz="4" w:space="0" w:color="auto"/>
              <w:bottom w:val="single" w:sz="4" w:space="0" w:color="auto"/>
            </w:tcBorders>
            <w:vAlign w:val="center"/>
          </w:tcPr>
          <w:p w14:paraId="03F13016"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Data</w:t>
            </w:r>
          </w:p>
        </w:tc>
        <w:tc>
          <w:tcPr>
            <w:tcW w:w="1846" w:type="dxa"/>
            <w:tcBorders>
              <w:bottom w:val="nil"/>
            </w:tcBorders>
            <w:shd w:val="clear" w:color="auto" w:fill="auto"/>
            <w:noWrap/>
            <w:vAlign w:val="center"/>
          </w:tcPr>
          <w:p w14:paraId="56CE5B63"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Model</w:t>
            </w:r>
          </w:p>
        </w:tc>
        <w:tc>
          <w:tcPr>
            <w:tcW w:w="2989" w:type="dxa"/>
            <w:tcBorders>
              <w:bottom w:val="nil"/>
            </w:tcBorders>
            <w:shd w:val="clear" w:color="auto" w:fill="auto"/>
            <w:noWrap/>
            <w:vAlign w:val="center"/>
          </w:tcPr>
          <w:p w14:paraId="4594C2ED" w14:textId="77777777" w:rsidR="00510550" w:rsidRPr="009C6046" w:rsidRDefault="00510550" w:rsidP="00D3148C">
            <w:pPr>
              <w:jc w:val="center"/>
              <w:rPr>
                <w:rFonts w:eastAsia="Times New Roman" w:cs="Times New Roman"/>
                <w:color w:val="000000" w:themeColor="text1"/>
                <w:sz w:val="20"/>
                <w:szCs w:val="20"/>
              </w:rPr>
            </w:pPr>
          </w:p>
        </w:tc>
        <w:tc>
          <w:tcPr>
            <w:tcW w:w="2660" w:type="dxa"/>
            <w:tcBorders>
              <w:bottom w:val="nil"/>
            </w:tcBorders>
            <w:shd w:val="clear" w:color="auto" w:fill="auto"/>
            <w:noWrap/>
            <w:vAlign w:val="center"/>
          </w:tcPr>
          <w:p w14:paraId="7706CF64" w14:textId="77777777" w:rsidR="00510550" w:rsidRPr="009C6046" w:rsidRDefault="00510550" w:rsidP="00D3148C">
            <w:pPr>
              <w:jc w:val="center"/>
              <w:rPr>
                <w:rFonts w:eastAsia="Times New Roman" w:cs="Times New Roman"/>
                <w:color w:val="000000" w:themeColor="text1"/>
                <w:sz w:val="20"/>
                <w:szCs w:val="20"/>
              </w:rPr>
            </w:pPr>
          </w:p>
        </w:tc>
      </w:tr>
      <w:tr w:rsidR="00510550" w:rsidRPr="009C6046" w14:paraId="1020F669" w14:textId="77777777" w:rsidTr="00D3148C">
        <w:trPr>
          <w:trHeight w:val="300"/>
        </w:trPr>
        <w:tc>
          <w:tcPr>
            <w:tcW w:w="1251" w:type="dxa"/>
            <w:tcBorders>
              <w:top w:val="nil"/>
              <w:bottom w:val="single" w:sz="4" w:space="0" w:color="auto"/>
            </w:tcBorders>
            <w:shd w:val="clear" w:color="auto" w:fill="auto"/>
            <w:noWrap/>
            <w:vAlign w:val="center"/>
            <w:hideMark/>
          </w:tcPr>
          <w:p w14:paraId="085520C8"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Parameter</w:t>
            </w:r>
          </w:p>
        </w:tc>
        <w:tc>
          <w:tcPr>
            <w:tcW w:w="1250" w:type="dxa"/>
            <w:tcBorders>
              <w:top w:val="single" w:sz="4" w:space="0" w:color="auto"/>
              <w:bottom w:val="single" w:sz="4" w:space="0" w:color="auto"/>
            </w:tcBorders>
            <w:vAlign w:val="center"/>
          </w:tcPr>
          <w:p w14:paraId="44D73C2C"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Mean</w:t>
            </w:r>
          </w:p>
        </w:tc>
        <w:tc>
          <w:tcPr>
            <w:tcW w:w="1484" w:type="dxa"/>
            <w:tcBorders>
              <w:top w:val="single" w:sz="4" w:space="0" w:color="auto"/>
              <w:bottom w:val="single" w:sz="4" w:space="0" w:color="auto"/>
            </w:tcBorders>
            <w:vAlign w:val="center"/>
          </w:tcPr>
          <w:p w14:paraId="102C4193"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Denominator</w:t>
            </w:r>
          </w:p>
        </w:tc>
        <w:tc>
          <w:tcPr>
            <w:tcW w:w="1959" w:type="dxa"/>
            <w:tcBorders>
              <w:top w:val="single" w:sz="4" w:space="0" w:color="auto"/>
              <w:bottom w:val="single" w:sz="4" w:space="0" w:color="auto"/>
            </w:tcBorders>
            <w:vAlign w:val="center"/>
          </w:tcPr>
          <w:p w14:paraId="0CDC52DD"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Denominator units</w:t>
            </w:r>
          </w:p>
        </w:tc>
        <w:tc>
          <w:tcPr>
            <w:tcW w:w="1846" w:type="dxa"/>
            <w:tcBorders>
              <w:top w:val="nil"/>
              <w:bottom w:val="single" w:sz="4" w:space="0" w:color="auto"/>
            </w:tcBorders>
            <w:shd w:val="clear" w:color="auto" w:fill="auto"/>
            <w:noWrap/>
            <w:vAlign w:val="center"/>
            <w:hideMark/>
          </w:tcPr>
          <w:p w14:paraId="7B638D12"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Distribution</w:t>
            </w:r>
          </w:p>
        </w:tc>
        <w:tc>
          <w:tcPr>
            <w:tcW w:w="2989" w:type="dxa"/>
            <w:tcBorders>
              <w:top w:val="nil"/>
              <w:bottom w:val="single" w:sz="4" w:space="0" w:color="auto"/>
            </w:tcBorders>
            <w:shd w:val="clear" w:color="auto" w:fill="auto"/>
            <w:noWrap/>
            <w:vAlign w:val="center"/>
            <w:hideMark/>
          </w:tcPr>
          <w:p w14:paraId="3527F2DC"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Variable</w:t>
            </w:r>
          </w:p>
        </w:tc>
        <w:tc>
          <w:tcPr>
            <w:tcW w:w="2660" w:type="dxa"/>
            <w:tcBorders>
              <w:top w:val="nil"/>
              <w:bottom w:val="single" w:sz="4" w:space="0" w:color="auto"/>
            </w:tcBorders>
            <w:shd w:val="clear" w:color="auto" w:fill="auto"/>
            <w:noWrap/>
            <w:vAlign w:val="center"/>
            <w:hideMark/>
          </w:tcPr>
          <w:p w14:paraId="589CBD8F"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Data source</w:t>
            </w:r>
          </w:p>
        </w:tc>
      </w:tr>
      <w:tr w:rsidR="00510550" w:rsidRPr="009C6046" w14:paraId="1BA46032" w14:textId="77777777" w:rsidTr="00D3148C">
        <w:trPr>
          <w:trHeight w:val="300"/>
        </w:trPr>
        <w:tc>
          <w:tcPr>
            <w:tcW w:w="1251" w:type="dxa"/>
            <w:tcBorders>
              <w:top w:val="single" w:sz="4" w:space="0" w:color="auto"/>
            </w:tcBorders>
            <w:shd w:val="clear" w:color="auto" w:fill="auto"/>
            <w:noWrap/>
            <w:vAlign w:val="center"/>
            <w:hideMark/>
          </w:tcPr>
          <w:p w14:paraId="5B99DD5B" w14:textId="77777777" w:rsidR="00510550" w:rsidRPr="009C6046" w:rsidRDefault="00510550" w:rsidP="00D3148C">
            <w:pPr>
              <w:jc w:val="center"/>
              <w:rPr>
                <w:rFonts w:eastAsia="Times New Roman" w:cs="Times New Roman"/>
                <w:i/>
                <w:color w:val="000000" w:themeColor="text1"/>
                <w:sz w:val="20"/>
                <w:szCs w:val="20"/>
              </w:rPr>
            </w:pPr>
            <w:r w:rsidRPr="009C6046">
              <w:rPr>
                <w:rFonts w:eastAsia="Times New Roman" w:cs="Times New Roman"/>
                <w:i/>
                <w:color w:val="000000" w:themeColor="text1"/>
                <w:sz w:val="20"/>
                <w:szCs w:val="20"/>
              </w:rPr>
              <w:t>c</w:t>
            </w:r>
            <w:r w:rsidRPr="009C6046">
              <w:rPr>
                <w:rFonts w:eastAsia="Times New Roman" w:cs="Times New Roman"/>
                <w:i/>
                <w:color w:val="000000" w:themeColor="text1"/>
                <w:sz w:val="20"/>
                <w:szCs w:val="20"/>
                <w:vertAlign w:val="subscript"/>
              </w:rPr>
              <w:t>p</w:t>
            </w:r>
          </w:p>
        </w:tc>
        <w:tc>
          <w:tcPr>
            <w:tcW w:w="1250" w:type="dxa"/>
            <w:tcBorders>
              <w:top w:val="single" w:sz="4" w:space="0" w:color="auto"/>
            </w:tcBorders>
            <w:vAlign w:val="center"/>
          </w:tcPr>
          <w:p w14:paraId="38CDC347"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0.0471</w:t>
            </w:r>
          </w:p>
        </w:tc>
        <w:tc>
          <w:tcPr>
            <w:tcW w:w="1484" w:type="dxa"/>
            <w:tcBorders>
              <w:top w:val="single" w:sz="4" w:space="0" w:color="auto"/>
            </w:tcBorders>
            <w:vAlign w:val="center"/>
          </w:tcPr>
          <w:p w14:paraId="48C93EC1"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4658.6</w:t>
            </w:r>
          </w:p>
        </w:tc>
        <w:tc>
          <w:tcPr>
            <w:tcW w:w="1959" w:type="dxa"/>
            <w:tcBorders>
              <w:top w:val="single" w:sz="4" w:space="0" w:color="auto"/>
            </w:tcBorders>
            <w:vAlign w:val="center"/>
          </w:tcPr>
          <w:p w14:paraId="6B794249"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Person-years</w:t>
            </w:r>
          </w:p>
        </w:tc>
        <w:tc>
          <w:tcPr>
            <w:tcW w:w="1846" w:type="dxa"/>
            <w:tcBorders>
              <w:top w:val="single" w:sz="4" w:space="0" w:color="auto"/>
            </w:tcBorders>
            <w:shd w:val="clear" w:color="auto" w:fill="auto"/>
            <w:noWrap/>
            <w:vAlign w:val="center"/>
            <w:hideMark/>
          </w:tcPr>
          <w:p w14:paraId="25F0D1FF"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N(-3.06,0.09)</w:t>
            </w:r>
          </w:p>
        </w:tc>
        <w:tc>
          <w:tcPr>
            <w:tcW w:w="2989" w:type="dxa"/>
            <w:tcBorders>
              <w:top w:val="single" w:sz="4" w:space="0" w:color="auto"/>
            </w:tcBorders>
            <w:shd w:val="clear" w:color="auto" w:fill="auto"/>
            <w:noWrap/>
            <w:vAlign w:val="center"/>
            <w:hideMark/>
          </w:tcPr>
          <w:p w14:paraId="22B4F7A2"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Population rate</w:t>
            </w:r>
          </w:p>
        </w:tc>
        <w:tc>
          <w:tcPr>
            <w:tcW w:w="2660" w:type="dxa"/>
            <w:tcBorders>
              <w:top w:val="single" w:sz="4" w:space="0" w:color="auto"/>
            </w:tcBorders>
            <w:shd w:val="clear" w:color="auto" w:fill="auto"/>
            <w:noWrap/>
            <w:vAlign w:val="center"/>
            <w:hideMark/>
          </w:tcPr>
          <w:p w14:paraId="138CCD15"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 xml:space="preserve">IID2 Cohort Study </w:t>
            </w:r>
            <w:r w:rsidRPr="009C6046">
              <w:rPr>
                <w:rFonts w:eastAsia="Times New Roman" w:cs="Times New Roman"/>
                <w:color w:val="000000" w:themeColor="text1"/>
                <w:sz w:val="20"/>
                <w:szCs w:val="20"/>
              </w:rPr>
              <w:fldChar w:fldCharType="begin" w:fldLock="1"/>
            </w:r>
            <w:r w:rsidRPr="009C6046">
              <w:rPr>
                <w:rFonts w:eastAsia="Times New Roman" w:cs="Times New Roman"/>
                <w:color w:val="000000" w:themeColor="text1"/>
                <w:sz w:val="20"/>
                <w:szCs w:val="20"/>
              </w:rPr>
              <w:instrText>ADDIN CSL_CITATION { "citationItems" : [ { "id" : "ITEM-1", "itemData" : { "author" : [ { "dropping-particle" : "", "family" : "Tam", "given" : "C C", "non-dropping-particle" : "", "parse-names" : false, "suffix" : "" }, { "dropping-particle" : "", "family" : "Rodrigues", "given" : "L C", "non-dropping-particle" : "", "parse-names" : false, "suffix" : "" }, { "dropping-particle" : "", "family" : "Viviani", "given" : "Laura", "non-dropping-particle" : "", "parse-names" : false, "suffix" : "" }, { "dropping-particle" : "", "family" : "Dodds", "given" : "J P", "non-dropping-particle" : "", "parse-names" : false, "suffix" : "" }, { "dropping-particle" : "", "family" : "Evans", "given" : "M R", "non-dropping-particle" : "", "parse-names" : false, "suffix" : "" }, { "dropping-particle" : "", "family" : "Hunter", "given" : "P R", "non-dropping-particle" : "", "parse-names" : false, "suffix" : "" }, { "dropping-particle" : "", "family" : "Gray", "given" : "J J", "non-dropping-particle" : "", "parse-names" : false, "suffix" : "" }, { "dropping-particle" : "", "family" : "Letley", "given" : "L H", "non-dropping-particle" : "", "parse-names" : false, "suffix" : "" }, { "dropping-particle" : "", "family" : "Rait", "given" : "G", "non-dropping-particle" : "", "parse-names" : false, "suffix" : "" }, { "dropping-particle" : "", "family" : "Tompkins", "given" : "D S", "non-dropping-particle" : "", "parse-names" : false, "suffix" : "" }, { "dropping-particle" : "", "family" : "others", "given" : "", "non-dropping-particle" : "", "parse-names" : false, "suffix" : "" } ], "container-title" : "Gut", "id" : "ITEM-1", "issue" : "1", "issued" : { "date-parts" : [ [ "2012" ] ] }, "page" : "69-77", "publisher" : "BMJ Group", "title" : "Longitudinal study of infectious intestinal disease in the UK (IID2 study): incidence in the community and presenting to general practice", "type" : "article-journal", "volume" : "61" }, "uris" : [ "http://www.mendeley.com/documents/?uuid=16664c79-750a-4b0a-96ec-4a358c58b21a" ] } ], "mendeley" : { "formattedCitation" : "[1]", "plainTextFormattedCitation" : "[1]", "previouslyFormattedCitation" : "[1]" }, "properties" : { "noteIndex" : 0 }, "schema" : "https://github.com/citation-style-language/schema/raw/master/csl-citation.json" }</w:instrText>
            </w:r>
            <w:r w:rsidRPr="009C6046">
              <w:rPr>
                <w:rFonts w:eastAsia="Times New Roman" w:cs="Times New Roman"/>
                <w:color w:val="000000" w:themeColor="text1"/>
                <w:sz w:val="20"/>
                <w:szCs w:val="20"/>
              </w:rPr>
              <w:fldChar w:fldCharType="separate"/>
            </w:r>
            <w:r w:rsidRPr="009C6046">
              <w:rPr>
                <w:rFonts w:eastAsia="Times New Roman" w:cs="Times New Roman"/>
                <w:noProof/>
                <w:color w:val="000000" w:themeColor="text1"/>
                <w:sz w:val="20"/>
                <w:szCs w:val="20"/>
              </w:rPr>
              <w:t>[1]</w:t>
            </w:r>
            <w:r w:rsidRPr="009C6046">
              <w:rPr>
                <w:rFonts w:eastAsia="Times New Roman" w:cs="Times New Roman"/>
                <w:color w:val="000000" w:themeColor="text1"/>
                <w:sz w:val="20"/>
                <w:szCs w:val="20"/>
              </w:rPr>
              <w:fldChar w:fldCharType="end"/>
            </w:r>
          </w:p>
        </w:tc>
      </w:tr>
      <w:tr w:rsidR="00510550" w:rsidRPr="009C6046" w14:paraId="2A47D158" w14:textId="77777777" w:rsidTr="00D3148C">
        <w:trPr>
          <w:trHeight w:val="300"/>
        </w:trPr>
        <w:tc>
          <w:tcPr>
            <w:tcW w:w="1251" w:type="dxa"/>
            <w:shd w:val="clear" w:color="auto" w:fill="auto"/>
            <w:noWrap/>
            <w:vAlign w:val="center"/>
            <w:hideMark/>
          </w:tcPr>
          <w:p w14:paraId="0C0B0F2C" w14:textId="77777777" w:rsidR="00510550" w:rsidRPr="009C6046" w:rsidRDefault="00510550" w:rsidP="00D3148C">
            <w:pPr>
              <w:jc w:val="center"/>
              <w:rPr>
                <w:rFonts w:eastAsia="Times New Roman" w:cs="Times New Roman"/>
                <w:i/>
                <w:color w:val="000000" w:themeColor="text1"/>
                <w:sz w:val="20"/>
                <w:szCs w:val="20"/>
              </w:rPr>
            </w:pPr>
            <w:r w:rsidRPr="009C6046">
              <w:rPr>
                <w:rFonts w:eastAsia="Times New Roman" w:cs="Times New Roman"/>
                <w:i/>
                <w:color w:val="000000" w:themeColor="text1"/>
                <w:sz w:val="20"/>
                <w:szCs w:val="20"/>
              </w:rPr>
              <w:t>g</w:t>
            </w:r>
            <w:r w:rsidRPr="009C6046">
              <w:rPr>
                <w:rFonts w:eastAsia="Times New Roman" w:cs="Times New Roman"/>
                <w:i/>
                <w:color w:val="000000" w:themeColor="text1"/>
                <w:sz w:val="20"/>
                <w:szCs w:val="20"/>
                <w:vertAlign w:val="subscript"/>
              </w:rPr>
              <w:t>p</w:t>
            </w:r>
          </w:p>
        </w:tc>
        <w:tc>
          <w:tcPr>
            <w:tcW w:w="1250" w:type="dxa"/>
            <w:vAlign w:val="center"/>
          </w:tcPr>
          <w:p w14:paraId="1F51B685"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0.00210</w:t>
            </w:r>
          </w:p>
        </w:tc>
        <w:tc>
          <w:tcPr>
            <w:tcW w:w="1484" w:type="dxa"/>
            <w:vAlign w:val="center"/>
          </w:tcPr>
          <w:p w14:paraId="1CD3D440"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312,232</w:t>
            </w:r>
          </w:p>
        </w:tc>
        <w:tc>
          <w:tcPr>
            <w:tcW w:w="1959" w:type="dxa"/>
            <w:vAlign w:val="center"/>
          </w:tcPr>
          <w:p w14:paraId="05825D1E"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Person-years</w:t>
            </w:r>
          </w:p>
        </w:tc>
        <w:tc>
          <w:tcPr>
            <w:tcW w:w="1846" w:type="dxa"/>
            <w:shd w:val="clear" w:color="auto" w:fill="auto"/>
            <w:noWrap/>
            <w:vAlign w:val="center"/>
            <w:hideMark/>
          </w:tcPr>
          <w:p w14:paraId="753AEE69"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N(-6.18,0.19)</w:t>
            </w:r>
          </w:p>
        </w:tc>
        <w:tc>
          <w:tcPr>
            <w:tcW w:w="2989" w:type="dxa"/>
            <w:shd w:val="clear" w:color="auto" w:fill="auto"/>
            <w:noWrap/>
            <w:vAlign w:val="center"/>
            <w:hideMark/>
          </w:tcPr>
          <w:p w14:paraId="70D919EB"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GP consultation rate</w:t>
            </w:r>
          </w:p>
        </w:tc>
        <w:tc>
          <w:tcPr>
            <w:tcW w:w="2660" w:type="dxa"/>
            <w:shd w:val="clear" w:color="auto" w:fill="auto"/>
            <w:noWrap/>
            <w:vAlign w:val="center"/>
            <w:hideMark/>
          </w:tcPr>
          <w:p w14:paraId="53C43C3D"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 xml:space="preserve">IID2 GP Presentation Study </w:t>
            </w:r>
            <w:r w:rsidRPr="009C6046">
              <w:rPr>
                <w:rFonts w:eastAsia="Times New Roman" w:cs="Times New Roman"/>
                <w:color w:val="000000" w:themeColor="text1"/>
                <w:sz w:val="20"/>
                <w:szCs w:val="20"/>
              </w:rPr>
              <w:fldChar w:fldCharType="begin" w:fldLock="1"/>
            </w:r>
            <w:r w:rsidRPr="009C6046">
              <w:rPr>
                <w:rFonts w:eastAsia="Times New Roman" w:cs="Times New Roman"/>
                <w:color w:val="000000" w:themeColor="text1"/>
                <w:sz w:val="20"/>
                <w:szCs w:val="20"/>
              </w:rPr>
              <w:instrText>ADDIN CSL_CITATION { "citationItems" : [ { "id" : "ITEM-1", "itemData" : { "author" : [ { "dropping-particle" : "", "family" : "Tam", "given" : "C C", "non-dropping-particle" : "", "parse-names" : false, "suffix" : "" }, { "dropping-particle" : "", "family" : "Rodrigues", "given" : "L C", "non-dropping-particle" : "", "parse-names" : false, "suffix" : "" }, { "dropping-particle" : "", "family" : "Viviani", "given" : "Laura", "non-dropping-particle" : "", "parse-names" : false, "suffix" : "" }, { "dropping-particle" : "", "family" : "Dodds", "given" : "J P", "non-dropping-particle" : "", "parse-names" : false, "suffix" : "" }, { "dropping-particle" : "", "family" : "Evans", "given" : "M R", "non-dropping-particle" : "", "parse-names" : false, "suffix" : "" }, { "dropping-particle" : "", "family" : "Hunter", "given" : "P R", "non-dropping-particle" : "", "parse-names" : false, "suffix" : "" }, { "dropping-particle" : "", "family" : "Gray", "given" : "J J", "non-dropping-particle" : "", "parse-names" : false, "suffix" : "" }, { "dropping-particle" : "", "family" : "Letley", "given" : "L H", "non-dropping-particle" : "", "parse-names" : false, "suffix" : "" }, { "dropping-particle" : "", "family" : "Rait", "given" : "G", "non-dropping-particle" : "", "parse-names" : false, "suffix" : "" }, { "dropping-particle" : "", "family" : "Tompkins", "given" : "D S", "non-dropping-particle" : "", "parse-names" : false, "suffix" : "" }, { "dropping-particle" : "", "family" : "others", "given" : "", "non-dropping-particle" : "", "parse-names" : false, "suffix" : "" } ], "container-title" : "Gut", "id" : "ITEM-1", "issue" : "1", "issued" : { "date-parts" : [ [ "2012" ] ] }, "page" : "69-77", "publisher" : "BMJ Group", "title" : "Longitudinal study of infectious intestinal disease in the UK (IID2 study): incidence in the community and presenting to general practice", "type" : "article-journal", "volume" : "61" }, "uris" : [ "http://www.mendeley.com/documents/?uuid=16664c79-750a-4b0a-96ec-4a358c58b21a" ] } ], "mendeley" : { "formattedCitation" : "[1]", "plainTextFormattedCitation" : "[1]", "previouslyFormattedCitation" : "[1]" }, "properties" : { "noteIndex" : 0 }, "schema" : "https://github.com/citation-style-language/schema/raw/master/csl-citation.json" }</w:instrText>
            </w:r>
            <w:r w:rsidRPr="009C6046">
              <w:rPr>
                <w:rFonts w:eastAsia="Times New Roman" w:cs="Times New Roman"/>
                <w:color w:val="000000" w:themeColor="text1"/>
                <w:sz w:val="20"/>
                <w:szCs w:val="20"/>
              </w:rPr>
              <w:fldChar w:fldCharType="separate"/>
            </w:r>
            <w:r w:rsidRPr="009C6046">
              <w:rPr>
                <w:rFonts w:eastAsia="Times New Roman" w:cs="Times New Roman"/>
                <w:noProof/>
                <w:color w:val="000000" w:themeColor="text1"/>
                <w:sz w:val="20"/>
                <w:szCs w:val="20"/>
              </w:rPr>
              <w:t>[1]</w:t>
            </w:r>
            <w:r w:rsidRPr="009C6046">
              <w:rPr>
                <w:rFonts w:eastAsia="Times New Roman" w:cs="Times New Roman"/>
                <w:color w:val="000000" w:themeColor="text1"/>
                <w:sz w:val="20"/>
                <w:szCs w:val="20"/>
              </w:rPr>
              <w:fldChar w:fldCharType="end"/>
            </w:r>
          </w:p>
        </w:tc>
      </w:tr>
      <w:tr w:rsidR="00510550" w:rsidRPr="009C6046" w14:paraId="1A87BEA0" w14:textId="77777777" w:rsidTr="00D3148C">
        <w:trPr>
          <w:trHeight w:val="300"/>
        </w:trPr>
        <w:tc>
          <w:tcPr>
            <w:tcW w:w="1251" w:type="dxa"/>
            <w:shd w:val="clear" w:color="auto" w:fill="auto"/>
            <w:noWrap/>
            <w:vAlign w:val="center"/>
            <w:hideMark/>
          </w:tcPr>
          <w:p w14:paraId="2036E700" w14:textId="77777777" w:rsidR="00510550" w:rsidRPr="009C6046" w:rsidRDefault="00510550" w:rsidP="00D3148C">
            <w:pPr>
              <w:jc w:val="center"/>
              <w:rPr>
                <w:rFonts w:eastAsia="Times New Roman" w:cs="Times New Roman"/>
                <w:i/>
                <w:color w:val="000000" w:themeColor="text1"/>
                <w:sz w:val="20"/>
                <w:szCs w:val="20"/>
              </w:rPr>
            </w:pPr>
            <w:r w:rsidRPr="009C6046">
              <w:rPr>
                <w:rFonts w:eastAsia="Times New Roman" w:cs="Times New Roman"/>
                <w:i/>
                <w:color w:val="000000" w:themeColor="text1"/>
                <w:sz w:val="20"/>
                <w:szCs w:val="20"/>
              </w:rPr>
              <w:t>a</w:t>
            </w:r>
          </w:p>
        </w:tc>
        <w:tc>
          <w:tcPr>
            <w:tcW w:w="1250" w:type="dxa"/>
            <w:vAlign w:val="center"/>
          </w:tcPr>
          <w:p w14:paraId="7548B028"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0.0197</w:t>
            </w:r>
          </w:p>
        </w:tc>
        <w:tc>
          <w:tcPr>
            <w:tcW w:w="1484" w:type="dxa"/>
            <w:vAlign w:val="center"/>
          </w:tcPr>
          <w:p w14:paraId="009AE17A"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1323</w:t>
            </w:r>
          </w:p>
        </w:tc>
        <w:tc>
          <w:tcPr>
            <w:tcW w:w="1959" w:type="dxa"/>
            <w:vAlign w:val="center"/>
          </w:tcPr>
          <w:p w14:paraId="50C8AB02"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Cases</w:t>
            </w:r>
          </w:p>
        </w:tc>
        <w:tc>
          <w:tcPr>
            <w:tcW w:w="1846" w:type="dxa"/>
            <w:shd w:val="clear" w:color="auto" w:fill="auto"/>
            <w:noWrap/>
            <w:vAlign w:val="center"/>
            <w:hideMark/>
          </w:tcPr>
          <w:p w14:paraId="3D555394"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Beta(25.3,1262.4)</w:t>
            </w:r>
          </w:p>
        </w:tc>
        <w:tc>
          <w:tcPr>
            <w:tcW w:w="2989" w:type="dxa"/>
            <w:shd w:val="clear" w:color="auto" w:fill="auto"/>
            <w:noWrap/>
            <w:vAlign w:val="center"/>
            <w:hideMark/>
          </w:tcPr>
          <w:p w14:paraId="0D7430A2"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Telephone health and advice line</w:t>
            </w:r>
          </w:p>
        </w:tc>
        <w:tc>
          <w:tcPr>
            <w:tcW w:w="2660" w:type="dxa"/>
            <w:shd w:val="clear" w:color="auto" w:fill="auto"/>
            <w:noWrap/>
            <w:vAlign w:val="center"/>
            <w:hideMark/>
          </w:tcPr>
          <w:p w14:paraId="3D7A5E7D"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IID2 Cohort Study</w:t>
            </w:r>
          </w:p>
        </w:tc>
      </w:tr>
      <w:tr w:rsidR="00510550" w:rsidRPr="009C6046" w14:paraId="44F9ECA7" w14:textId="77777777" w:rsidTr="00D3148C">
        <w:trPr>
          <w:trHeight w:val="300"/>
        </w:trPr>
        <w:tc>
          <w:tcPr>
            <w:tcW w:w="1251" w:type="dxa"/>
            <w:shd w:val="clear" w:color="auto" w:fill="auto"/>
            <w:noWrap/>
            <w:vAlign w:val="center"/>
            <w:hideMark/>
          </w:tcPr>
          <w:p w14:paraId="64A8B21A" w14:textId="77777777" w:rsidR="00510550" w:rsidRPr="009C6046" w:rsidRDefault="00510550" w:rsidP="00D3148C">
            <w:pPr>
              <w:jc w:val="center"/>
              <w:rPr>
                <w:rFonts w:eastAsia="Times New Roman" w:cs="Times New Roman"/>
                <w:i/>
                <w:color w:val="000000" w:themeColor="text1"/>
                <w:sz w:val="20"/>
                <w:szCs w:val="20"/>
              </w:rPr>
            </w:pPr>
            <w:r w:rsidRPr="009C6046">
              <w:rPr>
                <w:rFonts w:eastAsia="Times New Roman" w:cs="Times New Roman"/>
                <w:i/>
                <w:color w:val="000000" w:themeColor="text1"/>
                <w:sz w:val="20"/>
                <w:szCs w:val="20"/>
              </w:rPr>
              <w:t>o</w:t>
            </w:r>
            <w:r w:rsidRPr="009C6046">
              <w:rPr>
                <w:rFonts w:eastAsia="Times New Roman" w:cs="Times New Roman"/>
                <w:i/>
                <w:color w:val="000000" w:themeColor="text1"/>
                <w:sz w:val="20"/>
                <w:szCs w:val="20"/>
                <w:vertAlign w:val="subscript"/>
              </w:rPr>
              <w:t>p</w:t>
            </w:r>
          </w:p>
        </w:tc>
        <w:tc>
          <w:tcPr>
            <w:tcW w:w="1250" w:type="dxa"/>
            <w:vAlign w:val="center"/>
          </w:tcPr>
          <w:p w14:paraId="36C56F34"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0.131</w:t>
            </w:r>
          </w:p>
        </w:tc>
        <w:tc>
          <w:tcPr>
            <w:tcW w:w="1484" w:type="dxa"/>
            <w:vAlign w:val="center"/>
          </w:tcPr>
          <w:p w14:paraId="4F47FCF9"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122</w:t>
            </w:r>
          </w:p>
        </w:tc>
        <w:tc>
          <w:tcPr>
            <w:tcW w:w="1959" w:type="dxa"/>
            <w:vAlign w:val="center"/>
          </w:tcPr>
          <w:p w14:paraId="17C0C98E"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Cases</w:t>
            </w:r>
          </w:p>
        </w:tc>
        <w:tc>
          <w:tcPr>
            <w:tcW w:w="1846" w:type="dxa"/>
            <w:shd w:val="clear" w:color="auto" w:fill="auto"/>
            <w:noWrap/>
            <w:vAlign w:val="center"/>
            <w:hideMark/>
          </w:tcPr>
          <w:p w14:paraId="5A01120B"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Beta(15.5,102.8)</w:t>
            </w:r>
          </w:p>
        </w:tc>
        <w:tc>
          <w:tcPr>
            <w:tcW w:w="2989" w:type="dxa"/>
            <w:shd w:val="clear" w:color="auto" w:fill="auto"/>
            <w:noWrap/>
            <w:vAlign w:val="center"/>
            <w:hideMark/>
          </w:tcPr>
          <w:p w14:paraId="761E1871"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Out-of-hours consultation</w:t>
            </w:r>
          </w:p>
        </w:tc>
        <w:tc>
          <w:tcPr>
            <w:tcW w:w="2660" w:type="dxa"/>
            <w:shd w:val="clear" w:color="auto" w:fill="auto"/>
            <w:noWrap/>
            <w:vAlign w:val="center"/>
            <w:hideMark/>
          </w:tcPr>
          <w:p w14:paraId="7B9CAF31"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IID2 GP Presentation Study</w:t>
            </w:r>
          </w:p>
        </w:tc>
      </w:tr>
      <w:tr w:rsidR="00510550" w:rsidRPr="009C6046" w14:paraId="62E4D487" w14:textId="77777777" w:rsidTr="00D3148C">
        <w:trPr>
          <w:trHeight w:val="300"/>
        </w:trPr>
        <w:tc>
          <w:tcPr>
            <w:tcW w:w="1251" w:type="dxa"/>
            <w:shd w:val="clear" w:color="auto" w:fill="auto"/>
            <w:noWrap/>
            <w:vAlign w:val="center"/>
            <w:hideMark/>
          </w:tcPr>
          <w:p w14:paraId="42F89444" w14:textId="77777777" w:rsidR="00510550" w:rsidRPr="009C6046" w:rsidRDefault="00510550" w:rsidP="00D3148C">
            <w:pPr>
              <w:jc w:val="center"/>
              <w:rPr>
                <w:rFonts w:eastAsia="Times New Roman" w:cs="Times New Roman"/>
                <w:i/>
                <w:color w:val="000000" w:themeColor="text1"/>
                <w:sz w:val="20"/>
                <w:szCs w:val="20"/>
              </w:rPr>
            </w:pPr>
            <w:r w:rsidRPr="009C6046">
              <w:rPr>
                <w:rFonts w:eastAsia="Times New Roman" w:cs="Times New Roman"/>
                <w:i/>
                <w:color w:val="000000" w:themeColor="text1"/>
                <w:sz w:val="20"/>
                <w:szCs w:val="20"/>
              </w:rPr>
              <w:t>t</w:t>
            </w:r>
            <w:r w:rsidRPr="009C6046">
              <w:rPr>
                <w:rFonts w:eastAsia="Times New Roman" w:cs="Times New Roman"/>
                <w:i/>
                <w:color w:val="000000" w:themeColor="text1"/>
                <w:sz w:val="20"/>
                <w:szCs w:val="20"/>
                <w:vertAlign w:val="subscript"/>
              </w:rPr>
              <w:t>p</w:t>
            </w:r>
          </w:p>
        </w:tc>
        <w:tc>
          <w:tcPr>
            <w:tcW w:w="1250" w:type="dxa"/>
            <w:vAlign w:val="center"/>
          </w:tcPr>
          <w:p w14:paraId="555CC720"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0.451</w:t>
            </w:r>
          </w:p>
        </w:tc>
        <w:tc>
          <w:tcPr>
            <w:tcW w:w="1484" w:type="dxa"/>
            <w:vAlign w:val="center"/>
          </w:tcPr>
          <w:p w14:paraId="634FE8F8"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122</w:t>
            </w:r>
          </w:p>
        </w:tc>
        <w:tc>
          <w:tcPr>
            <w:tcW w:w="1959" w:type="dxa"/>
            <w:vAlign w:val="center"/>
          </w:tcPr>
          <w:p w14:paraId="0BA963D7"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Cases</w:t>
            </w:r>
          </w:p>
        </w:tc>
        <w:tc>
          <w:tcPr>
            <w:tcW w:w="1846" w:type="dxa"/>
            <w:shd w:val="clear" w:color="auto" w:fill="auto"/>
            <w:noWrap/>
            <w:vAlign w:val="center"/>
            <w:hideMark/>
          </w:tcPr>
          <w:p w14:paraId="7C67D83D"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Beta(53.4,65.1)</w:t>
            </w:r>
          </w:p>
        </w:tc>
        <w:tc>
          <w:tcPr>
            <w:tcW w:w="2989" w:type="dxa"/>
            <w:shd w:val="clear" w:color="auto" w:fill="auto"/>
            <w:noWrap/>
            <w:vAlign w:val="center"/>
            <w:hideMark/>
          </w:tcPr>
          <w:p w14:paraId="36DF91A6"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GP telephone consultation</w:t>
            </w:r>
          </w:p>
        </w:tc>
        <w:tc>
          <w:tcPr>
            <w:tcW w:w="2660" w:type="dxa"/>
            <w:shd w:val="clear" w:color="auto" w:fill="auto"/>
            <w:noWrap/>
            <w:vAlign w:val="center"/>
            <w:hideMark/>
          </w:tcPr>
          <w:p w14:paraId="39E35FF4"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IID2 GP Presentation Study</w:t>
            </w:r>
          </w:p>
        </w:tc>
      </w:tr>
      <w:tr w:rsidR="00510550" w:rsidRPr="009C6046" w14:paraId="0C50079C" w14:textId="77777777" w:rsidTr="00D3148C">
        <w:trPr>
          <w:trHeight w:val="300"/>
        </w:trPr>
        <w:tc>
          <w:tcPr>
            <w:tcW w:w="1251" w:type="dxa"/>
            <w:shd w:val="clear" w:color="auto" w:fill="auto"/>
            <w:noWrap/>
            <w:vAlign w:val="center"/>
            <w:hideMark/>
          </w:tcPr>
          <w:p w14:paraId="7FBA246B" w14:textId="77777777" w:rsidR="00510550" w:rsidRPr="009C6046" w:rsidRDefault="00510550" w:rsidP="00D3148C">
            <w:pPr>
              <w:jc w:val="center"/>
              <w:rPr>
                <w:rFonts w:eastAsia="Times New Roman" w:cs="Times New Roman"/>
                <w:i/>
                <w:color w:val="000000" w:themeColor="text1"/>
                <w:sz w:val="20"/>
                <w:szCs w:val="20"/>
              </w:rPr>
            </w:pPr>
            <w:r w:rsidRPr="009C6046">
              <w:rPr>
                <w:rFonts w:eastAsia="Times New Roman" w:cs="Times New Roman"/>
                <w:i/>
                <w:color w:val="000000" w:themeColor="text1"/>
                <w:sz w:val="20"/>
                <w:szCs w:val="20"/>
              </w:rPr>
              <w:t>i</w:t>
            </w:r>
            <w:r w:rsidRPr="009C6046">
              <w:rPr>
                <w:rFonts w:eastAsia="Times New Roman" w:cs="Times New Roman"/>
                <w:i/>
                <w:color w:val="000000" w:themeColor="text1"/>
                <w:sz w:val="20"/>
                <w:szCs w:val="20"/>
                <w:vertAlign w:val="subscript"/>
              </w:rPr>
              <w:t>p</w:t>
            </w:r>
          </w:p>
        </w:tc>
        <w:tc>
          <w:tcPr>
            <w:tcW w:w="1250" w:type="dxa"/>
            <w:vAlign w:val="center"/>
          </w:tcPr>
          <w:p w14:paraId="231413DC"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0.672</w:t>
            </w:r>
          </w:p>
        </w:tc>
        <w:tc>
          <w:tcPr>
            <w:tcW w:w="1484" w:type="dxa"/>
            <w:vAlign w:val="center"/>
          </w:tcPr>
          <w:p w14:paraId="544AA37B"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122</w:t>
            </w:r>
          </w:p>
        </w:tc>
        <w:tc>
          <w:tcPr>
            <w:tcW w:w="1959" w:type="dxa"/>
            <w:vAlign w:val="center"/>
          </w:tcPr>
          <w:p w14:paraId="4E6E873D"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Cases</w:t>
            </w:r>
          </w:p>
        </w:tc>
        <w:tc>
          <w:tcPr>
            <w:tcW w:w="1846" w:type="dxa"/>
            <w:shd w:val="clear" w:color="auto" w:fill="auto"/>
            <w:noWrap/>
            <w:vAlign w:val="center"/>
            <w:hideMark/>
          </w:tcPr>
          <w:p w14:paraId="01471C09"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Beta(82.9,40.6)</w:t>
            </w:r>
          </w:p>
        </w:tc>
        <w:tc>
          <w:tcPr>
            <w:tcW w:w="2989" w:type="dxa"/>
            <w:shd w:val="clear" w:color="auto" w:fill="auto"/>
            <w:noWrap/>
            <w:vAlign w:val="center"/>
            <w:hideMark/>
          </w:tcPr>
          <w:p w14:paraId="200B35D3"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GP in-person consultation</w:t>
            </w:r>
          </w:p>
        </w:tc>
        <w:tc>
          <w:tcPr>
            <w:tcW w:w="2660" w:type="dxa"/>
            <w:shd w:val="clear" w:color="auto" w:fill="auto"/>
            <w:noWrap/>
            <w:vAlign w:val="center"/>
            <w:hideMark/>
          </w:tcPr>
          <w:p w14:paraId="691CAE1A"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IID2 GP Presentation Study</w:t>
            </w:r>
          </w:p>
        </w:tc>
      </w:tr>
      <w:tr w:rsidR="00510550" w:rsidRPr="009C6046" w14:paraId="68428559" w14:textId="77777777" w:rsidTr="00D3148C">
        <w:trPr>
          <w:trHeight w:val="300"/>
        </w:trPr>
        <w:tc>
          <w:tcPr>
            <w:tcW w:w="1251" w:type="dxa"/>
            <w:shd w:val="clear" w:color="auto" w:fill="auto"/>
            <w:noWrap/>
            <w:vAlign w:val="center"/>
            <w:hideMark/>
          </w:tcPr>
          <w:p w14:paraId="75409388" w14:textId="77777777" w:rsidR="00510550" w:rsidRPr="009C6046" w:rsidRDefault="00510550" w:rsidP="00D3148C">
            <w:pPr>
              <w:jc w:val="center"/>
              <w:rPr>
                <w:rFonts w:eastAsia="Times New Roman" w:cs="Times New Roman"/>
                <w:i/>
                <w:color w:val="000000" w:themeColor="text1"/>
                <w:sz w:val="20"/>
                <w:szCs w:val="20"/>
              </w:rPr>
            </w:pPr>
            <w:r w:rsidRPr="009C6046">
              <w:rPr>
                <w:rFonts w:eastAsia="Times New Roman" w:cs="Times New Roman"/>
                <w:i/>
                <w:color w:val="000000" w:themeColor="text1"/>
                <w:sz w:val="20"/>
                <w:szCs w:val="20"/>
              </w:rPr>
              <w:t>e</w:t>
            </w:r>
          </w:p>
        </w:tc>
        <w:tc>
          <w:tcPr>
            <w:tcW w:w="1250" w:type="dxa"/>
            <w:vAlign w:val="center"/>
          </w:tcPr>
          <w:p w14:paraId="4968BA86"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0.0106</w:t>
            </w:r>
          </w:p>
        </w:tc>
        <w:tc>
          <w:tcPr>
            <w:tcW w:w="1484" w:type="dxa"/>
            <w:vAlign w:val="center"/>
          </w:tcPr>
          <w:p w14:paraId="51C872BB"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1318</w:t>
            </w:r>
          </w:p>
        </w:tc>
        <w:tc>
          <w:tcPr>
            <w:tcW w:w="1959" w:type="dxa"/>
            <w:vAlign w:val="center"/>
          </w:tcPr>
          <w:p w14:paraId="11E657CA"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Cases</w:t>
            </w:r>
          </w:p>
        </w:tc>
        <w:tc>
          <w:tcPr>
            <w:tcW w:w="1846" w:type="dxa"/>
            <w:shd w:val="clear" w:color="auto" w:fill="auto"/>
            <w:noWrap/>
            <w:vAlign w:val="center"/>
            <w:hideMark/>
          </w:tcPr>
          <w:p w14:paraId="4CC28A6B"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Beta(13.6,1265.1)</w:t>
            </w:r>
          </w:p>
        </w:tc>
        <w:tc>
          <w:tcPr>
            <w:tcW w:w="2989" w:type="dxa"/>
            <w:shd w:val="clear" w:color="auto" w:fill="auto"/>
            <w:noWrap/>
            <w:vAlign w:val="center"/>
            <w:hideMark/>
          </w:tcPr>
          <w:p w14:paraId="5E4500E3"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Accident &amp; Emergency visits</w:t>
            </w:r>
          </w:p>
        </w:tc>
        <w:tc>
          <w:tcPr>
            <w:tcW w:w="2660" w:type="dxa"/>
            <w:shd w:val="clear" w:color="auto" w:fill="auto"/>
            <w:noWrap/>
            <w:vAlign w:val="center"/>
            <w:hideMark/>
          </w:tcPr>
          <w:p w14:paraId="183FF263"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IID2 Cohort Study</w:t>
            </w:r>
          </w:p>
        </w:tc>
      </w:tr>
      <w:tr w:rsidR="00510550" w:rsidRPr="009C6046" w14:paraId="2140402D" w14:textId="77777777" w:rsidTr="00D3148C">
        <w:trPr>
          <w:trHeight w:val="300"/>
        </w:trPr>
        <w:tc>
          <w:tcPr>
            <w:tcW w:w="1251" w:type="dxa"/>
            <w:shd w:val="clear" w:color="auto" w:fill="auto"/>
            <w:noWrap/>
            <w:vAlign w:val="center"/>
            <w:hideMark/>
          </w:tcPr>
          <w:p w14:paraId="5B0288D0" w14:textId="77777777" w:rsidR="00510550" w:rsidRPr="009C6046" w:rsidRDefault="00510550" w:rsidP="00D3148C">
            <w:pPr>
              <w:jc w:val="center"/>
              <w:rPr>
                <w:rFonts w:eastAsia="Times New Roman" w:cs="Times New Roman"/>
                <w:i/>
                <w:color w:val="000000" w:themeColor="text1"/>
                <w:sz w:val="20"/>
                <w:szCs w:val="20"/>
              </w:rPr>
            </w:pPr>
            <w:r w:rsidRPr="009C6046">
              <w:rPr>
                <w:rFonts w:eastAsia="Times New Roman" w:cs="Times New Roman"/>
                <w:i/>
                <w:color w:val="000000" w:themeColor="text1"/>
                <w:sz w:val="20"/>
                <w:szCs w:val="20"/>
              </w:rPr>
              <w:t>h</w:t>
            </w:r>
            <w:r w:rsidRPr="009C6046">
              <w:rPr>
                <w:rFonts w:eastAsia="Times New Roman" w:cs="Times New Roman"/>
                <w:i/>
                <w:color w:val="000000" w:themeColor="text1"/>
                <w:sz w:val="20"/>
                <w:szCs w:val="20"/>
                <w:vertAlign w:val="subscript"/>
              </w:rPr>
              <w:t>p1</w:t>
            </w:r>
          </w:p>
        </w:tc>
        <w:tc>
          <w:tcPr>
            <w:tcW w:w="1250" w:type="dxa"/>
            <w:vAlign w:val="center"/>
          </w:tcPr>
          <w:p w14:paraId="0B477978"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0.00649</w:t>
            </w:r>
          </w:p>
        </w:tc>
        <w:tc>
          <w:tcPr>
            <w:tcW w:w="1484" w:type="dxa"/>
            <w:vAlign w:val="center"/>
          </w:tcPr>
          <w:p w14:paraId="500BA545"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12333</w:t>
            </w:r>
          </w:p>
        </w:tc>
        <w:tc>
          <w:tcPr>
            <w:tcW w:w="1959" w:type="dxa"/>
            <w:vAlign w:val="center"/>
          </w:tcPr>
          <w:p w14:paraId="69D01624"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Cases</w:t>
            </w:r>
          </w:p>
        </w:tc>
        <w:tc>
          <w:tcPr>
            <w:tcW w:w="1846" w:type="dxa"/>
            <w:shd w:val="clear" w:color="auto" w:fill="auto"/>
            <w:noWrap/>
            <w:vAlign w:val="center"/>
            <w:hideMark/>
          </w:tcPr>
          <w:p w14:paraId="6EEE4741"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Beta(26.4,4037.4)</w:t>
            </w:r>
          </w:p>
        </w:tc>
        <w:tc>
          <w:tcPr>
            <w:tcW w:w="2989" w:type="dxa"/>
            <w:shd w:val="clear" w:color="auto" w:fill="auto"/>
            <w:noWrap/>
            <w:vAlign w:val="center"/>
            <w:hideMark/>
          </w:tcPr>
          <w:p w14:paraId="46308332"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Hospitalisation (scenario 1)</w:t>
            </w:r>
          </w:p>
        </w:tc>
        <w:tc>
          <w:tcPr>
            <w:tcW w:w="2660" w:type="dxa"/>
            <w:shd w:val="clear" w:color="auto" w:fill="auto"/>
            <w:noWrap/>
            <w:vAlign w:val="center"/>
            <w:hideMark/>
          </w:tcPr>
          <w:p w14:paraId="4E25F54C"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Outbreak data (Gsurv)</w:t>
            </w:r>
          </w:p>
        </w:tc>
      </w:tr>
      <w:tr w:rsidR="00510550" w:rsidRPr="009C6046" w14:paraId="5F76B819" w14:textId="77777777" w:rsidTr="00D3148C">
        <w:trPr>
          <w:trHeight w:val="300"/>
        </w:trPr>
        <w:tc>
          <w:tcPr>
            <w:tcW w:w="1251" w:type="dxa"/>
            <w:shd w:val="clear" w:color="auto" w:fill="auto"/>
            <w:noWrap/>
            <w:vAlign w:val="center"/>
            <w:hideMark/>
          </w:tcPr>
          <w:p w14:paraId="38EAB07A" w14:textId="77777777" w:rsidR="00510550" w:rsidRPr="009C6046" w:rsidRDefault="00510550" w:rsidP="00D3148C">
            <w:pPr>
              <w:jc w:val="center"/>
              <w:rPr>
                <w:rFonts w:eastAsia="Times New Roman" w:cs="Times New Roman"/>
                <w:i/>
                <w:color w:val="000000" w:themeColor="text1"/>
                <w:sz w:val="20"/>
                <w:szCs w:val="20"/>
              </w:rPr>
            </w:pPr>
            <w:r w:rsidRPr="009C6046">
              <w:rPr>
                <w:rFonts w:eastAsia="Times New Roman" w:cs="Times New Roman"/>
                <w:i/>
                <w:color w:val="000000" w:themeColor="text1"/>
                <w:sz w:val="20"/>
                <w:szCs w:val="20"/>
              </w:rPr>
              <w:t>h</w:t>
            </w:r>
            <w:r w:rsidRPr="009C6046">
              <w:rPr>
                <w:rFonts w:eastAsia="Times New Roman" w:cs="Times New Roman"/>
                <w:i/>
                <w:color w:val="000000" w:themeColor="text1"/>
                <w:sz w:val="20"/>
                <w:szCs w:val="20"/>
                <w:vertAlign w:val="subscript"/>
              </w:rPr>
              <w:t>p2</w:t>
            </w:r>
          </w:p>
        </w:tc>
        <w:tc>
          <w:tcPr>
            <w:tcW w:w="1250" w:type="dxa"/>
            <w:vAlign w:val="center"/>
          </w:tcPr>
          <w:p w14:paraId="1E80FFA8"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0.00246</w:t>
            </w:r>
          </w:p>
        </w:tc>
        <w:tc>
          <w:tcPr>
            <w:tcW w:w="1484" w:type="dxa"/>
            <w:vAlign w:val="center"/>
          </w:tcPr>
          <w:p w14:paraId="55DC8082"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201</w:t>
            </w:r>
          </w:p>
        </w:tc>
        <w:tc>
          <w:tcPr>
            <w:tcW w:w="1959" w:type="dxa"/>
            <w:vAlign w:val="center"/>
          </w:tcPr>
          <w:p w14:paraId="073AE913"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Cases</w:t>
            </w:r>
          </w:p>
        </w:tc>
        <w:tc>
          <w:tcPr>
            <w:tcW w:w="1846" w:type="dxa"/>
            <w:shd w:val="clear" w:color="auto" w:fill="auto"/>
            <w:noWrap/>
            <w:vAlign w:val="center"/>
            <w:hideMark/>
          </w:tcPr>
          <w:p w14:paraId="7A0C3C50"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Beta(3.2,1295.6)</w:t>
            </w:r>
          </w:p>
        </w:tc>
        <w:tc>
          <w:tcPr>
            <w:tcW w:w="2989" w:type="dxa"/>
            <w:shd w:val="clear" w:color="auto" w:fill="auto"/>
            <w:noWrap/>
            <w:vAlign w:val="center"/>
            <w:hideMark/>
          </w:tcPr>
          <w:p w14:paraId="4272D507"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Hospitalisation (scenario 2)</w:t>
            </w:r>
          </w:p>
        </w:tc>
        <w:tc>
          <w:tcPr>
            <w:tcW w:w="2660" w:type="dxa"/>
            <w:shd w:val="clear" w:color="auto" w:fill="auto"/>
            <w:noWrap/>
            <w:vAlign w:val="center"/>
            <w:hideMark/>
          </w:tcPr>
          <w:p w14:paraId="4A635312"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 xml:space="preserve">Combined IID1 &amp; IID2 GP Presentation Study data </w:t>
            </w:r>
          </w:p>
        </w:tc>
      </w:tr>
    </w:tbl>
    <w:p w14:paraId="688179C3" w14:textId="77777777" w:rsidR="00510550" w:rsidRPr="009C6046" w:rsidRDefault="00510550" w:rsidP="00510550">
      <w:pPr>
        <w:spacing w:line="240" w:lineRule="auto"/>
        <w:jc w:val="both"/>
        <w:rPr>
          <w:color w:val="000000" w:themeColor="text1"/>
        </w:rPr>
      </w:pPr>
      <w:r w:rsidRPr="009C6046">
        <w:rPr>
          <w:color w:val="000000" w:themeColor="text1"/>
        </w:rPr>
        <w:t>Health services are defined as follows: In-person GP consultation – a face-to-face consultation with a GP that takes place at the clinic; Telephone GP consultation – a consultation with a GP that takes place over the telephone; Out-of-hours consultation – a consultation with a dedicated service that provides health services outside GP operating hours (evenings and weekends); Accident &amp; Emergency visit – a consultation at a hospital Accident &amp; Emergency department; Telephone information and advice line – a telephone call to a dedicated service that provides syndrome-based medical triage and advice (at the time of this study, these services were NHS Direct in England and Wales, and NHS24 in Scotland); Hospital admission – an overnight stay in a hospital as a result of illness.</w:t>
      </w:r>
    </w:p>
    <w:p w14:paraId="4A291025" w14:textId="77777777" w:rsidR="00510550" w:rsidRPr="009C6046" w:rsidRDefault="00510550" w:rsidP="00510550">
      <w:pPr>
        <w:spacing w:line="240" w:lineRule="auto"/>
        <w:rPr>
          <w:color w:val="000000" w:themeColor="text1"/>
        </w:rPr>
        <w:sectPr w:rsidR="00510550" w:rsidRPr="009C6046" w:rsidSect="00CD52F5">
          <w:pgSz w:w="16840" w:h="11901" w:orient="landscape"/>
          <w:pgMar w:top="1440" w:right="1440" w:bottom="1440" w:left="1440" w:header="708" w:footer="708" w:gutter="0"/>
          <w:cols w:space="708"/>
          <w:docGrid w:linePitch="360"/>
        </w:sectPr>
      </w:pPr>
    </w:p>
    <w:p w14:paraId="245D4145" w14:textId="77777777" w:rsidR="00510550" w:rsidRPr="009C6046" w:rsidRDefault="00510550" w:rsidP="00510550">
      <w:pPr>
        <w:pStyle w:val="Heading2"/>
        <w:rPr>
          <w:color w:val="000000" w:themeColor="text1"/>
        </w:rPr>
      </w:pPr>
      <w:r w:rsidRPr="009C6046">
        <w:rPr>
          <w:color w:val="000000" w:themeColor="text1"/>
        </w:rPr>
        <w:t xml:space="preserve">Table </w:t>
      </w:r>
      <w:r w:rsidR="00404B59">
        <w:rPr>
          <w:color w:val="000000" w:themeColor="text1"/>
        </w:rPr>
        <w:t>C</w:t>
      </w:r>
      <w:r w:rsidRPr="009C6046">
        <w:rPr>
          <w:color w:val="000000" w:themeColor="text1"/>
        </w:rPr>
        <w:t>: Model parameters for rotavirus</w:t>
      </w:r>
    </w:p>
    <w:p w14:paraId="289DC823" w14:textId="77777777" w:rsidR="00510550" w:rsidRPr="009C6046" w:rsidRDefault="00510550" w:rsidP="00510550">
      <w:pPr>
        <w:rPr>
          <w:color w:val="000000" w:themeColor="text1"/>
        </w:rPr>
      </w:pPr>
    </w:p>
    <w:tbl>
      <w:tblPr>
        <w:tblW w:w="13439" w:type="dxa"/>
        <w:tblInd w:w="93" w:type="dxa"/>
        <w:tblBorders>
          <w:top w:val="single" w:sz="4" w:space="0" w:color="auto"/>
          <w:bottom w:val="single" w:sz="4" w:space="0" w:color="auto"/>
        </w:tblBorders>
        <w:tblLook w:val="04A0" w:firstRow="1" w:lastRow="0" w:firstColumn="1" w:lastColumn="0" w:noHBand="0" w:noVBand="1"/>
      </w:tblPr>
      <w:tblGrid>
        <w:gridCol w:w="1251"/>
        <w:gridCol w:w="1250"/>
        <w:gridCol w:w="1484"/>
        <w:gridCol w:w="1959"/>
        <w:gridCol w:w="1846"/>
        <w:gridCol w:w="2989"/>
        <w:gridCol w:w="2660"/>
      </w:tblGrid>
      <w:tr w:rsidR="00510550" w:rsidRPr="009C6046" w14:paraId="2ED2EF03" w14:textId="77777777" w:rsidTr="00D3148C">
        <w:trPr>
          <w:trHeight w:val="300"/>
        </w:trPr>
        <w:tc>
          <w:tcPr>
            <w:tcW w:w="1251" w:type="dxa"/>
            <w:tcBorders>
              <w:bottom w:val="nil"/>
            </w:tcBorders>
            <w:shd w:val="clear" w:color="auto" w:fill="auto"/>
            <w:noWrap/>
            <w:vAlign w:val="center"/>
          </w:tcPr>
          <w:p w14:paraId="4813B8E9" w14:textId="77777777" w:rsidR="00510550" w:rsidRPr="009C6046" w:rsidRDefault="00510550" w:rsidP="00D3148C">
            <w:pPr>
              <w:jc w:val="center"/>
              <w:rPr>
                <w:rFonts w:eastAsia="Times New Roman" w:cs="Times New Roman"/>
                <w:color w:val="000000" w:themeColor="text1"/>
                <w:sz w:val="20"/>
                <w:szCs w:val="20"/>
              </w:rPr>
            </w:pPr>
          </w:p>
        </w:tc>
        <w:tc>
          <w:tcPr>
            <w:tcW w:w="4693" w:type="dxa"/>
            <w:gridSpan w:val="3"/>
            <w:tcBorders>
              <w:top w:val="single" w:sz="4" w:space="0" w:color="auto"/>
              <w:bottom w:val="single" w:sz="4" w:space="0" w:color="auto"/>
            </w:tcBorders>
            <w:vAlign w:val="center"/>
          </w:tcPr>
          <w:p w14:paraId="37A9A673"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Data</w:t>
            </w:r>
          </w:p>
        </w:tc>
        <w:tc>
          <w:tcPr>
            <w:tcW w:w="1846" w:type="dxa"/>
            <w:tcBorders>
              <w:bottom w:val="nil"/>
            </w:tcBorders>
            <w:shd w:val="clear" w:color="auto" w:fill="auto"/>
            <w:noWrap/>
            <w:vAlign w:val="center"/>
          </w:tcPr>
          <w:p w14:paraId="02636186"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Model</w:t>
            </w:r>
          </w:p>
        </w:tc>
        <w:tc>
          <w:tcPr>
            <w:tcW w:w="2989" w:type="dxa"/>
            <w:tcBorders>
              <w:bottom w:val="nil"/>
            </w:tcBorders>
            <w:shd w:val="clear" w:color="auto" w:fill="auto"/>
            <w:noWrap/>
            <w:vAlign w:val="center"/>
          </w:tcPr>
          <w:p w14:paraId="39A0F9B1" w14:textId="77777777" w:rsidR="00510550" w:rsidRPr="009C6046" w:rsidRDefault="00510550" w:rsidP="00D3148C">
            <w:pPr>
              <w:jc w:val="center"/>
              <w:rPr>
                <w:rFonts w:eastAsia="Times New Roman" w:cs="Times New Roman"/>
                <w:color w:val="000000" w:themeColor="text1"/>
                <w:sz w:val="20"/>
                <w:szCs w:val="20"/>
              </w:rPr>
            </w:pPr>
          </w:p>
        </w:tc>
        <w:tc>
          <w:tcPr>
            <w:tcW w:w="2660" w:type="dxa"/>
            <w:tcBorders>
              <w:bottom w:val="nil"/>
            </w:tcBorders>
            <w:shd w:val="clear" w:color="auto" w:fill="auto"/>
            <w:noWrap/>
            <w:vAlign w:val="center"/>
          </w:tcPr>
          <w:p w14:paraId="6F97D4FD" w14:textId="77777777" w:rsidR="00510550" w:rsidRPr="009C6046" w:rsidRDefault="00510550" w:rsidP="00D3148C">
            <w:pPr>
              <w:jc w:val="center"/>
              <w:rPr>
                <w:rFonts w:eastAsia="Times New Roman" w:cs="Times New Roman"/>
                <w:color w:val="000000" w:themeColor="text1"/>
                <w:sz w:val="20"/>
                <w:szCs w:val="20"/>
              </w:rPr>
            </w:pPr>
          </w:p>
        </w:tc>
      </w:tr>
      <w:tr w:rsidR="00510550" w:rsidRPr="009C6046" w14:paraId="24E6F4F9" w14:textId="77777777" w:rsidTr="00D3148C">
        <w:trPr>
          <w:trHeight w:val="300"/>
        </w:trPr>
        <w:tc>
          <w:tcPr>
            <w:tcW w:w="1251" w:type="dxa"/>
            <w:tcBorders>
              <w:top w:val="nil"/>
              <w:bottom w:val="single" w:sz="4" w:space="0" w:color="auto"/>
            </w:tcBorders>
            <w:shd w:val="clear" w:color="auto" w:fill="auto"/>
            <w:noWrap/>
            <w:vAlign w:val="center"/>
            <w:hideMark/>
          </w:tcPr>
          <w:p w14:paraId="6D281EBA"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Parameter</w:t>
            </w:r>
          </w:p>
        </w:tc>
        <w:tc>
          <w:tcPr>
            <w:tcW w:w="1250" w:type="dxa"/>
            <w:tcBorders>
              <w:top w:val="single" w:sz="4" w:space="0" w:color="auto"/>
              <w:bottom w:val="single" w:sz="4" w:space="0" w:color="auto"/>
            </w:tcBorders>
            <w:vAlign w:val="center"/>
          </w:tcPr>
          <w:p w14:paraId="372FC134"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Mean</w:t>
            </w:r>
          </w:p>
        </w:tc>
        <w:tc>
          <w:tcPr>
            <w:tcW w:w="1484" w:type="dxa"/>
            <w:tcBorders>
              <w:top w:val="single" w:sz="4" w:space="0" w:color="auto"/>
              <w:bottom w:val="single" w:sz="4" w:space="0" w:color="auto"/>
            </w:tcBorders>
            <w:vAlign w:val="center"/>
          </w:tcPr>
          <w:p w14:paraId="3E13B6A4"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Denominator</w:t>
            </w:r>
          </w:p>
        </w:tc>
        <w:tc>
          <w:tcPr>
            <w:tcW w:w="1959" w:type="dxa"/>
            <w:tcBorders>
              <w:top w:val="single" w:sz="4" w:space="0" w:color="auto"/>
              <w:bottom w:val="single" w:sz="4" w:space="0" w:color="auto"/>
            </w:tcBorders>
            <w:vAlign w:val="center"/>
          </w:tcPr>
          <w:p w14:paraId="155287C0"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Denominator units</w:t>
            </w:r>
          </w:p>
        </w:tc>
        <w:tc>
          <w:tcPr>
            <w:tcW w:w="1846" w:type="dxa"/>
            <w:tcBorders>
              <w:top w:val="nil"/>
              <w:bottom w:val="single" w:sz="4" w:space="0" w:color="auto"/>
            </w:tcBorders>
            <w:shd w:val="clear" w:color="auto" w:fill="auto"/>
            <w:noWrap/>
            <w:vAlign w:val="center"/>
            <w:hideMark/>
          </w:tcPr>
          <w:p w14:paraId="1A2E7FE2"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Distribution</w:t>
            </w:r>
          </w:p>
        </w:tc>
        <w:tc>
          <w:tcPr>
            <w:tcW w:w="2989" w:type="dxa"/>
            <w:tcBorders>
              <w:top w:val="nil"/>
              <w:bottom w:val="single" w:sz="4" w:space="0" w:color="auto"/>
            </w:tcBorders>
            <w:shd w:val="clear" w:color="auto" w:fill="auto"/>
            <w:noWrap/>
            <w:vAlign w:val="center"/>
            <w:hideMark/>
          </w:tcPr>
          <w:p w14:paraId="04ECBE3F"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Variable</w:t>
            </w:r>
          </w:p>
        </w:tc>
        <w:tc>
          <w:tcPr>
            <w:tcW w:w="2660" w:type="dxa"/>
            <w:tcBorders>
              <w:top w:val="nil"/>
              <w:bottom w:val="single" w:sz="4" w:space="0" w:color="auto"/>
            </w:tcBorders>
            <w:shd w:val="clear" w:color="auto" w:fill="auto"/>
            <w:noWrap/>
            <w:vAlign w:val="center"/>
            <w:hideMark/>
          </w:tcPr>
          <w:p w14:paraId="094B32C2"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Data source</w:t>
            </w:r>
          </w:p>
        </w:tc>
      </w:tr>
      <w:tr w:rsidR="00510550" w:rsidRPr="009C6046" w14:paraId="5C8288B3" w14:textId="77777777" w:rsidTr="00D3148C">
        <w:trPr>
          <w:trHeight w:val="300"/>
        </w:trPr>
        <w:tc>
          <w:tcPr>
            <w:tcW w:w="1251" w:type="dxa"/>
            <w:tcBorders>
              <w:top w:val="single" w:sz="4" w:space="0" w:color="auto"/>
            </w:tcBorders>
            <w:shd w:val="clear" w:color="auto" w:fill="auto"/>
            <w:noWrap/>
            <w:vAlign w:val="center"/>
            <w:hideMark/>
          </w:tcPr>
          <w:p w14:paraId="4B50CCA6" w14:textId="77777777" w:rsidR="00510550" w:rsidRPr="009C6046" w:rsidRDefault="00510550" w:rsidP="00D3148C">
            <w:pPr>
              <w:jc w:val="center"/>
              <w:rPr>
                <w:rFonts w:eastAsia="Times New Roman" w:cs="Times New Roman"/>
                <w:i/>
                <w:color w:val="000000" w:themeColor="text1"/>
                <w:sz w:val="20"/>
                <w:szCs w:val="20"/>
              </w:rPr>
            </w:pPr>
            <w:r w:rsidRPr="009C6046">
              <w:rPr>
                <w:rFonts w:eastAsia="Times New Roman" w:cs="Times New Roman"/>
                <w:i/>
                <w:color w:val="000000" w:themeColor="text1"/>
                <w:sz w:val="20"/>
                <w:szCs w:val="20"/>
              </w:rPr>
              <w:t>c</w:t>
            </w:r>
            <w:r w:rsidRPr="009C6046">
              <w:rPr>
                <w:rFonts w:eastAsia="Times New Roman" w:cs="Times New Roman"/>
                <w:i/>
                <w:color w:val="000000" w:themeColor="text1"/>
                <w:sz w:val="20"/>
                <w:szCs w:val="20"/>
                <w:vertAlign w:val="subscript"/>
              </w:rPr>
              <w:t>p</w:t>
            </w:r>
          </w:p>
        </w:tc>
        <w:tc>
          <w:tcPr>
            <w:tcW w:w="1250" w:type="dxa"/>
            <w:tcBorders>
              <w:top w:val="single" w:sz="4" w:space="0" w:color="auto"/>
            </w:tcBorders>
            <w:vAlign w:val="center"/>
          </w:tcPr>
          <w:p w14:paraId="75C7CE20"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0.0129</w:t>
            </w:r>
          </w:p>
        </w:tc>
        <w:tc>
          <w:tcPr>
            <w:tcW w:w="1484" w:type="dxa"/>
            <w:tcBorders>
              <w:top w:val="single" w:sz="4" w:space="0" w:color="auto"/>
            </w:tcBorders>
            <w:vAlign w:val="center"/>
          </w:tcPr>
          <w:p w14:paraId="0D3B88F4"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4658.6</w:t>
            </w:r>
          </w:p>
        </w:tc>
        <w:tc>
          <w:tcPr>
            <w:tcW w:w="1959" w:type="dxa"/>
            <w:tcBorders>
              <w:top w:val="single" w:sz="4" w:space="0" w:color="auto"/>
            </w:tcBorders>
            <w:vAlign w:val="center"/>
          </w:tcPr>
          <w:p w14:paraId="4001BEB3"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Person-years</w:t>
            </w:r>
          </w:p>
        </w:tc>
        <w:tc>
          <w:tcPr>
            <w:tcW w:w="1846" w:type="dxa"/>
            <w:tcBorders>
              <w:top w:val="single" w:sz="4" w:space="0" w:color="auto"/>
            </w:tcBorders>
            <w:shd w:val="clear" w:color="auto" w:fill="auto"/>
            <w:noWrap/>
            <w:vAlign w:val="center"/>
            <w:hideMark/>
          </w:tcPr>
          <w:p w14:paraId="1DFDAC80"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N(-4.37,0.19)</w:t>
            </w:r>
          </w:p>
        </w:tc>
        <w:tc>
          <w:tcPr>
            <w:tcW w:w="2989" w:type="dxa"/>
            <w:tcBorders>
              <w:top w:val="single" w:sz="4" w:space="0" w:color="auto"/>
            </w:tcBorders>
            <w:shd w:val="clear" w:color="auto" w:fill="auto"/>
            <w:noWrap/>
            <w:vAlign w:val="center"/>
            <w:hideMark/>
          </w:tcPr>
          <w:p w14:paraId="27CF6B51"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Population rate</w:t>
            </w:r>
          </w:p>
        </w:tc>
        <w:tc>
          <w:tcPr>
            <w:tcW w:w="2660" w:type="dxa"/>
            <w:tcBorders>
              <w:top w:val="single" w:sz="4" w:space="0" w:color="auto"/>
            </w:tcBorders>
            <w:shd w:val="clear" w:color="auto" w:fill="auto"/>
            <w:noWrap/>
            <w:vAlign w:val="center"/>
            <w:hideMark/>
          </w:tcPr>
          <w:p w14:paraId="5B54BA79"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 xml:space="preserve">IID2 Cohort Study </w:t>
            </w:r>
            <w:r w:rsidRPr="009C6046">
              <w:rPr>
                <w:rFonts w:eastAsia="Times New Roman" w:cs="Times New Roman"/>
                <w:color w:val="000000" w:themeColor="text1"/>
                <w:sz w:val="20"/>
                <w:szCs w:val="20"/>
              </w:rPr>
              <w:fldChar w:fldCharType="begin" w:fldLock="1"/>
            </w:r>
            <w:r w:rsidRPr="009C6046">
              <w:rPr>
                <w:rFonts w:eastAsia="Times New Roman" w:cs="Times New Roman"/>
                <w:color w:val="000000" w:themeColor="text1"/>
                <w:sz w:val="20"/>
                <w:szCs w:val="20"/>
              </w:rPr>
              <w:instrText>ADDIN CSL_CITATION { "citationItems" : [ { "id" : "ITEM-1", "itemData" : { "author" : [ { "dropping-particle" : "", "family" : "Tam", "given" : "C C", "non-dropping-particle" : "", "parse-names" : false, "suffix" : "" }, { "dropping-particle" : "", "family" : "Rodrigues", "given" : "L C", "non-dropping-particle" : "", "parse-names" : false, "suffix" : "" }, { "dropping-particle" : "", "family" : "Viviani", "given" : "Laura", "non-dropping-particle" : "", "parse-names" : false, "suffix" : "" }, { "dropping-particle" : "", "family" : "Dodds", "given" : "J P", "non-dropping-particle" : "", "parse-names" : false, "suffix" : "" }, { "dropping-particle" : "", "family" : "Evans", "given" : "M R", "non-dropping-particle" : "", "parse-names" : false, "suffix" : "" }, { "dropping-particle" : "", "family" : "Hunter", "given" : "P R", "non-dropping-particle" : "", "parse-names" : false, "suffix" : "" }, { "dropping-particle" : "", "family" : "Gray", "given" : "J J", "non-dropping-particle" : "", "parse-names" : false, "suffix" : "" }, { "dropping-particle" : "", "family" : "Letley", "given" : "L H", "non-dropping-particle" : "", "parse-names" : false, "suffix" : "" }, { "dropping-particle" : "", "family" : "Rait", "given" : "G", "non-dropping-particle" : "", "parse-names" : false, "suffix" : "" }, { "dropping-particle" : "", "family" : "Tompkins", "given" : "D S", "non-dropping-particle" : "", "parse-names" : false, "suffix" : "" }, { "dropping-particle" : "", "family" : "others", "given" : "", "non-dropping-particle" : "", "parse-names" : false, "suffix" : "" } ], "container-title" : "Gut", "id" : "ITEM-1", "issue" : "1", "issued" : { "date-parts" : [ [ "2012" ] ] }, "page" : "69-77", "publisher" : "BMJ Group", "title" : "Longitudinal study of infectious intestinal disease in the UK (IID2 study): incidence in the community and presenting to general practice", "type" : "article-journal", "volume" : "61" }, "uris" : [ "http://www.mendeley.com/documents/?uuid=16664c79-750a-4b0a-96ec-4a358c58b21a" ] } ], "mendeley" : { "formattedCitation" : "[1]", "plainTextFormattedCitation" : "[1]", "previouslyFormattedCitation" : "[1]" }, "properties" : { "noteIndex" : 0 }, "schema" : "https://github.com/citation-style-language/schema/raw/master/csl-citation.json" }</w:instrText>
            </w:r>
            <w:r w:rsidRPr="009C6046">
              <w:rPr>
                <w:rFonts w:eastAsia="Times New Roman" w:cs="Times New Roman"/>
                <w:color w:val="000000" w:themeColor="text1"/>
                <w:sz w:val="20"/>
                <w:szCs w:val="20"/>
              </w:rPr>
              <w:fldChar w:fldCharType="separate"/>
            </w:r>
            <w:r w:rsidRPr="009C6046">
              <w:rPr>
                <w:rFonts w:eastAsia="Times New Roman" w:cs="Times New Roman"/>
                <w:noProof/>
                <w:color w:val="000000" w:themeColor="text1"/>
                <w:sz w:val="20"/>
                <w:szCs w:val="20"/>
              </w:rPr>
              <w:t>[1]</w:t>
            </w:r>
            <w:r w:rsidRPr="009C6046">
              <w:rPr>
                <w:rFonts w:eastAsia="Times New Roman" w:cs="Times New Roman"/>
                <w:color w:val="000000" w:themeColor="text1"/>
                <w:sz w:val="20"/>
                <w:szCs w:val="20"/>
              </w:rPr>
              <w:fldChar w:fldCharType="end"/>
            </w:r>
          </w:p>
        </w:tc>
      </w:tr>
      <w:tr w:rsidR="00510550" w:rsidRPr="009C6046" w14:paraId="4B090778" w14:textId="77777777" w:rsidTr="00D3148C">
        <w:trPr>
          <w:trHeight w:val="300"/>
        </w:trPr>
        <w:tc>
          <w:tcPr>
            <w:tcW w:w="1251" w:type="dxa"/>
            <w:shd w:val="clear" w:color="auto" w:fill="auto"/>
            <w:noWrap/>
            <w:vAlign w:val="center"/>
            <w:hideMark/>
          </w:tcPr>
          <w:p w14:paraId="16C32594" w14:textId="77777777" w:rsidR="00510550" w:rsidRPr="009C6046" w:rsidRDefault="00510550" w:rsidP="00D3148C">
            <w:pPr>
              <w:jc w:val="center"/>
              <w:rPr>
                <w:rFonts w:eastAsia="Times New Roman" w:cs="Times New Roman"/>
                <w:i/>
                <w:color w:val="000000" w:themeColor="text1"/>
                <w:sz w:val="20"/>
                <w:szCs w:val="20"/>
              </w:rPr>
            </w:pPr>
            <w:r w:rsidRPr="009C6046">
              <w:rPr>
                <w:rFonts w:eastAsia="Times New Roman" w:cs="Times New Roman"/>
                <w:i/>
                <w:color w:val="000000" w:themeColor="text1"/>
                <w:sz w:val="20"/>
                <w:szCs w:val="20"/>
              </w:rPr>
              <w:t>g</w:t>
            </w:r>
            <w:r w:rsidRPr="009C6046">
              <w:rPr>
                <w:rFonts w:eastAsia="Times New Roman" w:cs="Times New Roman"/>
                <w:i/>
                <w:color w:val="000000" w:themeColor="text1"/>
                <w:sz w:val="20"/>
                <w:szCs w:val="20"/>
                <w:vertAlign w:val="subscript"/>
              </w:rPr>
              <w:t>p</w:t>
            </w:r>
          </w:p>
        </w:tc>
        <w:tc>
          <w:tcPr>
            <w:tcW w:w="1250" w:type="dxa"/>
            <w:vAlign w:val="center"/>
          </w:tcPr>
          <w:p w14:paraId="57855D7B"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0.00139</w:t>
            </w:r>
          </w:p>
        </w:tc>
        <w:tc>
          <w:tcPr>
            <w:tcW w:w="1484" w:type="dxa"/>
            <w:vAlign w:val="center"/>
          </w:tcPr>
          <w:p w14:paraId="326012CC"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312,232</w:t>
            </w:r>
          </w:p>
        </w:tc>
        <w:tc>
          <w:tcPr>
            <w:tcW w:w="1959" w:type="dxa"/>
            <w:vAlign w:val="center"/>
          </w:tcPr>
          <w:p w14:paraId="2ABDF128"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Person-years</w:t>
            </w:r>
          </w:p>
        </w:tc>
        <w:tc>
          <w:tcPr>
            <w:tcW w:w="1846" w:type="dxa"/>
            <w:shd w:val="clear" w:color="auto" w:fill="auto"/>
            <w:noWrap/>
            <w:vAlign w:val="center"/>
            <w:hideMark/>
          </w:tcPr>
          <w:p w14:paraId="53D9453A"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N(-6.6,0.21)</w:t>
            </w:r>
          </w:p>
        </w:tc>
        <w:tc>
          <w:tcPr>
            <w:tcW w:w="2989" w:type="dxa"/>
            <w:shd w:val="clear" w:color="auto" w:fill="auto"/>
            <w:noWrap/>
            <w:vAlign w:val="center"/>
            <w:hideMark/>
          </w:tcPr>
          <w:p w14:paraId="514196AA"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GP consultation rate</w:t>
            </w:r>
          </w:p>
        </w:tc>
        <w:tc>
          <w:tcPr>
            <w:tcW w:w="2660" w:type="dxa"/>
            <w:shd w:val="clear" w:color="auto" w:fill="auto"/>
            <w:noWrap/>
            <w:vAlign w:val="center"/>
            <w:hideMark/>
          </w:tcPr>
          <w:p w14:paraId="5C3DD45E"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 xml:space="preserve">IID2 GP Presentation Study </w:t>
            </w:r>
            <w:r w:rsidRPr="009C6046">
              <w:rPr>
                <w:rFonts w:eastAsia="Times New Roman" w:cs="Times New Roman"/>
                <w:color w:val="000000" w:themeColor="text1"/>
                <w:sz w:val="20"/>
                <w:szCs w:val="20"/>
              </w:rPr>
              <w:fldChar w:fldCharType="begin" w:fldLock="1"/>
            </w:r>
            <w:r w:rsidRPr="009C6046">
              <w:rPr>
                <w:rFonts w:eastAsia="Times New Roman" w:cs="Times New Roman"/>
                <w:color w:val="000000" w:themeColor="text1"/>
                <w:sz w:val="20"/>
                <w:szCs w:val="20"/>
              </w:rPr>
              <w:instrText>ADDIN CSL_CITATION { "citationItems" : [ { "id" : "ITEM-1", "itemData" : { "author" : [ { "dropping-particle" : "", "family" : "Tam", "given" : "C C", "non-dropping-particle" : "", "parse-names" : false, "suffix" : "" }, { "dropping-particle" : "", "family" : "Rodrigues", "given" : "L C", "non-dropping-particle" : "", "parse-names" : false, "suffix" : "" }, { "dropping-particle" : "", "family" : "Viviani", "given" : "Laura", "non-dropping-particle" : "", "parse-names" : false, "suffix" : "" }, { "dropping-particle" : "", "family" : "Dodds", "given" : "J P", "non-dropping-particle" : "", "parse-names" : false, "suffix" : "" }, { "dropping-particle" : "", "family" : "Evans", "given" : "M R", "non-dropping-particle" : "", "parse-names" : false, "suffix" : "" }, { "dropping-particle" : "", "family" : "Hunter", "given" : "P R", "non-dropping-particle" : "", "parse-names" : false, "suffix" : "" }, { "dropping-particle" : "", "family" : "Gray", "given" : "J J", "non-dropping-particle" : "", "parse-names" : false, "suffix" : "" }, { "dropping-particle" : "", "family" : "Letley", "given" : "L H", "non-dropping-particle" : "", "parse-names" : false, "suffix" : "" }, { "dropping-particle" : "", "family" : "Rait", "given" : "G", "non-dropping-particle" : "", "parse-names" : false, "suffix" : "" }, { "dropping-particle" : "", "family" : "Tompkins", "given" : "D S", "non-dropping-particle" : "", "parse-names" : false, "suffix" : "" }, { "dropping-particle" : "", "family" : "others", "given" : "", "non-dropping-particle" : "", "parse-names" : false, "suffix" : "" } ], "container-title" : "Gut", "id" : "ITEM-1", "issue" : "1", "issued" : { "date-parts" : [ [ "2012" ] ] }, "page" : "69-77", "publisher" : "BMJ Group", "title" : "Longitudinal study of infectious intestinal disease in the UK (IID2 study): incidence in the community and presenting to general practice", "type" : "article-journal", "volume" : "61" }, "uris" : [ "http://www.mendeley.com/documents/?uuid=16664c79-750a-4b0a-96ec-4a358c58b21a" ] } ], "mendeley" : { "formattedCitation" : "[1]", "plainTextFormattedCitation" : "[1]", "previouslyFormattedCitation" : "[1]" }, "properties" : { "noteIndex" : 0 }, "schema" : "https://github.com/citation-style-language/schema/raw/master/csl-citation.json" }</w:instrText>
            </w:r>
            <w:r w:rsidRPr="009C6046">
              <w:rPr>
                <w:rFonts w:eastAsia="Times New Roman" w:cs="Times New Roman"/>
                <w:color w:val="000000" w:themeColor="text1"/>
                <w:sz w:val="20"/>
                <w:szCs w:val="20"/>
              </w:rPr>
              <w:fldChar w:fldCharType="separate"/>
            </w:r>
            <w:r w:rsidRPr="009C6046">
              <w:rPr>
                <w:rFonts w:eastAsia="Times New Roman" w:cs="Times New Roman"/>
                <w:noProof/>
                <w:color w:val="000000" w:themeColor="text1"/>
                <w:sz w:val="20"/>
                <w:szCs w:val="20"/>
              </w:rPr>
              <w:t>[1]</w:t>
            </w:r>
            <w:r w:rsidRPr="009C6046">
              <w:rPr>
                <w:rFonts w:eastAsia="Times New Roman" w:cs="Times New Roman"/>
                <w:color w:val="000000" w:themeColor="text1"/>
                <w:sz w:val="20"/>
                <w:szCs w:val="20"/>
              </w:rPr>
              <w:fldChar w:fldCharType="end"/>
            </w:r>
          </w:p>
        </w:tc>
      </w:tr>
      <w:tr w:rsidR="00510550" w:rsidRPr="009C6046" w14:paraId="3D64FCC2" w14:textId="77777777" w:rsidTr="00D3148C">
        <w:trPr>
          <w:trHeight w:val="300"/>
        </w:trPr>
        <w:tc>
          <w:tcPr>
            <w:tcW w:w="1251" w:type="dxa"/>
            <w:shd w:val="clear" w:color="auto" w:fill="auto"/>
            <w:noWrap/>
            <w:vAlign w:val="center"/>
            <w:hideMark/>
          </w:tcPr>
          <w:p w14:paraId="347060F5" w14:textId="77777777" w:rsidR="00510550" w:rsidRPr="009C6046" w:rsidRDefault="00510550" w:rsidP="00D3148C">
            <w:pPr>
              <w:jc w:val="center"/>
              <w:rPr>
                <w:rFonts w:eastAsia="Times New Roman" w:cs="Times New Roman"/>
                <w:i/>
                <w:color w:val="000000" w:themeColor="text1"/>
                <w:sz w:val="20"/>
                <w:szCs w:val="20"/>
              </w:rPr>
            </w:pPr>
            <w:r w:rsidRPr="009C6046">
              <w:rPr>
                <w:rFonts w:eastAsia="Times New Roman" w:cs="Times New Roman"/>
                <w:i/>
                <w:color w:val="000000" w:themeColor="text1"/>
                <w:sz w:val="20"/>
                <w:szCs w:val="20"/>
              </w:rPr>
              <w:t>a</w:t>
            </w:r>
          </w:p>
        </w:tc>
        <w:tc>
          <w:tcPr>
            <w:tcW w:w="1250" w:type="dxa"/>
            <w:vAlign w:val="center"/>
          </w:tcPr>
          <w:p w14:paraId="56447317"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0.0197</w:t>
            </w:r>
          </w:p>
        </w:tc>
        <w:tc>
          <w:tcPr>
            <w:tcW w:w="1484" w:type="dxa"/>
            <w:vAlign w:val="center"/>
          </w:tcPr>
          <w:p w14:paraId="1B001C43"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1323</w:t>
            </w:r>
          </w:p>
        </w:tc>
        <w:tc>
          <w:tcPr>
            <w:tcW w:w="1959" w:type="dxa"/>
            <w:vAlign w:val="center"/>
          </w:tcPr>
          <w:p w14:paraId="6E49072F"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Cases</w:t>
            </w:r>
          </w:p>
        </w:tc>
        <w:tc>
          <w:tcPr>
            <w:tcW w:w="1846" w:type="dxa"/>
            <w:shd w:val="clear" w:color="auto" w:fill="auto"/>
            <w:noWrap/>
            <w:vAlign w:val="center"/>
            <w:hideMark/>
          </w:tcPr>
          <w:p w14:paraId="02A595E8"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Beta(25.7,1274.3)</w:t>
            </w:r>
          </w:p>
        </w:tc>
        <w:tc>
          <w:tcPr>
            <w:tcW w:w="2989" w:type="dxa"/>
            <w:shd w:val="clear" w:color="auto" w:fill="auto"/>
            <w:noWrap/>
            <w:vAlign w:val="center"/>
            <w:hideMark/>
          </w:tcPr>
          <w:p w14:paraId="25749443"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Telephone health and advice line</w:t>
            </w:r>
          </w:p>
        </w:tc>
        <w:tc>
          <w:tcPr>
            <w:tcW w:w="2660" w:type="dxa"/>
            <w:shd w:val="clear" w:color="auto" w:fill="auto"/>
            <w:noWrap/>
            <w:vAlign w:val="center"/>
            <w:hideMark/>
          </w:tcPr>
          <w:p w14:paraId="0468A3EA"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IID2 Cohort Study</w:t>
            </w:r>
          </w:p>
        </w:tc>
      </w:tr>
      <w:tr w:rsidR="00510550" w:rsidRPr="009C6046" w14:paraId="55A5A757" w14:textId="77777777" w:rsidTr="00D3148C">
        <w:trPr>
          <w:trHeight w:val="300"/>
        </w:trPr>
        <w:tc>
          <w:tcPr>
            <w:tcW w:w="1251" w:type="dxa"/>
            <w:shd w:val="clear" w:color="auto" w:fill="auto"/>
            <w:noWrap/>
            <w:vAlign w:val="center"/>
            <w:hideMark/>
          </w:tcPr>
          <w:p w14:paraId="66417385" w14:textId="77777777" w:rsidR="00510550" w:rsidRPr="009C6046" w:rsidRDefault="00510550" w:rsidP="00D3148C">
            <w:pPr>
              <w:jc w:val="center"/>
              <w:rPr>
                <w:rFonts w:eastAsia="Times New Roman" w:cs="Times New Roman"/>
                <w:i/>
                <w:color w:val="000000" w:themeColor="text1"/>
                <w:sz w:val="20"/>
                <w:szCs w:val="20"/>
              </w:rPr>
            </w:pPr>
            <w:r w:rsidRPr="009C6046">
              <w:rPr>
                <w:rFonts w:eastAsia="Times New Roman" w:cs="Times New Roman"/>
                <w:i/>
                <w:color w:val="000000" w:themeColor="text1"/>
                <w:sz w:val="20"/>
                <w:szCs w:val="20"/>
              </w:rPr>
              <w:t>o</w:t>
            </w:r>
            <w:r w:rsidRPr="009C6046">
              <w:rPr>
                <w:rFonts w:eastAsia="Times New Roman" w:cs="Times New Roman"/>
                <w:i/>
                <w:color w:val="000000" w:themeColor="text1"/>
                <w:sz w:val="20"/>
                <w:szCs w:val="20"/>
                <w:vertAlign w:val="subscript"/>
              </w:rPr>
              <w:t>p</w:t>
            </w:r>
          </w:p>
        </w:tc>
        <w:tc>
          <w:tcPr>
            <w:tcW w:w="1250" w:type="dxa"/>
            <w:vAlign w:val="center"/>
          </w:tcPr>
          <w:p w14:paraId="77F9955F"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0.118</w:t>
            </w:r>
          </w:p>
        </w:tc>
        <w:tc>
          <w:tcPr>
            <w:tcW w:w="1484" w:type="dxa"/>
            <w:vAlign w:val="center"/>
          </w:tcPr>
          <w:p w14:paraId="3CE45878"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68</w:t>
            </w:r>
          </w:p>
        </w:tc>
        <w:tc>
          <w:tcPr>
            <w:tcW w:w="1959" w:type="dxa"/>
            <w:vAlign w:val="center"/>
          </w:tcPr>
          <w:p w14:paraId="1F22D048"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Cases</w:t>
            </w:r>
          </w:p>
        </w:tc>
        <w:tc>
          <w:tcPr>
            <w:tcW w:w="1846" w:type="dxa"/>
            <w:shd w:val="clear" w:color="auto" w:fill="auto"/>
            <w:noWrap/>
            <w:vAlign w:val="center"/>
            <w:hideMark/>
          </w:tcPr>
          <w:p w14:paraId="159D2816"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Beta(7.1,53.1)</w:t>
            </w:r>
          </w:p>
        </w:tc>
        <w:tc>
          <w:tcPr>
            <w:tcW w:w="2989" w:type="dxa"/>
            <w:shd w:val="clear" w:color="auto" w:fill="auto"/>
            <w:noWrap/>
            <w:vAlign w:val="center"/>
            <w:hideMark/>
          </w:tcPr>
          <w:p w14:paraId="491783DF"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Out-of-hours consultation</w:t>
            </w:r>
          </w:p>
        </w:tc>
        <w:tc>
          <w:tcPr>
            <w:tcW w:w="2660" w:type="dxa"/>
            <w:shd w:val="clear" w:color="auto" w:fill="auto"/>
            <w:noWrap/>
            <w:vAlign w:val="center"/>
            <w:hideMark/>
          </w:tcPr>
          <w:p w14:paraId="262ADE7A"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IID2 GP Presentation Study</w:t>
            </w:r>
          </w:p>
        </w:tc>
      </w:tr>
      <w:tr w:rsidR="00510550" w:rsidRPr="009C6046" w14:paraId="17C4A15F" w14:textId="77777777" w:rsidTr="00D3148C">
        <w:trPr>
          <w:trHeight w:val="300"/>
        </w:trPr>
        <w:tc>
          <w:tcPr>
            <w:tcW w:w="1251" w:type="dxa"/>
            <w:shd w:val="clear" w:color="auto" w:fill="auto"/>
            <w:noWrap/>
            <w:vAlign w:val="center"/>
            <w:hideMark/>
          </w:tcPr>
          <w:p w14:paraId="4F119736" w14:textId="77777777" w:rsidR="00510550" w:rsidRPr="009C6046" w:rsidRDefault="00510550" w:rsidP="00D3148C">
            <w:pPr>
              <w:jc w:val="center"/>
              <w:rPr>
                <w:rFonts w:eastAsia="Times New Roman" w:cs="Times New Roman"/>
                <w:i/>
                <w:color w:val="000000" w:themeColor="text1"/>
                <w:sz w:val="20"/>
                <w:szCs w:val="20"/>
              </w:rPr>
            </w:pPr>
            <w:r w:rsidRPr="009C6046">
              <w:rPr>
                <w:rFonts w:eastAsia="Times New Roman" w:cs="Times New Roman"/>
                <w:i/>
                <w:color w:val="000000" w:themeColor="text1"/>
                <w:sz w:val="20"/>
                <w:szCs w:val="20"/>
              </w:rPr>
              <w:t>t</w:t>
            </w:r>
            <w:r w:rsidRPr="009C6046">
              <w:rPr>
                <w:rFonts w:eastAsia="Times New Roman" w:cs="Times New Roman"/>
                <w:i/>
                <w:color w:val="000000" w:themeColor="text1"/>
                <w:sz w:val="20"/>
                <w:szCs w:val="20"/>
                <w:vertAlign w:val="subscript"/>
              </w:rPr>
              <w:t>p</w:t>
            </w:r>
          </w:p>
        </w:tc>
        <w:tc>
          <w:tcPr>
            <w:tcW w:w="1250" w:type="dxa"/>
            <w:vAlign w:val="center"/>
          </w:tcPr>
          <w:p w14:paraId="70E2CDF4"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0.338</w:t>
            </w:r>
          </w:p>
        </w:tc>
        <w:tc>
          <w:tcPr>
            <w:tcW w:w="1484" w:type="dxa"/>
            <w:vAlign w:val="center"/>
          </w:tcPr>
          <w:p w14:paraId="4803F397"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68</w:t>
            </w:r>
          </w:p>
        </w:tc>
        <w:tc>
          <w:tcPr>
            <w:tcW w:w="1959" w:type="dxa"/>
            <w:vAlign w:val="center"/>
          </w:tcPr>
          <w:p w14:paraId="5AA4BBB3"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Cases</w:t>
            </w:r>
          </w:p>
        </w:tc>
        <w:tc>
          <w:tcPr>
            <w:tcW w:w="1846" w:type="dxa"/>
            <w:shd w:val="clear" w:color="auto" w:fill="auto"/>
            <w:noWrap/>
            <w:vAlign w:val="center"/>
            <w:hideMark/>
          </w:tcPr>
          <w:p w14:paraId="7CC1A5AE"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Beta(22.5,43.9)</w:t>
            </w:r>
          </w:p>
        </w:tc>
        <w:tc>
          <w:tcPr>
            <w:tcW w:w="2989" w:type="dxa"/>
            <w:shd w:val="clear" w:color="auto" w:fill="auto"/>
            <w:noWrap/>
            <w:vAlign w:val="center"/>
            <w:hideMark/>
          </w:tcPr>
          <w:p w14:paraId="2BFDF461"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GP telephone consultation</w:t>
            </w:r>
          </w:p>
        </w:tc>
        <w:tc>
          <w:tcPr>
            <w:tcW w:w="2660" w:type="dxa"/>
            <w:shd w:val="clear" w:color="auto" w:fill="auto"/>
            <w:noWrap/>
            <w:vAlign w:val="center"/>
            <w:hideMark/>
          </w:tcPr>
          <w:p w14:paraId="489503EE"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IID2 GP Presentation Study</w:t>
            </w:r>
          </w:p>
        </w:tc>
      </w:tr>
      <w:tr w:rsidR="00510550" w:rsidRPr="009C6046" w14:paraId="5AAFA349" w14:textId="77777777" w:rsidTr="00D3148C">
        <w:trPr>
          <w:trHeight w:val="300"/>
        </w:trPr>
        <w:tc>
          <w:tcPr>
            <w:tcW w:w="1251" w:type="dxa"/>
            <w:shd w:val="clear" w:color="auto" w:fill="auto"/>
            <w:noWrap/>
            <w:vAlign w:val="center"/>
            <w:hideMark/>
          </w:tcPr>
          <w:p w14:paraId="6D6F802B" w14:textId="77777777" w:rsidR="00510550" w:rsidRPr="009C6046" w:rsidRDefault="00510550" w:rsidP="00D3148C">
            <w:pPr>
              <w:jc w:val="center"/>
              <w:rPr>
                <w:rFonts w:eastAsia="Times New Roman" w:cs="Times New Roman"/>
                <w:i/>
                <w:color w:val="000000" w:themeColor="text1"/>
                <w:sz w:val="20"/>
                <w:szCs w:val="20"/>
              </w:rPr>
            </w:pPr>
            <w:r w:rsidRPr="009C6046">
              <w:rPr>
                <w:rFonts w:eastAsia="Times New Roman" w:cs="Times New Roman"/>
                <w:i/>
                <w:color w:val="000000" w:themeColor="text1"/>
                <w:sz w:val="20"/>
                <w:szCs w:val="20"/>
              </w:rPr>
              <w:t>i</w:t>
            </w:r>
            <w:r w:rsidRPr="009C6046">
              <w:rPr>
                <w:rFonts w:eastAsia="Times New Roman" w:cs="Times New Roman"/>
                <w:i/>
                <w:color w:val="000000" w:themeColor="text1"/>
                <w:sz w:val="20"/>
                <w:szCs w:val="20"/>
                <w:vertAlign w:val="subscript"/>
              </w:rPr>
              <w:t>p</w:t>
            </w:r>
          </w:p>
        </w:tc>
        <w:tc>
          <w:tcPr>
            <w:tcW w:w="1250" w:type="dxa"/>
            <w:vAlign w:val="center"/>
          </w:tcPr>
          <w:p w14:paraId="6994D679"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0.735</w:t>
            </w:r>
          </w:p>
        </w:tc>
        <w:tc>
          <w:tcPr>
            <w:tcW w:w="1484" w:type="dxa"/>
            <w:vAlign w:val="center"/>
          </w:tcPr>
          <w:p w14:paraId="0DF4CCAE"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68</w:t>
            </w:r>
          </w:p>
        </w:tc>
        <w:tc>
          <w:tcPr>
            <w:tcW w:w="1959" w:type="dxa"/>
            <w:vAlign w:val="center"/>
          </w:tcPr>
          <w:p w14:paraId="035CF832"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Cases</w:t>
            </w:r>
          </w:p>
        </w:tc>
        <w:tc>
          <w:tcPr>
            <w:tcW w:w="1846" w:type="dxa"/>
            <w:shd w:val="clear" w:color="auto" w:fill="auto"/>
            <w:noWrap/>
            <w:vAlign w:val="center"/>
            <w:hideMark/>
          </w:tcPr>
          <w:p w14:paraId="20AA467F"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Beta(47.8,17.2)</w:t>
            </w:r>
          </w:p>
        </w:tc>
        <w:tc>
          <w:tcPr>
            <w:tcW w:w="2989" w:type="dxa"/>
            <w:shd w:val="clear" w:color="auto" w:fill="auto"/>
            <w:noWrap/>
            <w:vAlign w:val="center"/>
            <w:hideMark/>
          </w:tcPr>
          <w:p w14:paraId="3F5F2FAF"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GP in-person consultation</w:t>
            </w:r>
          </w:p>
        </w:tc>
        <w:tc>
          <w:tcPr>
            <w:tcW w:w="2660" w:type="dxa"/>
            <w:shd w:val="clear" w:color="auto" w:fill="auto"/>
            <w:noWrap/>
            <w:vAlign w:val="center"/>
            <w:hideMark/>
          </w:tcPr>
          <w:p w14:paraId="41B5133B"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IID2 GP Presentation Study</w:t>
            </w:r>
          </w:p>
        </w:tc>
      </w:tr>
      <w:tr w:rsidR="00510550" w:rsidRPr="009C6046" w14:paraId="108FB44E" w14:textId="77777777" w:rsidTr="00D3148C">
        <w:trPr>
          <w:trHeight w:val="300"/>
        </w:trPr>
        <w:tc>
          <w:tcPr>
            <w:tcW w:w="1251" w:type="dxa"/>
            <w:shd w:val="clear" w:color="auto" w:fill="auto"/>
            <w:noWrap/>
            <w:vAlign w:val="center"/>
            <w:hideMark/>
          </w:tcPr>
          <w:p w14:paraId="1F181418" w14:textId="77777777" w:rsidR="00510550" w:rsidRPr="009C6046" w:rsidRDefault="00510550" w:rsidP="00D3148C">
            <w:pPr>
              <w:jc w:val="center"/>
              <w:rPr>
                <w:rFonts w:eastAsia="Times New Roman" w:cs="Times New Roman"/>
                <w:i/>
                <w:color w:val="000000" w:themeColor="text1"/>
                <w:sz w:val="20"/>
                <w:szCs w:val="20"/>
              </w:rPr>
            </w:pPr>
            <w:r w:rsidRPr="009C6046">
              <w:rPr>
                <w:rFonts w:eastAsia="Times New Roman" w:cs="Times New Roman"/>
                <w:i/>
                <w:color w:val="000000" w:themeColor="text1"/>
                <w:sz w:val="20"/>
                <w:szCs w:val="20"/>
              </w:rPr>
              <w:t>e</w:t>
            </w:r>
          </w:p>
        </w:tc>
        <w:tc>
          <w:tcPr>
            <w:tcW w:w="1250" w:type="dxa"/>
            <w:vAlign w:val="center"/>
          </w:tcPr>
          <w:p w14:paraId="79C797C2"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0.0106</w:t>
            </w:r>
          </w:p>
        </w:tc>
        <w:tc>
          <w:tcPr>
            <w:tcW w:w="1484" w:type="dxa"/>
            <w:vAlign w:val="center"/>
          </w:tcPr>
          <w:p w14:paraId="7915F2C5"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1318</w:t>
            </w:r>
          </w:p>
        </w:tc>
        <w:tc>
          <w:tcPr>
            <w:tcW w:w="1959" w:type="dxa"/>
            <w:vAlign w:val="center"/>
          </w:tcPr>
          <w:p w14:paraId="5A0F752A"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Cases</w:t>
            </w:r>
          </w:p>
        </w:tc>
        <w:tc>
          <w:tcPr>
            <w:tcW w:w="1846" w:type="dxa"/>
            <w:shd w:val="clear" w:color="auto" w:fill="auto"/>
            <w:noWrap/>
            <w:vAlign w:val="center"/>
            <w:hideMark/>
          </w:tcPr>
          <w:p w14:paraId="1E0EA101"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Beta(12.9,1207.0)</w:t>
            </w:r>
          </w:p>
        </w:tc>
        <w:tc>
          <w:tcPr>
            <w:tcW w:w="2989" w:type="dxa"/>
            <w:shd w:val="clear" w:color="auto" w:fill="auto"/>
            <w:noWrap/>
            <w:vAlign w:val="center"/>
            <w:hideMark/>
          </w:tcPr>
          <w:p w14:paraId="3243678D"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Accident &amp; Emergency visits</w:t>
            </w:r>
          </w:p>
        </w:tc>
        <w:tc>
          <w:tcPr>
            <w:tcW w:w="2660" w:type="dxa"/>
            <w:shd w:val="clear" w:color="auto" w:fill="auto"/>
            <w:noWrap/>
            <w:vAlign w:val="center"/>
            <w:hideMark/>
          </w:tcPr>
          <w:p w14:paraId="5EE84AF0"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IID2 Cohort Study</w:t>
            </w:r>
          </w:p>
        </w:tc>
      </w:tr>
      <w:tr w:rsidR="00510550" w:rsidRPr="009C6046" w14:paraId="400CB75A" w14:textId="77777777" w:rsidTr="00D3148C">
        <w:trPr>
          <w:trHeight w:val="300"/>
        </w:trPr>
        <w:tc>
          <w:tcPr>
            <w:tcW w:w="1251" w:type="dxa"/>
            <w:shd w:val="clear" w:color="auto" w:fill="auto"/>
            <w:noWrap/>
            <w:vAlign w:val="center"/>
            <w:hideMark/>
          </w:tcPr>
          <w:p w14:paraId="7404C303" w14:textId="77777777" w:rsidR="00510550" w:rsidRPr="009C6046" w:rsidRDefault="00510550" w:rsidP="00D3148C">
            <w:pPr>
              <w:jc w:val="center"/>
              <w:rPr>
                <w:rFonts w:eastAsia="Times New Roman" w:cs="Times New Roman"/>
                <w:i/>
                <w:color w:val="000000" w:themeColor="text1"/>
                <w:sz w:val="20"/>
                <w:szCs w:val="20"/>
              </w:rPr>
            </w:pPr>
            <w:r w:rsidRPr="009C6046">
              <w:rPr>
                <w:rFonts w:eastAsia="Times New Roman" w:cs="Times New Roman"/>
                <w:i/>
                <w:color w:val="000000" w:themeColor="text1"/>
                <w:sz w:val="20"/>
                <w:szCs w:val="20"/>
              </w:rPr>
              <w:t>h</w:t>
            </w:r>
            <w:r w:rsidRPr="009C6046">
              <w:rPr>
                <w:rFonts w:eastAsia="Times New Roman" w:cs="Times New Roman"/>
                <w:i/>
                <w:color w:val="000000" w:themeColor="text1"/>
                <w:sz w:val="20"/>
                <w:szCs w:val="20"/>
                <w:vertAlign w:val="subscript"/>
              </w:rPr>
              <w:t>p1</w:t>
            </w:r>
          </w:p>
        </w:tc>
        <w:tc>
          <w:tcPr>
            <w:tcW w:w="1250" w:type="dxa"/>
            <w:vAlign w:val="center"/>
          </w:tcPr>
          <w:p w14:paraId="75BA5082"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0.0166</w:t>
            </w:r>
          </w:p>
        </w:tc>
        <w:tc>
          <w:tcPr>
            <w:tcW w:w="1484" w:type="dxa"/>
            <w:vAlign w:val="center"/>
          </w:tcPr>
          <w:p w14:paraId="07AF8656"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1211</w:t>
            </w:r>
          </w:p>
        </w:tc>
        <w:tc>
          <w:tcPr>
            <w:tcW w:w="1959" w:type="dxa"/>
            <w:vAlign w:val="center"/>
          </w:tcPr>
          <w:p w14:paraId="73C15580"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Cases</w:t>
            </w:r>
          </w:p>
        </w:tc>
        <w:tc>
          <w:tcPr>
            <w:tcW w:w="1846" w:type="dxa"/>
            <w:shd w:val="clear" w:color="auto" w:fill="auto"/>
            <w:noWrap/>
            <w:vAlign w:val="center"/>
            <w:hideMark/>
          </w:tcPr>
          <w:p w14:paraId="5AF9FB8C"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Beta(10.6,624.3)</w:t>
            </w:r>
          </w:p>
        </w:tc>
        <w:tc>
          <w:tcPr>
            <w:tcW w:w="2989" w:type="dxa"/>
            <w:shd w:val="clear" w:color="auto" w:fill="auto"/>
            <w:noWrap/>
            <w:vAlign w:val="center"/>
            <w:hideMark/>
          </w:tcPr>
          <w:p w14:paraId="43340100"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Hospitalisation (scenario 1)</w:t>
            </w:r>
          </w:p>
        </w:tc>
        <w:tc>
          <w:tcPr>
            <w:tcW w:w="2660" w:type="dxa"/>
            <w:shd w:val="clear" w:color="auto" w:fill="auto"/>
            <w:noWrap/>
            <w:vAlign w:val="center"/>
            <w:hideMark/>
          </w:tcPr>
          <w:p w14:paraId="3D17405B"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Outbreak data (Gsurv)</w:t>
            </w:r>
          </w:p>
        </w:tc>
      </w:tr>
      <w:tr w:rsidR="00510550" w:rsidRPr="009C6046" w14:paraId="708B3408" w14:textId="77777777" w:rsidTr="00D3148C">
        <w:trPr>
          <w:trHeight w:val="300"/>
        </w:trPr>
        <w:tc>
          <w:tcPr>
            <w:tcW w:w="1251" w:type="dxa"/>
            <w:shd w:val="clear" w:color="auto" w:fill="auto"/>
            <w:noWrap/>
            <w:vAlign w:val="center"/>
            <w:hideMark/>
          </w:tcPr>
          <w:p w14:paraId="42E2DECC" w14:textId="77777777" w:rsidR="00510550" w:rsidRPr="009C6046" w:rsidRDefault="00510550" w:rsidP="00D3148C">
            <w:pPr>
              <w:jc w:val="center"/>
              <w:rPr>
                <w:rFonts w:eastAsia="Times New Roman" w:cs="Times New Roman"/>
                <w:i/>
                <w:color w:val="000000" w:themeColor="text1"/>
                <w:sz w:val="20"/>
                <w:szCs w:val="20"/>
              </w:rPr>
            </w:pPr>
            <w:r w:rsidRPr="009C6046">
              <w:rPr>
                <w:rFonts w:eastAsia="Times New Roman" w:cs="Times New Roman"/>
                <w:i/>
                <w:color w:val="000000" w:themeColor="text1"/>
                <w:sz w:val="20"/>
                <w:szCs w:val="20"/>
              </w:rPr>
              <w:t>h</w:t>
            </w:r>
            <w:r w:rsidRPr="009C6046">
              <w:rPr>
                <w:rFonts w:eastAsia="Times New Roman" w:cs="Times New Roman"/>
                <w:i/>
                <w:color w:val="000000" w:themeColor="text1"/>
                <w:sz w:val="20"/>
                <w:szCs w:val="20"/>
                <w:vertAlign w:val="subscript"/>
              </w:rPr>
              <w:t>p2</w:t>
            </w:r>
          </w:p>
        </w:tc>
        <w:tc>
          <w:tcPr>
            <w:tcW w:w="1250" w:type="dxa"/>
            <w:vAlign w:val="center"/>
          </w:tcPr>
          <w:p w14:paraId="148A0F8E"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0.00276</w:t>
            </w:r>
          </w:p>
        </w:tc>
        <w:tc>
          <w:tcPr>
            <w:tcW w:w="1484" w:type="dxa"/>
            <w:vAlign w:val="center"/>
          </w:tcPr>
          <w:p w14:paraId="0F836D17"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64</w:t>
            </w:r>
          </w:p>
        </w:tc>
        <w:tc>
          <w:tcPr>
            <w:tcW w:w="1959" w:type="dxa"/>
            <w:vAlign w:val="center"/>
          </w:tcPr>
          <w:p w14:paraId="3FFCCF2A"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Cases</w:t>
            </w:r>
          </w:p>
        </w:tc>
        <w:tc>
          <w:tcPr>
            <w:tcW w:w="1846" w:type="dxa"/>
            <w:shd w:val="clear" w:color="auto" w:fill="auto"/>
            <w:noWrap/>
            <w:vAlign w:val="center"/>
            <w:hideMark/>
          </w:tcPr>
          <w:p w14:paraId="60A466DB"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Beta(3.6,1295.6)</w:t>
            </w:r>
          </w:p>
        </w:tc>
        <w:tc>
          <w:tcPr>
            <w:tcW w:w="2989" w:type="dxa"/>
            <w:shd w:val="clear" w:color="auto" w:fill="auto"/>
            <w:noWrap/>
            <w:vAlign w:val="center"/>
            <w:hideMark/>
          </w:tcPr>
          <w:p w14:paraId="1E0ACF47"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Hospitalisation (scenario 2)</w:t>
            </w:r>
          </w:p>
        </w:tc>
        <w:tc>
          <w:tcPr>
            <w:tcW w:w="2660" w:type="dxa"/>
            <w:shd w:val="clear" w:color="auto" w:fill="auto"/>
            <w:noWrap/>
            <w:vAlign w:val="center"/>
            <w:hideMark/>
          </w:tcPr>
          <w:p w14:paraId="1FBEA9F7" w14:textId="77777777" w:rsidR="00510550" w:rsidRPr="009C6046" w:rsidRDefault="00510550" w:rsidP="00D3148C">
            <w:pPr>
              <w:jc w:val="center"/>
              <w:rPr>
                <w:rFonts w:eastAsia="Times New Roman" w:cs="Times New Roman"/>
                <w:color w:val="000000" w:themeColor="text1"/>
                <w:sz w:val="20"/>
                <w:szCs w:val="20"/>
              </w:rPr>
            </w:pPr>
            <w:r w:rsidRPr="009C6046">
              <w:rPr>
                <w:rFonts w:eastAsia="Times New Roman" w:cs="Times New Roman"/>
                <w:color w:val="000000" w:themeColor="text1"/>
                <w:sz w:val="20"/>
                <w:szCs w:val="20"/>
              </w:rPr>
              <w:t>Combined IID1 &amp; IID2 GP Presentation Study data</w:t>
            </w:r>
          </w:p>
        </w:tc>
      </w:tr>
    </w:tbl>
    <w:p w14:paraId="275805CD" w14:textId="77777777" w:rsidR="00510550" w:rsidRPr="009C6046" w:rsidRDefault="00510550" w:rsidP="00510550">
      <w:pPr>
        <w:jc w:val="both"/>
        <w:rPr>
          <w:color w:val="000000" w:themeColor="text1"/>
        </w:rPr>
      </w:pPr>
      <w:r w:rsidRPr="009C6046">
        <w:rPr>
          <w:color w:val="000000" w:themeColor="text1"/>
        </w:rPr>
        <w:t>Health services are defined as follows: In-person GP consultation – a face-to-face consultation with a GP that takes place at the clinic; Telephone GP consultation – a consultation with a GP that takes place over the telephone; Out-of-hours consultation – a consultation with a dedicated service that provides health services outside GP operating hours (evenings and weekends); Accident &amp; Emergency visit – a consultation at a hospital Accident &amp; Emergency department; Telephone information and advice line – a telephone call to a dedicated service that provides syndrome-based medical triage and advice (at the time of this study, these services were NHS Direct in England and Wales, and NHS24 in Scotland); Hospital admission – an overnight stay in a hospital as a result of illness.</w:t>
      </w:r>
    </w:p>
    <w:p w14:paraId="76E35CB7" w14:textId="77777777" w:rsidR="00510550" w:rsidRPr="009C6046" w:rsidRDefault="00510550" w:rsidP="00510550">
      <w:pPr>
        <w:rPr>
          <w:color w:val="000000" w:themeColor="text1"/>
        </w:rPr>
        <w:sectPr w:rsidR="00510550" w:rsidRPr="009C6046" w:rsidSect="00CD52F5">
          <w:pgSz w:w="16840" w:h="11901" w:orient="landscape"/>
          <w:pgMar w:top="1440" w:right="1440" w:bottom="0" w:left="1440" w:header="708" w:footer="708" w:gutter="0"/>
          <w:cols w:space="708"/>
          <w:docGrid w:linePitch="360"/>
        </w:sectPr>
      </w:pPr>
    </w:p>
    <w:p w14:paraId="0B68D11E" w14:textId="77777777" w:rsidR="00510550" w:rsidRPr="009C6046" w:rsidRDefault="00510550" w:rsidP="00510550">
      <w:pPr>
        <w:pStyle w:val="Heading2"/>
        <w:rPr>
          <w:color w:val="000000" w:themeColor="text1"/>
        </w:rPr>
      </w:pPr>
      <w:r w:rsidRPr="009C6046">
        <w:rPr>
          <w:color w:val="000000" w:themeColor="text1"/>
        </w:rPr>
        <w:t xml:space="preserve">Table </w:t>
      </w:r>
      <w:r w:rsidR="00404B59">
        <w:rPr>
          <w:color w:val="000000" w:themeColor="text1"/>
        </w:rPr>
        <w:t>D</w:t>
      </w:r>
      <w:r w:rsidRPr="009C6046">
        <w:rPr>
          <w:color w:val="000000" w:themeColor="text1"/>
        </w:rPr>
        <w:t>: Unit costs of care by health service</w:t>
      </w:r>
    </w:p>
    <w:p w14:paraId="4F2B3075" w14:textId="77777777" w:rsidR="00510550" w:rsidRPr="009C6046" w:rsidRDefault="00510550" w:rsidP="00510550">
      <w:pPr>
        <w:rPr>
          <w:rFonts w:asciiTheme="majorHAnsi" w:hAnsiTheme="majorHAnsi"/>
          <w:color w:val="000000" w:themeColor="text1"/>
        </w:rPr>
      </w:pPr>
    </w:p>
    <w:tbl>
      <w:tblPr>
        <w:tblW w:w="10819" w:type="dxa"/>
        <w:jc w:val="center"/>
        <w:tblInd w:w="93" w:type="dxa"/>
        <w:tblLayout w:type="fixed"/>
        <w:tblLook w:val="04A0" w:firstRow="1" w:lastRow="0" w:firstColumn="1" w:lastColumn="0" w:noHBand="0" w:noVBand="1"/>
      </w:tblPr>
      <w:tblGrid>
        <w:gridCol w:w="3453"/>
        <w:gridCol w:w="1127"/>
        <w:gridCol w:w="3040"/>
        <w:gridCol w:w="3199"/>
      </w:tblGrid>
      <w:tr w:rsidR="00510550" w:rsidRPr="009C6046" w14:paraId="01A6178D" w14:textId="77777777" w:rsidTr="00D3148C">
        <w:trPr>
          <w:trHeight w:val="280"/>
          <w:jc w:val="center"/>
        </w:trPr>
        <w:tc>
          <w:tcPr>
            <w:tcW w:w="3453" w:type="dxa"/>
            <w:tcBorders>
              <w:top w:val="single" w:sz="4" w:space="0" w:color="auto"/>
              <w:bottom w:val="single" w:sz="4" w:space="0" w:color="auto"/>
            </w:tcBorders>
            <w:shd w:val="clear" w:color="auto" w:fill="auto"/>
            <w:noWrap/>
            <w:vAlign w:val="bottom"/>
            <w:hideMark/>
          </w:tcPr>
          <w:p w14:paraId="46EEDA0F" w14:textId="77777777" w:rsidR="00510550" w:rsidRPr="009C6046" w:rsidRDefault="00510550" w:rsidP="00D3148C">
            <w:pPr>
              <w:jc w:val="center"/>
              <w:rPr>
                <w:rFonts w:ascii="Calibri" w:eastAsia="Times New Roman" w:hAnsi="Calibri" w:cs="Times New Roman"/>
                <w:color w:val="000000" w:themeColor="text1"/>
              </w:rPr>
            </w:pPr>
            <w:r w:rsidRPr="009C6046">
              <w:rPr>
                <w:rFonts w:ascii="Calibri" w:eastAsia="Times New Roman" w:hAnsi="Calibri" w:cs="Times New Roman"/>
                <w:color w:val="000000" w:themeColor="text1"/>
              </w:rPr>
              <w:t>Health service costs</w:t>
            </w:r>
          </w:p>
        </w:tc>
        <w:tc>
          <w:tcPr>
            <w:tcW w:w="1127" w:type="dxa"/>
            <w:tcBorders>
              <w:top w:val="single" w:sz="4" w:space="0" w:color="auto"/>
              <w:bottom w:val="single" w:sz="4" w:space="0" w:color="auto"/>
            </w:tcBorders>
            <w:shd w:val="clear" w:color="auto" w:fill="auto"/>
            <w:noWrap/>
            <w:vAlign w:val="bottom"/>
            <w:hideMark/>
          </w:tcPr>
          <w:p w14:paraId="54305E52" w14:textId="77777777" w:rsidR="00510550" w:rsidRPr="009C6046" w:rsidRDefault="00510550" w:rsidP="00D3148C">
            <w:pPr>
              <w:jc w:val="center"/>
              <w:rPr>
                <w:rFonts w:ascii="Calibri" w:eastAsia="Times New Roman" w:hAnsi="Calibri" w:cs="Times New Roman"/>
                <w:color w:val="000000" w:themeColor="text1"/>
              </w:rPr>
            </w:pPr>
            <w:r w:rsidRPr="009C6046">
              <w:rPr>
                <w:rFonts w:ascii="Calibri" w:eastAsia="Times New Roman" w:hAnsi="Calibri" w:cs="Times New Roman"/>
                <w:color w:val="000000" w:themeColor="text1"/>
              </w:rPr>
              <w:t>Unit cost</w:t>
            </w:r>
          </w:p>
        </w:tc>
        <w:tc>
          <w:tcPr>
            <w:tcW w:w="3040" w:type="dxa"/>
            <w:tcBorders>
              <w:top w:val="single" w:sz="4" w:space="0" w:color="auto"/>
              <w:bottom w:val="single" w:sz="4" w:space="0" w:color="auto"/>
            </w:tcBorders>
            <w:shd w:val="clear" w:color="auto" w:fill="auto"/>
            <w:noWrap/>
            <w:vAlign w:val="bottom"/>
            <w:hideMark/>
          </w:tcPr>
          <w:p w14:paraId="5E9F46B4" w14:textId="77777777" w:rsidR="00510550" w:rsidRPr="009C6046" w:rsidRDefault="00510550" w:rsidP="00D3148C">
            <w:pPr>
              <w:jc w:val="center"/>
              <w:rPr>
                <w:rFonts w:ascii="Calibri" w:eastAsia="Times New Roman" w:hAnsi="Calibri" w:cs="Times New Roman"/>
                <w:color w:val="000000" w:themeColor="text1"/>
              </w:rPr>
            </w:pPr>
            <w:r w:rsidRPr="009C6046">
              <w:rPr>
                <w:rFonts w:ascii="Calibri" w:eastAsia="Times New Roman" w:hAnsi="Calibri" w:cs="Times New Roman"/>
                <w:color w:val="000000" w:themeColor="text1"/>
              </w:rPr>
              <w:t>Source</w:t>
            </w:r>
          </w:p>
        </w:tc>
        <w:tc>
          <w:tcPr>
            <w:tcW w:w="3199" w:type="dxa"/>
            <w:tcBorders>
              <w:top w:val="single" w:sz="4" w:space="0" w:color="auto"/>
              <w:bottom w:val="single" w:sz="4" w:space="0" w:color="auto"/>
            </w:tcBorders>
            <w:shd w:val="clear" w:color="auto" w:fill="auto"/>
            <w:noWrap/>
            <w:vAlign w:val="bottom"/>
            <w:hideMark/>
          </w:tcPr>
          <w:p w14:paraId="1F685C35" w14:textId="77777777" w:rsidR="00510550" w:rsidRPr="009C6046" w:rsidRDefault="00510550" w:rsidP="00D3148C">
            <w:pPr>
              <w:jc w:val="center"/>
              <w:rPr>
                <w:rFonts w:ascii="Calibri" w:eastAsia="Times New Roman" w:hAnsi="Calibri" w:cs="Times New Roman"/>
                <w:color w:val="000000" w:themeColor="text1"/>
              </w:rPr>
            </w:pPr>
            <w:r w:rsidRPr="009C6046">
              <w:rPr>
                <w:rFonts w:ascii="Calibri" w:eastAsia="Times New Roman" w:hAnsi="Calibri" w:cs="Times New Roman"/>
                <w:color w:val="000000" w:themeColor="text1"/>
              </w:rPr>
              <w:t>Comments</w:t>
            </w:r>
          </w:p>
        </w:tc>
      </w:tr>
      <w:tr w:rsidR="00510550" w:rsidRPr="009C6046" w14:paraId="56EBD7E2" w14:textId="77777777" w:rsidTr="00D3148C">
        <w:trPr>
          <w:trHeight w:val="280"/>
          <w:jc w:val="center"/>
        </w:trPr>
        <w:tc>
          <w:tcPr>
            <w:tcW w:w="3453" w:type="dxa"/>
            <w:tcBorders>
              <w:top w:val="single" w:sz="4" w:space="0" w:color="auto"/>
            </w:tcBorders>
            <w:shd w:val="clear" w:color="auto" w:fill="auto"/>
            <w:noWrap/>
            <w:vAlign w:val="center"/>
            <w:hideMark/>
          </w:tcPr>
          <w:p w14:paraId="5BE23BD6" w14:textId="77777777" w:rsidR="00510550" w:rsidRPr="009C6046" w:rsidRDefault="00510550" w:rsidP="00D3148C">
            <w:pPr>
              <w:jc w:val="center"/>
              <w:rPr>
                <w:rFonts w:ascii="Calibri" w:eastAsia="Times New Roman" w:hAnsi="Calibri" w:cs="Times New Roman"/>
                <w:iCs/>
                <w:color w:val="000000" w:themeColor="text1"/>
                <w:sz w:val="20"/>
                <w:szCs w:val="20"/>
              </w:rPr>
            </w:pPr>
            <w:r w:rsidRPr="009C6046">
              <w:rPr>
                <w:rFonts w:ascii="Calibri" w:eastAsia="Times New Roman" w:hAnsi="Calibri" w:cs="Times New Roman"/>
                <w:color w:val="000000" w:themeColor="text1"/>
                <w:sz w:val="20"/>
                <w:szCs w:val="20"/>
              </w:rPr>
              <w:t>Telephone information and advice line</w:t>
            </w:r>
          </w:p>
        </w:tc>
        <w:tc>
          <w:tcPr>
            <w:tcW w:w="1127" w:type="dxa"/>
            <w:tcBorders>
              <w:top w:val="single" w:sz="4" w:space="0" w:color="auto"/>
            </w:tcBorders>
            <w:shd w:val="clear" w:color="auto" w:fill="auto"/>
            <w:noWrap/>
            <w:vAlign w:val="center"/>
            <w:hideMark/>
          </w:tcPr>
          <w:p w14:paraId="111E62C1" w14:textId="77777777" w:rsidR="00510550" w:rsidRPr="009C6046" w:rsidRDefault="00510550" w:rsidP="00D3148C">
            <w:pPr>
              <w:jc w:val="center"/>
              <w:rPr>
                <w:rFonts w:ascii="Calibri" w:eastAsia="Times New Roman" w:hAnsi="Calibri" w:cs="Times New Roman"/>
                <w:color w:val="000000" w:themeColor="text1"/>
                <w:sz w:val="20"/>
                <w:szCs w:val="20"/>
              </w:rPr>
            </w:pPr>
            <w:r w:rsidRPr="009C6046">
              <w:rPr>
                <w:rFonts w:ascii="Calibri" w:eastAsia="Times New Roman" w:hAnsi="Calibri" w:cs="Times New Roman"/>
                <w:color w:val="000000" w:themeColor="text1"/>
                <w:sz w:val="20"/>
                <w:szCs w:val="20"/>
              </w:rPr>
              <w:t>£20.53</w:t>
            </w:r>
          </w:p>
        </w:tc>
        <w:tc>
          <w:tcPr>
            <w:tcW w:w="3040" w:type="dxa"/>
            <w:tcBorders>
              <w:top w:val="single" w:sz="4" w:space="0" w:color="auto"/>
            </w:tcBorders>
            <w:shd w:val="clear" w:color="auto" w:fill="auto"/>
            <w:noWrap/>
            <w:vAlign w:val="center"/>
            <w:hideMark/>
          </w:tcPr>
          <w:p w14:paraId="55BF352B" w14:textId="77777777" w:rsidR="00510550" w:rsidRPr="009C6046" w:rsidRDefault="00510550" w:rsidP="00D3148C">
            <w:pPr>
              <w:jc w:val="center"/>
              <w:rPr>
                <w:rFonts w:ascii="Calibri" w:eastAsia="Times New Roman" w:hAnsi="Calibri" w:cs="Times New Roman"/>
                <w:color w:val="000000" w:themeColor="text1"/>
                <w:sz w:val="20"/>
                <w:szCs w:val="20"/>
              </w:rPr>
            </w:pPr>
            <w:r w:rsidRPr="009C6046">
              <w:rPr>
                <w:rFonts w:ascii="Calibri" w:eastAsia="Times New Roman" w:hAnsi="Calibri" w:cs="Times New Roman"/>
                <w:color w:val="000000" w:themeColor="text1"/>
                <w:sz w:val="20"/>
                <w:szCs w:val="20"/>
              </w:rPr>
              <w:t xml:space="preserve">Munro 2001 </w:t>
            </w:r>
            <w:r w:rsidRPr="009C6046">
              <w:rPr>
                <w:rFonts w:ascii="Calibri" w:eastAsia="Times New Roman" w:hAnsi="Calibri" w:cs="Times New Roman"/>
                <w:color w:val="000000" w:themeColor="text1"/>
                <w:sz w:val="20"/>
                <w:szCs w:val="20"/>
              </w:rPr>
              <w:fldChar w:fldCharType="begin" w:fldLock="1"/>
            </w:r>
            <w:r w:rsidRPr="009C6046">
              <w:rPr>
                <w:rFonts w:ascii="Calibri" w:eastAsia="Times New Roman" w:hAnsi="Calibri" w:cs="Times New Roman"/>
                <w:color w:val="000000" w:themeColor="text1"/>
                <w:sz w:val="20"/>
                <w:szCs w:val="20"/>
              </w:rPr>
              <w:instrText>ADDIN CSL_CITATION { "citationItems" : [ { "id" : "ITEM-1", "itemData" : { "author" : [ { "dropping-particle" : "", "family" : "Munro", "given" : "James", "non-dropping-particle" : "", "parse-names" : false, "suffix" : "" }, { "dropping-particle" : "", "family" : "Nicholl", "given" : "Jon", "non-dropping-particle" : "", "parse-names" : false, "suffix" : "" }, { "dropping-particle" : "", "family" : "Cathain", "given" : "Alicia O", "non-dropping-particle" : "", "parse-names" : false, "suffix" : "" }, { "dropping-particle" : "", "family" : "Knowles", "given" : "Emma", "non-dropping-particle" : "", "parse-names" : false, "suffix" : "" }, { "dropping-particle" : "", "family" : "Morgan", "given" : "Anne", "non-dropping-particle" : "", "parse-names" : false, "suffix" : "" } ], "id" : "ITEM-1", "issue" : "July", "issued" : { "date-parts" : [ [ "2001" ] ] }, "title" : "Evaluation of NHS Direct first wave sites : Final report of the phase 1 research", "type" : "report" }, "uris" : [ "http://www.mendeley.com/documents/?uuid=d99bdeeb-d49a-4990-9f56-fa4a649a77ea" ] } ], "mendeley" : { "formattedCitation" : "[5]", "plainTextFormattedCitation" : "[5]", "previouslyFormattedCitation" : "[14]" }, "properties" : { "noteIndex" : 0 }, "schema" : "https://github.com/citation-style-language/schema/raw/master/csl-citation.json" }</w:instrText>
            </w:r>
            <w:r w:rsidRPr="009C6046">
              <w:rPr>
                <w:rFonts w:ascii="Calibri" w:eastAsia="Times New Roman" w:hAnsi="Calibri" w:cs="Times New Roman"/>
                <w:color w:val="000000" w:themeColor="text1"/>
                <w:sz w:val="20"/>
                <w:szCs w:val="20"/>
              </w:rPr>
              <w:fldChar w:fldCharType="separate"/>
            </w:r>
            <w:r w:rsidRPr="009C6046">
              <w:rPr>
                <w:rFonts w:ascii="Calibri" w:eastAsia="Times New Roman" w:hAnsi="Calibri" w:cs="Times New Roman"/>
                <w:noProof/>
                <w:color w:val="000000" w:themeColor="text1"/>
                <w:sz w:val="20"/>
                <w:szCs w:val="20"/>
              </w:rPr>
              <w:t>[5]</w:t>
            </w:r>
            <w:r w:rsidRPr="009C6046">
              <w:rPr>
                <w:rFonts w:ascii="Calibri" w:eastAsia="Times New Roman" w:hAnsi="Calibri" w:cs="Times New Roman"/>
                <w:color w:val="000000" w:themeColor="text1"/>
                <w:sz w:val="20"/>
                <w:szCs w:val="20"/>
              </w:rPr>
              <w:fldChar w:fldCharType="end"/>
            </w:r>
          </w:p>
        </w:tc>
        <w:tc>
          <w:tcPr>
            <w:tcW w:w="3199" w:type="dxa"/>
            <w:tcBorders>
              <w:top w:val="single" w:sz="4" w:space="0" w:color="auto"/>
            </w:tcBorders>
            <w:shd w:val="clear" w:color="auto" w:fill="auto"/>
            <w:noWrap/>
            <w:vAlign w:val="center"/>
            <w:hideMark/>
          </w:tcPr>
          <w:p w14:paraId="23678F29" w14:textId="77777777" w:rsidR="00510550" w:rsidRPr="009C6046" w:rsidRDefault="00510550" w:rsidP="00D3148C">
            <w:pPr>
              <w:jc w:val="center"/>
              <w:rPr>
                <w:rFonts w:ascii="Calibri" w:eastAsia="Times New Roman" w:hAnsi="Calibri" w:cs="Times New Roman"/>
                <w:color w:val="000000" w:themeColor="text1"/>
                <w:sz w:val="20"/>
                <w:szCs w:val="20"/>
              </w:rPr>
            </w:pPr>
            <w:r w:rsidRPr="009C6046">
              <w:rPr>
                <w:rFonts w:ascii="Calibri" w:eastAsia="Times New Roman" w:hAnsi="Calibri" w:cs="Times New Roman"/>
                <w:color w:val="000000" w:themeColor="text1"/>
                <w:sz w:val="20"/>
                <w:szCs w:val="20"/>
              </w:rPr>
              <w:t>Updated to 2008-9 prices using HCHS Pay &amp; Prices Index</w:t>
            </w:r>
          </w:p>
        </w:tc>
      </w:tr>
      <w:tr w:rsidR="00510550" w:rsidRPr="009C6046" w14:paraId="1348A57B" w14:textId="77777777" w:rsidTr="00D3148C">
        <w:trPr>
          <w:trHeight w:val="280"/>
          <w:jc w:val="center"/>
        </w:trPr>
        <w:tc>
          <w:tcPr>
            <w:tcW w:w="3453" w:type="dxa"/>
            <w:shd w:val="clear" w:color="auto" w:fill="auto"/>
            <w:noWrap/>
            <w:vAlign w:val="center"/>
            <w:hideMark/>
          </w:tcPr>
          <w:p w14:paraId="30C5D796" w14:textId="77777777" w:rsidR="00510550" w:rsidRPr="009C6046" w:rsidRDefault="00510550" w:rsidP="00D3148C">
            <w:pPr>
              <w:jc w:val="center"/>
              <w:rPr>
                <w:rFonts w:ascii="Calibri" w:eastAsia="Times New Roman" w:hAnsi="Calibri" w:cs="Times New Roman"/>
                <w:iCs/>
                <w:color w:val="000000" w:themeColor="text1"/>
                <w:sz w:val="20"/>
                <w:szCs w:val="20"/>
              </w:rPr>
            </w:pPr>
            <w:r w:rsidRPr="009C6046">
              <w:rPr>
                <w:rFonts w:ascii="Calibri" w:eastAsia="Times New Roman" w:hAnsi="Calibri" w:cs="Times New Roman"/>
                <w:color w:val="000000" w:themeColor="text1"/>
                <w:sz w:val="20"/>
                <w:szCs w:val="20"/>
              </w:rPr>
              <w:t>Out-of-hours consultation</w:t>
            </w:r>
          </w:p>
        </w:tc>
        <w:tc>
          <w:tcPr>
            <w:tcW w:w="1127" w:type="dxa"/>
            <w:shd w:val="clear" w:color="auto" w:fill="auto"/>
            <w:noWrap/>
            <w:vAlign w:val="center"/>
            <w:hideMark/>
          </w:tcPr>
          <w:p w14:paraId="30EC7135" w14:textId="77777777" w:rsidR="00510550" w:rsidRPr="009C6046" w:rsidRDefault="00510550" w:rsidP="00D3148C">
            <w:pPr>
              <w:jc w:val="center"/>
              <w:rPr>
                <w:rFonts w:ascii="Calibri" w:eastAsia="Times New Roman" w:hAnsi="Calibri" w:cs="Times New Roman"/>
                <w:color w:val="000000" w:themeColor="text1"/>
                <w:sz w:val="20"/>
                <w:szCs w:val="20"/>
              </w:rPr>
            </w:pPr>
            <w:r w:rsidRPr="009C6046">
              <w:rPr>
                <w:rFonts w:ascii="Calibri" w:eastAsia="Times New Roman" w:hAnsi="Calibri" w:cs="Times New Roman"/>
                <w:color w:val="000000" w:themeColor="text1"/>
                <w:sz w:val="20"/>
                <w:szCs w:val="20"/>
              </w:rPr>
              <w:t>£77.92</w:t>
            </w:r>
          </w:p>
        </w:tc>
        <w:tc>
          <w:tcPr>
            <w:tcW w:w="3040" w:type="dxa"/>
            <w:shd w:val="clear" w:color="auto" w:fill="auto"/>
            <w:noWrap/>
            <w:vAlign w:val="center"/>
            <w:hideMark/>
          </w:tcPr>
          <w:p w14:paraId="79BFBE50" w14:textId="77777777" w:rsidR="00510550" w:rsidRPr="009C6046" w:rsidRDefault="00510550" w:rsidP="00D3148C">
            <w:pPr>
              <w:jc w:val="center"/>
              <w:rPr>
                <w:rFonts w:ascii="Calibri" w:eastAsia="Times New Roman" w:hAnsi="Calibri" w:cs="Times New Roman"/>
                <w:color w:val="000000" w:themeColor="text1"/>
                <w:sz w:val="20"/>
                <w:szCs w:val="20"/>
              </w:rPr>
            </w:pPr>
            <w:r w:rsidRPr="009C6046">
              <w:rPr>
                <w:rFonts w:ascii="Calibri" w:eastAsia="Times New Roman" w:hAnsi="Calibri" w:cs="Times New Roman"/>
                <w:color w:val="000000" w:themeColor="text1"/>
                <w:sz w:val="20"/>
                <w:szCs w:val="20"/>
              </w:rPr>
              <w:t xml:space="preserve">Santos 2009 </w:t>
            </w:r>
            <w:r w:rsidRPr="009C6046">
              <w:rPr>
                <w:rFonts w:ascii="Calibri" w:eastAsia="Times New Roman" w:hAnsi="Calibri" w:cs="Times New Roman"/>
                <w:color w:val="000000" w:themeColor="text1"/>
                <w:sz w:val="20"/>
                <w:szCs w:val="20"/>
              </w:rPr>
              <w:fldChar w:fldCharType="begin" w:fldLock="1"/>
            </w:r>
            <w:r w:rsidRPr="009C6046">
              <w:rPr>
                <w:rFonts w:ascii="Calibri" w:eastAsia="Times New Roman" w:hAnsi="Calibri" w:cs="Times New Roman"/>
                <w:color w:val="000000" w:themeColor="text1"/>
                <w:sz w:val="20"/>
                <w:szCs w:val="20"/>
              </w:rPr>
              <w:instrText>ADDIN CSL_CITATION { "citationItems" : [ { "id" : "ITEM-1", "itemData" : { "DOI" : "10.1017/S0950268810001615", "ISSN" : "1469-4409", "PMID" : "20598211", "abstract" : "This is the first study comparing societal costs of acute illness with Salmonella Typhimurium (ST) and Salmonella Enteritidis (SE) in the UK. It included the cost and severity of the illness and explored the impact of each Salmonella serovar on the patients, their families, the NHS, and the wider economy. The study ascertained confirmed cases of ST and SE between July and November 2008. The mean costs per case were \u00a31282 (ST) and \u00a3993 (SE). The indirect costs associated with the work-time lost by the case, parents, or carers were \u00a3409 (ST) and \u00a3228 (SE); this difference was statistically significant. The aggregate cost of ST and SE identified using laboratory test results for the UK as a whole was estimated as \u00a36.5 million. Work-time lost and caring activities are cost categories that are not frequently investigated within the infectious intestinal disease literature, although they represent an important societal cost.", "author" : [ { "dropping-particle" : "", "family" : "Santos", "given" : "A C", "non-dropping-particle" : "", "parse-names" : false, "suffix" : "" }, { "dropping-particle" : "", "family" : "Roberts", "given" : "J A", "non-dropping-particle" : "", "parse-names" : false, "suffix" : "" }, { "dropping-particle" : "", "family" : "Cook", "given" : "A J C", "non-dropping-particle" : "", "parse-names" : false, "suffix" : "" }, { "dropping-particle" : "", "family" : "Simons", "given" : "R", "non-dropping-particle" : "", "parse-names" : false, "suffix" : "" }, { "dropping-particle" : "", "family" : "Sheehan", "given" : "R", "non-dropping-particle" : "", "parse-names" : false, "suffix" : "" }, { "dropping-particle" : "", "family" : "Lane", "given" : "C", "non-dropping-particle" : "", "parse-names" : false, "suffix" : "" }, { "dropping-particle" : "", "family" : "Adak", "given" : "G K", "non-dropping-particle" : "", "parse-names" : false, "suffix" : "" }, { "dropping-particle" : "", "family" : "Clifton-Hadley", "given" : "F A", "non-dropping-particle" : "", "parse-names" : false, "suffix" : "" }, { "dropping-particle" : "", "family" : "Rodrigues", "given" : "L C", "non-dropping-particle" : "", "parse-names" : false, "suffix" : "" } ], "container-title" : "Epidemiology and infection", "id" : "ITEM-1", "issue" : "5", "issued" : { "date-parts" : [ [ "2011", "5" ] ] }, "page" : "742-53", "title" : "Salmonella Typhimurium and Salmonella Enteritidis in England: costs to patients, their families, and primary and community health services of the NHS.", "type" : "article-journal", "volume" : "139" }, "uris" : [ "http://www.mendeley.com/documents/?uuid=bc881930-386d-455e-9572-93f6fdadb26a" ] } ], "mendeley" : { "formattedCitation" : "[6]", "plainTextFormattedCitation" : "[6]", "previouslyFormattedCitation" : "[13]" }, "properties" : { "noteIndex" : 0 }, "schema" : "https://github.com/citation-style-language/schema/raw/master/csl-citation.json" }</w:instrText>
            </w:r>
            <w:r w:rsidRPr="009C6046">
              <w:rPr>
                <w:rFonts w:ascii="Calibri" w:eastAsia="Times New Roman" w:hAnsi="Calibri" w:cs="Times New Roman"/>
                <w:color w:val="000000" w:themeColor="text1"/>
                <w:sz w:val="20"/>
                <w:szCs w:val="20"/>
              </w:rPr>
              <w:fldChar w:fldCharType="separate"/>
            </w:r>
            <w:r w:rsidRPr="009C6046">
              <w:rPr>
                <w:rFonts w:ascii="Calibri" w:eastAsia="Times New Roman" w:hAnsi="Calibri" w:cs="Times New Roman"/>
                <w:noProof/>
                <w:color w:val="000000" w:themeColor="text1"/>
                <w:sz w:val="20"/>
                <w:szCs w:val="20"/>
              </w:rPr>
              <w:t>[6]</w:t>
            </w:r>
            <w:r w:rsidRPr="009C6046">
              <w:rPr>
                <w:rFonts w:ascii="Calibri" w:eastAsia="Times New Roman" w:hAnsi="Calibri" w:cs="Times New Roman"/>
                <w:color w:val="000000" w:themeColor="text1"/>
                <w:sz w:val="20"/>
                <w:szCs w:val="20"/>
              </w:rPr>
              <w:fldChar w:fldCharType="end"/>
            </w:r>
          </w:p>
        </w:tc>
        <w:tc>
          <w:tcPr>
            <w:tcW w:w="3199" w:type="dxa"/>
            <w:shd w:val="clear" w:color="auto" w:fill="auto"/>
            <w:noWrap/>
            <w:vAlign w:val="center"/>
            <w:hideMark/>
          </w:tcPr>
          <w:p w14:paraId="4BF50EE1" w14:textId="77777777" w:rsidR="00510550" w:rsidRPr="009C6046" w:rsidRDefault="00510550" w:rsidP="00D3148C">
            <w:pPr>
              <w:jc w:val="center"/>
              <w:rPr>
                <w:rFonts w:ascii="Calibri" w:eastAsia="Times New Roman" w:hAnsi="Calibri" w:cs="Times New Roman"/>
                <w:color w:val="000000" w:themeColor="text1"/>
                <w:sz w:val="20"/>
                <w:szCs w:val="20"/>
              </w:rPr>
            </w:pPr>
            <w:r w:rsidRPr="009C6046">
              <w:rPr>
                <w:rFonts w:ascii="Calibri" w:eastAsia="Times New Roman" w:hAnsi="Calibri" w:cs="Times New Roman"/>
                <w:color w:val="000000" w:themeColor="text1"/>
                <w:sz w:val="20"/>
                <w:szCs w:val="20"/>
              </w:rPr>
              <w:t>Updated to 2008-9 prices using HCHS Pay &amp; Prices Index</w:t>
            </w:r>
          </w:p>
        </w:tc>
      </w:tr>
      <w:tr w:rsidR="00510550" w:rsidRPr="009C6046" w14:paraId="221877A4" w14:textId="77777777" w:rsidTr="00D3148C">
        <w:trPr>
          <w:trHeight w:val="280"/>
          <w:jc w:val="center"/>
        </w:trPr>
        <w:tc>
          <w:tcPr>
            <w:tcW w:w="3453" w:type="dxa"/>
            <w:shd w:val="clear" w:color="auto" w:fill="auto"/>
            <w:noWrap/>
            <w:vAlign w:val="center"/>
            <w:hideMark/>
          </w:tcPr>
          <w:p w14:paraId="65012E0F" w14:textId="77777777" w:rsidR="00510550" w:rsidRPr="009C6046" w:rsidRDefault="00510550" w:rsidP="00D3148C">
            <w:pPr>
              <w:jc w:val="center"/>
              <w:rPr>
                <w:rFonts w:ascii="Calibri" w:eastAsia="Times New Roman" w:hAnsi="Calibri" w:cs="Times New Roman"/>
                <w:iCs/>
                <w:color w:val="000000" w:themeColor="text1"/>
                <w:sz w:val="20"/>
                <w:szCs w:val="20"/>
              </w:rPr>
            </w:pPr>
            <w:r w:rsidRPr="009C6046">
              <w:rPr>
                <w:rFonts w:ascii="Calibri" w:eastAsia="Times New Roman" w:hAnsi="Calibri" w:cs="Times New Roman"/>
                <w:color w:val="000000" w:themeColor="text1"/>
                <w:sz w:val="20"/>
                <w:szCs w:val="20"/>
              </w:rPr>
              <w:t>Phone call to GP</w:t>
            </w:r>
          </w:p>
        </w:tc>
        <w:tc>
          <w:tcPr>
            <w:tcW w:w="1127" w:type="dxa"/>
            <w:shd w:val="clear" w:color="auto" w:fill="auto"/>
            <w:noWrap/>
            <w:vAlign w:val="center"/>
            <w:hideMark/>
          </w:tcPr>
          <w:p w14:paraId="7950CF23" w14:textId="77777777" w:rsidR="00510550" w:rsidRPr="009C6046" w:rsidRDefault="00510550" w:rsidP="00D3148C">
            <w:pPr>
              <w:jc w:val="center"/>
              <w:rPr>
                <w:rFonts w:ascii="Calibri" w:eastAsia="Times New Roman" w:hAnsi="Calibri" w:cs="Times New Roman"/>
                <w:color w:val="000000" w:themeColor="text1"/>
                <w:sz w:val="20"/>
                <w:szCs w:val="20"/>
              </w:rPr>
            </w:pPr>
            <w:r w:rsidRPr="009C6046">
              <w:rPr>
                <w:rFonts w:ascii="Calibri" w:eastAsia="Times New Roman" w:hAnsi="Calibri" w:cs="Times New Roman"/>
                <w:color w:val="000000" w:themeColor="text1"/>
                <w:sz w:val="20"/>
                <w:szCs w:val="20"/>
              </w:rPr>
              <w:t>£18.00</w:t>
            </w:r>
          </w:p>
        </w:tc>
        <w:tc>
          <w:tcPr>
            <w:tcW w:w="3040" w:type="dxa"/>
            <w:shd w:val="clear" w:color="auto" w:fill="auto"/>
            <w:noWrap/>
            <w:vAlign w:val="center"/>
            <w:hideMark/>
          </w:tcPr>
          <w:p w14:paraId="2C275BD1" w14:textId="77777777" w:rsidR="00510550" w:rsidRPr="009C6046" w:rsidRDefault="00510550" w:rsidP="00D3148C">
            <w:pPr>
              <w:jc w:val="center"/>
              <w:rPr>
                <w:rFonts w:ascii="Calibri" w:eastAsia="Times New Roman" w:hAnsi="Calibri" w:cs="Times New Roman"/>
                <w:color w:val="000000" w:themeColor="text1"/>
                <w:sz w:val="20"/>
                <w:szCs w:val="20"/>
              </w:rPr>
            </w:pPr>
            <w:r w:rsidRPr="009C6046">
              <w:rPr>
                <w:rFonts w:ascii="Calibri" w:eastAsia="Times New Roman" w:hAnsi="Calibri" w:cs="Times New Roman"/>
                <w:color w:val="000000" w:themeColor="text1"/>
                <w:sz w:val="20"/>
                <w:szCs w:val="20"/>
              </w:rPr>
              <w:t xml:space="preserve">Curtis 2009 </w:t>
            </w:r>
            <w:r w:rsidRPr="009C6046">
              <w:rPr>
                <w:rFonts w:ascii="Calibri" w:eastAsia="Times New Roman" w:hAnsi="Calibri" w:cs="Times New Roman"/>
                <w:color w:val="000000" w:themeColor="text1"/>
                <w:sz w:val="20"/>
                <w:szCs w:val="20"/>
              </w:rPr>
              <w:fldChar w:fldCharType="begin" w:fldLock="1"/>
            </w:r>
            <w:r w:rsidRPr="009C6046">
              <w:rPr>
                <w:rFonts w:ascii="Calibri" w:eastAsia="Times New Roman" w:hAnsi="Calibri" w:cs="Times New Roman"/>
                <w:color w:val="000000" w:themeColor="text1"/>
                <w:sz w:val="20"/>
                <w:szCs w:val="20"/>
              </w:rPr>
              <w:instrText>ADDIN CSL_CITATION { "citationItems" : [ { "id" : "ITEM-1", "itemData" : { "ISBN" : "9781902671642", "author" : [ { "dropping-particle" : "", "family" : "Curtis", "given" : "Lesley", "non-dropping-particle" : "", "parse-names" : false, "suffix" : "" } ], "id" : "ITEM-1", "issued" : { "date-parts" : [ [ "2009" ] ] }, "title" : "Unit Costs of Health and Social Care 2009 rev. 1", "type" : "book" }, "uris" : [ "http://www.mendeley.com/documents/?uuid=15864e4a-5845-4589-9dc7-fef6bd0b3df9" ] } ], "mendeley" : { "formattedCitation" : "[7]", "plainTextFormattedCitation" : "[7]", "previouslyFormattedCitation" : "[12]" }, "properties" : { "noteIndex" : 0 }, "schema" : "https://github.com/citation-style-language/schema/raw/master/csl-citation.json" }</w:instrText>
            </w:r>
            <w:r w:rsidRPr="009C6046">
              <w:rPr>
                <w:rFonts w:ascii="Calibri" w:eastAsia="Times New Roman" w:hAnsi="Calibri" w:cs="Times New Roman"/>
                <w:color w:val="000000" w:themeColor="text1"/>
                <w:sz w:val="20"/>
                <w:szCs w:val="20"/>
              </w:rPr>
              <w:fldChar w:fldCharType="separate"/>
            </w:r>
            <w:r w:rsidRPr="009C6046">
              <w:rPr>
                <w:rFonts w:ascii="Calibri" w:eastAsia="Times New Roman" w:hAnsi="Calibri" w:cs="Times New Roman"/>
                <w:noProof/>
                <w:color w:val="000000" w:themeColor="text1"/>
                <w:sz w:val="20"/>
                <w:szCs w:val="20"/>
              </w:rPr>
              <w:t>[7]</w:t>
            </w:r>
            <w:r w:rsidRPr="009C6046">
              <w:rPr>
                <w:rFonts w:ascii="Calibri" w:eastAsia="Times New Roman" w:hAnsi="Calibri" w:cs="Times New Roman"/>
                <w:color w:val="000000" w:themeColor="text1"/>
                <w:sz w:val="20"/>
                <w:szCs w:val="20"/>
              </w:rPr>
              <w:fldChar w:fldCharType="end"/>
            </w:r>
          </w:p>
        </w:tc>
        <w:tc>
          <w:tcPr>
            <w:tcW w:w="3199" w:type="dxa"/>
            <w:shd w:val="clear" w:color="auto" w:fill="auto"/>
            <w:noWrap/>
            <w:vAlign w:val="center"/>
            <w:hideMark/>
          </w:tcPr>
          <w:p w14:paraId="7CFA1C31" w14:textId="77777777" w:rsidR="00510550" w:rsidRPr="009C6046" w:rsidRDefault="00510550" w:rsidP="00D3148C">
            <w:pPr>
              <w:jc w:val="center"/>
              <w:rPr>
                <w:rFonts w:ascii="Calibri" w:eastAsia="Times New Roman" w:hAnsi="Calibri" w:cs="Times New Roman"/>
                <w:color w:val="000000" w:themeColor="text1"/>
                <w:sz w:val="20"/>
                <w:szCs w:val="20"/>
              </w:rPr>
            </w:pPr>
          </w:p>
        </w:tc>
      </w:tr>
      <w:tr w:rsidR="00510550" w:rsidRPr="009C6046" w14:paraId="4C05751B" w14:textId="77777777" w:rsidTr="00D3148C">
        <w:trPr>
          <w:trHeight w:val="280"/>
          <w:jc w:val="center"/>
        </w:trPr>
        <w:tc>
          <w:tcPr>
            <w:tcW w:w="3453" w:type="dxa"/>
            <w:shd w:val="clear" w:color="auto" w:fill="auto"/>
            <w:noWrap/>
            <w:vAlign w:val="center"/>
            <w:hideMark/>
          </w:tcPr>
          <w:p w14:paraId="1FB2A187" w14:textId="77777777" w:rsidR="00510550" w:rsidRPr="009C6046" w:rsidRDefault="00510550" w:rsidP="00D3148C">
            <w:pPr>
              <w:jc w:val="center"/>
              <w:rPr>
                <w:rFonts w:ascii="Calibri" w:eastAsia="Times New Roman" w:hAnsi="Calibri" w:cs="Times New Roman"/>
                <w:iCs/>
                <w:color w:val="000000" w:themeColor="text1"/>
                <w:sz w:val="20"/>
                <w:szCs w:val="20"/>
              </w:rPr>
            </w:pPr>
            <w:r w:rsidRPr="009C6046">
              <w:rPr>
                <w:rFonts w:ascii="Calibri" w:eastAsia="Times New Roman" w:hAnsi="Calibri" w:cs="Times New Roman"/>
                <w:color w:val="000000" w:themeColor="text1"/>
                <w:sz w:val="20"/>
                <w:szCs w:val="20"/>
              </w:rPr>
              <w:t>In-person GP consultation</w:t>
            </w:r>
          </w:p>
        </w:tc>
        <w:tc>
          <w:tcPr>
            <w:tcW w:w="1127" w:type="dxa"/>
            <w:shd w:val="clear" w:color="auto" w:fill="auto"/>
            <w:noWrap/>
            <w:vAlign w:val="center"/>
            <w:hideMark/>
          </w:tcPr>
          <w:p w14:paraId="22EB6E71" w14:textId="77777777" w:rsidR="00510550" w:rsidRPr="009C6046" w:rsidRDefault="00510550" w:rsidP="00D3148C">
            <w:pPr>
              <w:jc w:val="center"/>
              <w:rPr>
                <w:rFonts w:ascii="Calibri" w:eastAsia="Times New Roman" w:hAnsi="Calibri" w:cs="Times New Roman"/>
                <w:color w:val="000000" w:themeColor="text1"/>
                <w:sz w:val="20"/>
                <w:szCs w:val="20"/>
              </w:rPr>
            </w:pPr>
            <w:r w:rsidRPr="009C6046">
              <w:rPr>
                <w:rFonts w:ascii="Calibri" w:eastAsia="Times New Roman" w:hAnsi="Calibri" w:cs="Times New Roman"/>
                <w:color w:val="000000" w:themeColor="text1"/>
                <w:sz w:val="20"/>
                <w:szCs w:val="20"/>
              </w:rPr>
              <w:t>£31.00</w:t>
            </w:r>
          </w:p>
        </w:tc>
        <w:tc>
          <w:tcPr>
            <w:tcW w:w="3040" w:type="dxa"/>
            <w:shd w:val="clear" w:color="auto" w:fill="auto"/>
            <w:noWrap/>
            <w:vAlign w:val="center"/>
            <w:hideMark/>
          </w:tcPr>
          <w:p w14:paraId="3CF8B9F2" w14:textId="77777777" w:rsidR="00510550" w:rsidRPr="009C6046" w:rsidRDefault="00510550" w:rsidP="00D3148C">
            <w:pPr>
              <w:jc w:val="center"/>
              <w:rPr>
                <w:rFonts w:ascii="Calibri" w:eastAsia="Times New Roman" w:hAnsi="Calibri" w:cs="Times New Roman"/>
                <w:color w:val="000000" w:themeColor="text1"/>
                <w:sz w:val="20"/>
                <w:szCs w:val="20"/>
              </w:rPr>
            </w:pPr>
            <w:r w:rsidRPr="009C6046">
              <w:rPr>
                <w:rFonts w:ascii="Calibri" w:eastAsia="Times New Roman" w:hAnsi="Calibri" w:cs="Times New Roman"/>
                <w:color w:val="000000" w:themeColor="text1"/>
                <w:sz w:val="20"/>
                <w:szCs w:val="20"/>
              </w:rPr>
              <w:t xml:space="preserve">Curtis 2009 </w:t>
            </w:r>
            <w:r w:rsidRPr="009C6046">
              <w:rPr>
                <w:rFonts w:ascii="Calibri" w:eastAsia="Times New Roman" w:hAnsi="Calibri" w:cs="Times New Roman"/>
                <w:color w:val="000000" w:themeColor="text1"/>
                <w:sz w:val="20"/>
                <w:szCs w:val="20"/>
              </w:rPr>
              <w:fldChar w:fldCharType="begin" w:fldLock="1"/>
            </w:r>
            <w:r w:rsidRPr="009C6046">
              <w:rPr>
                <w:rFonts w:ascii="Calibri" w:eastAsia="Times New Roman" w:hAnsi="Calibri" w:cs="Times New Roman"/>
                <w:color w:val="000000" w:themeColor="text1"/>
                <w:sz w:val="20"/>
                <w:szCs w:val="20"/>
              </w:rPr>
              <w:instrText>ADDIN CSL_CITATION { "citationItems" : [ { "id" : "ITEM-1", "itemData" : { "ISBN" : "9781902671642", "author" : [ { "dropping-particle" : "", "family" : "Curtis", "given" : "Lesley", "non-dropping-particle" : "", "parse-names" : false, "suffix" : "" } ], "id" : "ITEM-1", "issued" : { "date-parts" : [ [ "2009" ] ] }, "title" : "Unit Costs of Health and Social Care 2009 rev. 1", "type" : "book" }, "uris" : [ "http://www.mendeley.com/documents/?uuid=15864e4a-5845-4589-9dc7-fef6bd0b3df9" ] } ], "mendeley" : { "formattedCitation" : "[7]", "plainTextFormattedCitation" : "[7]", "previouslyFormattedCitation" : "[12]" }, "properties" : { "noteIndex" : 0 }, "schema" : "https://github.com/citation-style-language/schema/raw/master/csl-citation.json" }</w:instrText>
            </w:r>
            <w:r w:rsidRPr="009C6046">
              <w:rPr>
                <w:rFonts w:ascii="Calibri" w:eastAsia="Times New Roman" w:hAnsi="Calibri" w:cs="Times New Roman"/>
                <w:color w:val="000000" w:themeColor="text1"/>
                <w:sz w:val="20"/>
                <w:szCs w:val="20"/>
              </w:rPr>
              <w:fldChar w:fldCharType="separate"/>
            </w:r>
            <w:r w:rsidRPr="009C6046">
              <w:rPr>
                <w:rFonts w:ascii="Calibri" w:eastAsia="Times New Roman" w:hAnsi="Calibri" w:cs="Times New Roman"/>
                <w:noProof/>
                <w:color w:val="000000" w:themeColor="text1"/>
                <w:sz w:val="20"/>
                <w:szCs w:val="20"/>
              </w:rPr>
              <w:t>[7]</w:t>
            </w:r>
            <w:r w:rsidRPr="009C6046">
              <w:rPr>
                <w:rFonts w:ascii="Calibri" w:eastAsia="Times New Roman" w:hAnsi="Calibri" w:cs="Times New Roman"/>
                <w:color w:val="000000" w:themeColor="text1"/>
                <w:sz w:val="20"/>
                <w:szCs w:val="20"/>
              </w:rPr>
              <w:fldChar w:fldCharType="end"/>
            </w:r>
          </w:p>
        </w:tc>
        <w:tc>
          <w:tcPr>
            <w:tcW w:w="3199" w:type="dxa"/>
            <w:shd w:val="clear" w:color="auto" w:fill="auto"/>
            <w:noWrap/>
            <w:vAlign w:val="center"/>
            <w:hideMark/>
          </w:tcPr>
          <w:p w14:paraId="2D024B09" w14:textId="77777777" w:rsidR="00510550" w:rsidRPr="009C6046" w:rsidRDefault="00510550" w:rsidP="00D3148C">
            <w:pPr>
              <w:jc w:val="center"/>
              <w:rPr>
                <w:rFonts w:ascii="Calibri" w:eastAsia="Times New Roman" w:hAnsi="Calibri" w:cs="Times New Roman"/>
                <w:color w:val="000000" w:themeColor="text1"/>
                <w:sz w:val="20"/>
                <w:szCs w:val="20"/>
              </w:rPr>
            </w:pPr>
          </w:p>
        </w:tc>
      </w:tr>
      <w:tr w:rsidR="00510550" w:rsidRPr="009C6046" w14:paraId="39359D43" w14:textId="77777777" w:rsidTr="00D3148C">
        <w:trPr>
          <w:trHeight w:val="280"/>
          <w:jc w:val="center"/>
        </w:trPr>
        <w:tc>
          <w:tcPr>
            <w:tcW w:w="3453" w:type="dxa"/>
            <w:shd w:val="clear" w:color="auto" w:fill="auto"/>
            <w:noWrap/>
            <w:vAlign w:val="center"/>
            <w:hideMark/>
          </w:tcPr>
          <w:p w14:paraId="086A68AD" w14:textId="77777777" w:rsidR="00510550" w:rsidRPr="009C6046" w:rsidRDefault="00510550" w:rsidP="00D3148C">
            <w:pPr>
              <w:jc w:val="center"/>
              <w:rPr>
                <w:rFonts w:ascii="Calibri" w:eastAsia="Times New Roman" w:hAnsi="Calibri" w:cs="Times New Roman"/>
                <w:iCs/>
                <w:color w:val="000000" w:themeColor="text1"/>
                <w:sz w:val="20"/>
                <w:szCs w:val="20"/>
              </w:rPr>
            </w:pPr>
            <w:r w:rsidRPr="009C6046">
              <w:rPr>
                <w:rFonts w:ascii="Calibri" w:eastAsia="Times New Roman" w:hAnsi="Calibri" w:cs="Times New Roman"/>
                <w:color w:val="000000" w:themeColor="text1"/>
                <w:sz w:val="20"/>
                <w:szCs w:val="20"/>
              </w:rPr>
              <w:t>Accident &amp; Emergency</w:t>
            </w:r>
          </w:p>
        </w:tc>
        <w:tc>
          <w:tcPr>
            <w:tcW w:w="1127" w:type="dxa"/>
            <w:shd w:val="clear" w:color="auto" w:fill="auto"/>
            <w:noWrap/>
            <w:vAlign w:val="center"/>
            <w:hideMark/>
          </w:tcPr>
          <w:p w14:paraId="753E5C7B" w14:textId="77777777" w:rsidR="00510550" w:rsidRPr="009C6046" w:rsidRDefault="00510550" w:rsidP="00D3148C">
            <w:pPr>
              <w:jc w:val="center"/>
              <w:rPr>
                <w:rFonts w:ascii="Calibri" w:eastAsia="Times New Roman" w:hAnsi="Calibri" w:cs="Times New Roman"/>
                <w:color w:val="000000" w:themeColor="text1"/>
                <w:sz w:val="20"/>
                <w:szCs w:val="20"/>
              </w:rPr>
            </w:pPr>
            <w:r w:rsidRPr="009C6046">
              <w:rPr>
                <w:rFonts w:ascii="Calibri" w:eastAsia="Times New Roman" w:hAnsi="Calibri" w:cs="Times New Roman"/>
                <w:color w:val="000000" w:themeColor="text1"/>
                <w:sz w:val="20"/>
                <w:szCs w:val="20"/>
              </w:rPr>
              <w:t>£93.00</w:t>
            </w:r>
          </w:p>
        </w:tc>
        <w:tc>
          <w:tcPr>
            <w:tcW w:w="3040" w:type="dxa"/>
            <w:shd w:val="clear" w:color="auto" w:fill="auto"/>
            <w:noWrap/>
            <w:vAlign w:val="center"/>
            <w:hideMark/>
          </w:tcPr>
          <w:p w14:paraId="746EDE41" w14:textId="77777777" w:rsidR="00510550" w:rsidRPr="009C6046" w:rsidRDefault="00510550" w:rsidP="00D3148C">
            <w:pPr>
              <w:jc w:val="center"/>
              <w:rPr>
                <w:rFonts w:ascii="Calibri" w:eastAsia="Times New Roman" w:hAnsi="Calibri" w:cs="Times New Roman"/>
                <w:color w:val="000000" w:themeColor="text1"/>
                <w:sz w:val="20"/>
                <w:szCs w:val="20"/>
              </w:rPr>
            </w:pPr>
            <w:r w:rsidRPr="009C6046">
              <w:rPr>
                <w:rFonts w:ascii="Calibri" w:eastAsia="Times New Roman" w:hAnsi="Calibri" w:cs="Times New Roman"/>
                <w:color w:val="000000" w:themeColor="text1"/>
                <w:sz w:val="20"/>
                <w:szCs w:val="20"/>
              </w:rPr>
              <w:t xml:space="preserve">Curtis 2009 </w:t>
            </w:r>
            <w:r w:rsidRPr="009C6046">
              <w:rPr>
                <w:rFonts w:ascii="Calibri" w:eastAsia="Times New Roman" w:hAnsi="Calibri" w:cs="Times New Roman"/>
                <w:color w:val="000000" w:themeColor="text1"/>
                <w:sz w:val="20"/>
                <w:szCs w:val="20"/>
              </w:rPr>
              <w:fldChar w:fldCharType="begin" w:fldLock="1"/>
            </w:r>
            <w:r w:rsidRPr="009C6046">
              <w:rPr>
                <w:rFonts w:ascii="Calibri" w:eastAsia="Times New Roman" w:hAnsi="Calibri" w:cs="Times New Roman"/>
                <w:color w:val="000000" w:themeColor="text1"/>
                <w:sz w:val="20"/>
                <w:szCs w:val="20"/>
              </w:rPr>
              <w:instrText>ADDIN CSL_CITATION { "citationItems" : [ { "id" : "ITEM-1", "itemData" : { "ISBN" : "9781902671642", "author" : [ { "dropping-particle" : "", "family" : "Curtis", "given" : "Lesley", "non-dropping-particle" : "", "parse-names" : false, "suffix" : "" } ], "id" : "ITEM-1", "issued" : { "date-parts" : [ [ "2009" ] ] }, "title" : "Unit Costs of Health and Social Care 2009 rev. 1", "type" : "book" }, "uris" : [ "http://www.mendeley.com/documents/?uuid=15864e4a-5845-4589-9dc7-fef6bd0b3df9" ] } ], "mendeley" : { "formattedCitation" : "[7]", "plainTextFormattedCitation" : "[7]", "previouslyFormattedCitation" : "[12]" }, "properties" : { "noteIndex" : 0 }, "schema" : "https://github.com/citation-style-language/schema/raw/master/csl-citation.json" }</w:instrText>
            </w:r>
            <w:r w:rsidRPr="009C6046">
              <w:rPr>
                <w:rFonts w:ascii="Calibri" w:eastAsia="Times New Roman" w:hAnsi="Calibri" w:cs="Times New Roman"/>
                <w:color w:val="000000" w:themeColor="text1"/>
                <w:sz w:val="20"/>
                <w:szCs w:val="20"/>
              </w:rPr>
              <w:fldChar w:fldCharType="separate"/>
            </w:r>
            <w:r w:rsidRPr="009C6046">
              <w:rPr>
                <w:rFonts w:ascii="Calibri" w:eastAsia="Times New Roman" w:hAnsi="Calibri" w:cs="Times New Roman"/>
                <w:noProof/>
                <w:color w:val="000000" w:themeColor="text1"/>
                <w:sz w:val="20"/>
                <w:szCs w:val="20"/>
              </w:rPr>
              <w:t>[7]</w:t>
            </w:r>
            <w:r w:rsidRPr="009C6046">
              <w:rPr>
                <w:rFonts w:ascii="Calibri" w:eastAsia="Times New Roman" w:hAnsi="Calibri" w:cs="Times New Roman"/>
                <w:color w:val="000000" w:themeColor="text1"/>
                <w:sz w:val="20"/>
                <w:szCs w:val="20"/>
              </w:rPr>
              <w:fldChar w:fldCharType="end"/>
            </w:r>
          </w:p>
        </w:tc>
        <w:tc>
          <w:tcPr>
            <w:tcW w:w="3199" w:type="dxa"/>
            <w:shd w:val="clear" w:color="auto" w:fill="auto"/>
            <w:noWrap/>
            <w:vAlign w:val="center"/>
            <w:hideMark/>
          </w:tcPr>
          <w:p w14:paraId="5C516251" w14:textId="77777777" w:rsidR="00510550" w:rsidRPr="009C6046" w:rsidRDefault="00510550" w:rsidP="00D3148C">
            <w:pPr>
              <w:jc w:val="center"/>
              <w:rPr>
                <w:rFonts w:ascii="Calibri" w:eastAsia="Times New Roman" w:hAnsi="Calibri" w:cs="Times New Roman"/>
                <w:color w:val="000000" w:themeColor="text1"/>
                <w:sz w:val="20"/>
                <w:szCs w:val="20"/>
              </w:rPr>
            </w:pPr>
          </w:p>
        </w:tc>
      </w:tr>
      <w:tr w:rsidR="00510550" w:rsidRPr="009C6046" w14:paraId="633BD779" w14:textId="77777777" w:rsidTr="00D3148C">
        <w:trPr>
          <w:trHeight w:val="316"/>
          <w:jc w:val="center"/>
        </w:trPr>
        <w:tc>
          <w:tcPr>
            <w:tcW w:w="3453" w:type="dxa"/>
            <w:tcBorders>
              <w:bottom w:val="single" w:sz="4" w:space="0" w:color="auto"/>
            </w:tcBorders>
            <w:shd w:val="clear" w:color="auto" w:fill="auto"/>
            <w:noWrap/>
            <w:vAlign w:val="center"/>
            <w:hideMark/>
          </w:tcPr>
          <w:p w14:paraId="58DED307" w14:textId="77777777" w:rsidR="00510550" w:rsidRPr="009C6046" w:rsidRDefault="00510550" w:rsidP="00D3148C">
            <w:pPr>
              <w:jc w:val="center"/>
              <w:rPr>
                <w:rFonts w:ascii="Calibri" w:eastAsia="Times New Roman" w:hAnsi="Calibri" w:cs="Times New Roman"/>
                <w:iCs/>
                <w:color w:val="000000" w:themeColor="text1"/>
                <w:sz w:val="20"/>
                <w:szCs w:val="20"/>
              </w:rPr>
            </w:pPr>
            <w:r w:rsidRPr="009C6046">
              <w:rPr>
                <w:rFonts w:ascii="Calibri" w:eastAsia="Times New Roman" w:hAnsi="Calibri" w:cs="Times New Roman"/>
                <w:color w:val="000000" w:themeColor="text1"/>
                <w:sz w:val="20"/>
                <w:szCs w:val="20"/>
              </w:rPr>
              <w:t>Hospitalisation</w:t>
            </w:r>
          </w:p>
        </w:tc>
        <w:tc>
          <w:tcPr>
            <w:tcW w:w="1127" w:type="dxa"/>
            <w:tcBorders>
              <w:bottom w:val="single" w:sz="4" w:space="0" w:color="auto"/>
            </w:tcBorders>
            <w:shd w:val="clear" w:color="auto" w:fill="auto"/>
            <w:noWrap/>
            <w:vAlign w:val="center"/>
            <w:hideMark/>
          </w:tcPr>
          <w:p w14:paraId="77529C84" w14:textId="77777777" w:rsidR="00510550" w:rsidRPr="009C6046" w:rsidRDefault="00510550" w:rsidP="00D3148C">
            <w:pPr>
              <w:jc w:val="center"/>
              <w:rPr>
                <w:rFonts w:ascii="Calibri" w:eastAsia="Times New Roman" w:hAnsi="Calibri" w:cs="Times New Roman"/>
                <w:color w:val="000000" w:themeColor="text1"/>
                <w:sz w:val="20"/>
                <w:szCs w:val="20"/>
              </w:rPr>
            </w:pPr>
            <w:r w:rsidRPr="009C6046">
              <w:rPr>
                <w:rFonts w:ascii="Calibri" w:eastAsia="Times New Roman" w:hAnsi="Calibri" w:cs="Times New Roman"/>
                <w:color w:val="000000" w:themeColor="text1"/>
                <w:sz w:val="20"/>
                <w:szCs w:val="20"/>
              </w:rPr>
              <w:t>£467.09</w:t>
            </w:r>
          </w:p>
        </w:tc>
        <w:tc>
          <w:tcPr>
            <w:tcW w:w="3040" w:type="dxa"/>
            <w:tcBorders>
              <w:bottom w:val="single" w:sz="4" w:space="0" w:color="auto"/>
            </w:tcBorders>
            <w:shd w:val="clear" w:color="auto" w:fill="auto"/>
            <w:noWrap/>
            <w:vAlign w:val="center"/>
            <w:hideMark/>
          </w:tcPr>
          <w:p w14:paraId="374B6027" w14:textId="77777777" w:rsidR="00510550" w:rsidRPr="009C6046" w:rsidRDefault="00510550" w:rsidP="00D3148C">
            <w:pPr>
              <w:jc w:val="center"/>
              <w:rPr>
                <w:rFonts w:ascii="Calibri" w:eastAsia="Times New Roman" w:hAnsi="Calibri" w:cs="Times New Roman"/>
                <w:color w:val="000000" w:themeColor="text1"/>
                <w:sz w:val="20"/>
                <w:szCs w:val="20"/>
              </w:rPr>
            </w:pPr>
            <w:r w:rsidRPr="009C6046">
              <w:rPr>
                <w:rFonts w:ascii="Calibri" w:eastAsia="Times New Roman" w:hAnsi="Calibri" w:cs="Times New Roman"/>
                <w:color w:val="000000" w:themeColor="text1"/>
                <w:sz w:val="20"/>
                <w:szCs w:val="20"/>
              </w:rPr>
              <w:t xml:space="preserve">NHS reference costs 2008-9 </w:t>
            </w:r>
            <w:r w:rsidRPr="009C6046">
              <w:rPr>
                <w:rFonts w:ascii="Calibri" w:eastAsia="Times New Roman" w:hAnsi="Calibri" w:cs="Times New Roman"/>
                <w:color w:val="000000" w:themeColor="text1"/>
                <w:sz w:val="20"/>
                <w:szCs w:val="20"/>
              </w:rPr>
              <w:fldChar w:fldCharType="begin" w:fldLock="1"/>
            </w:r>
            <w:r w:rsidRPr="009C6046">
              <w:rPr>
                <w:rFonts w:ascii="Calibri" w:eastAsia="Times New Roman" w:hAnsi="Calibri" w:cs="Times New Roman"/>
                <w:color w:val="000000" w:themeColor="text1"/>
                <w:sz w:val="20"/>
                <w:szCs w:val="20"/>
              </w:rPr>
              <w:instrText>ADDIN CSL_CITATION { "citationItems" : [ { "id" : "ITEM-1", "itemData" : { "URL" : "http://data.gov.uk/dataset/nhs-reference-costs2008-09", "author" : [ { "dropping-particle" : "", "family" : "Department of Health", "given" : "", "non-dropping-particle" : "", "parse-names" : false, "suffix" : "" } ], "id" : "ITEM-1", "issued" : { "date-parts" : [ [ "2009" ] ] }, "title" : "NHS Reference Costs 2008-9", "type" : "webpage" }, "uris" : [ "http://www.mendeley.com/documents/?uuid=cfc858b8-3b64-4399-941d-898a6fa85735" ] } ], "mendeley" : { "formattedCitation" : "[8]", "plainTextFormattedCitation" : "[8]", "previouslyFormattedCitation" : "[15]" }, "properties" : { "noteIndex" : 0 }, "schema" : "https://github.com/citation-style-language/schema/raw/master/csl-citation.json" }</w:instrText>
            </w:r>
            <w:r w:rsidRPr="009C6046">
              <w:rPr>
                <w:rFonts w:ascii="Calibri" w:eastAsia="Times New Roman" w:hAnsi="Calibri" w:cs="Times New Roman"/>
                <w:color w:val="000000" w:themeColor="text1"/>
                <w:sz w:val="20"/>
                <w:szCs w:val="20"/>
              </w:rPr>
              <w:fldChar w:fldCharType="separate"/>
            </w:r>
            <w:r w:rsidRPr="009C6046">
              <w:rPr>
                <w:rFonts w:ascii="Calibri" w:eastAsia="Times New Roman" w:hAnsi="Calibri" w:cs="Times New Roman"/>
                <w:noProof/>
                <w:color w:val="000000" w:themeColor="text1"/>
                <w:sz w:val="20"/>
                <w:szCs w:val="20"/>
              </w:rPr>
              <w:t>[8]</w:t>
            </w:r>
            <w:r w:rsidRPr="009C6046">
              <w:rPr>
                <w:rFonts w:ascii="Calibri" w:eastAsia="Times New Roman" w:hAnsi="Calibri" w:cs="Times New Roman"/>
                <w:color w:val="000000" w:themeColor="text1"/>
                <w:sz w:val="20"/>
                <w:szCs w:val="20"/>
              </w:rPr>
              <w:fldChar w:fldCharType="end"/>
            </w:r>
          </w:p>
        </w:tc>
        <w:tc>
          <w:tcPr>
            <w:tcW w:w="3199" w:type="dxa"/>
            <w:tcBorders>
              <w:bottom w:val="single" w:sz="4" w:space="0" w:color="auto"/>
            </w:tcBorders>
            <w:shd w:val="clear" w:color="auto" w:fill="auto"/>
            <w:noWrap/>
            <w:vAlign w:val="center"/>
            <w:hideMark/>
          </w:tcPr>
          <w:p w14:paraId="61B476BB" w14:textId="77777777" w:rsidR="00510550" w:rsidRPr="009C6046" w:rsidRDefault="00510550" w:rsidP="00D3148C">
            <w:pPr>
              <w:jc w:val="center"/>
              <w:rPr>
                <w:rFonts w:ascii="Calibri" w:eastAsia="Times New Roman" w:hAnsi="Calibri" w:cs="Times New Roman"/>
                <w:color w:val="000000" w:themeColor="text1"/>
                <w:sz w:val="20"/>
                <w:szCs w:val="20"/>
              </w:rPr>
            </w:pPr>
          </w:p>
        </w:tc>
      </w:tr>
    </w:tbl>
    <w:p w14:paraId="09C61A3F" w14:textId="77777777" w:rsidR="00510550" w:rsidRPr="009C6046" w:rsidRDefault="00510550" w:rsidP="00510550">
      <w:pPr>
        <w:jc w:val="both"/>
        <w:rPr>
          <w:color w:val="000000" w:themeColor="text1"/>
          <w:sz w:val="18"/>
          <w:szCs w:val="18"/>
        </w:rPr>
      </w:pPr>
      <w:r w:rsidRPr="009C6046">
        <w:rPr>
          <w:color w:val="000000" w:themeColor="text1"/>
          <w:sz w:val="18"/>
          <w:szCs w:val="18"/>
        </w:rPr>
        <w:t>Health services are defined as follows: In-person GP consultation – a face-to-face consultation with a GP that takes place at the clinic; Telephone GP consultation – a consultation with a GP that takes place over the telephone; Out-of-hours consultation – a consultation with a dedicated service that provides health services outside GP operating hours (evenings and weekends); Accident &amp; Emergency visit – a consultation at a hospital Accident &amp; Emergency department; Telephone information and advice line – a telephone call to a dedicated service that provides syndrome-based medical triage and advice (at the time of this study, these services were NHS Direct in England and Wales, and NHS24 in Scotland); Hospital admission – an overnight stay in a hospital as a result of illness.</w:t>
      </w:r>
    </w:p>
    <w:p w14:paraId="0FE99BD6" w14:textId="77777777" w:rsidR="00510550" w:rsidRPr="009C6046" w:rsidRDefault="00510550" w:rsidP="00510550">
      <w:pPr>
        <w:rPr>
          <w:color w:val="000000" w:themeColor="text1"/>
        </w:rPr>
        <w:sectPr w:rsidR="00510550" w:rsidRPr="009C6046" w:rsidSect="00CD52F5">
          <w:pgSz w:w="16840" w:h="11901" w:orient="landscape"/>
          <w:pgMar w:top="1440" w:right="1440" w:bottom="0" w:left="1440" w:header="720" w:footer="720" w:gutter="0"/>
          <w:cols w:space="720"/>
          <w:docGrid w:linePitch="360"/>
        </w:sectPr>
      </w:pPr>
    </w:p>
    <w:p w14:paraId="100C1605" w14:textId="77777777" w:rsidR="00510550" w:rsidRPr="009C6046" w:rsidRDefault="00404B59" w:rsidP="00510550">
      <w:pPr>
        <w:pStyle w:val="Heading2"/>
        <w:ind w:left="426"/>
        <w:rPr>
          <w:color w:val="000000" w:themeColor="text1"/>
        </w:rPr>
      </w:pPr>
      <w:r>
        <w:rPr>
          <w:color w:val="000000" w:themeColor="text1"/>
        </w:rPr>
        <w:t>Table E</w:t>
      </w:r>
      <w:r w:rsidR="00510550" w:rsidRPr="009C6046">
        <w:rPr>
          <w:color w:val="000000" w:themeColor="text1"/>
        </w:rPr>
        <w:t xml:space="preserve">: Cost to patients by pathogen (IID1 Study) </w:t>
      </w:r>
      <w:r w:rsidR="00510550" w:rsidRPr="009C6046">
        <w:rPr>
          <w:color w:val="000000" w:themeColor="text1"/>
        </w:rPr>
        <w:fldChar w:fldCharType="begin" w:fldLock="1"/>
      </w:r>
      <w:r w:rsidR="00510550" w:rsidRPr="009C6046">
        <w:rPr>
          <w:color w:val="000000" w:themeColor="text1"/>
        </w:rPr>
        <w:instrText>ADDIN CSL_CITATION { "citationItems" : [ { "id" : "ITEM-1", "itemData" : { "author" : [ { "dropping-particle" : "", "family" : "Food Standards Agency", "given" : "", "non-dropping-particle" : "", "parse-names" : false, "suffix" : "" } ], "id" : "ITEM-1", "issued" : { "date-parts" : [ [ "2000" ] ] }, "publisher-place" : "London", "title" : "A Report of the Study of Infectious Intestinal Disease in England", "type" : "report" }, "uris" : [ "http://www.mendeley.com/documents/?uuid=255cf625-3e32-4644-be80-44d43fd07764" ] } ], "mendeley" : { "formattedCitation" : "[9]", "plainTextFormattedCitation" : "[9]", "previouslyFormattedCitation" : "[16]" }, "properties" : { "noteIndex" : 0 }, "schema" : "https://github.com/citation-style-language/schema/raw/master/csl-citation.json" }</w:instrText>
      </w:r>
      <w:r w:rsidR="00510550" w:rsidRPr="009C6046">
        <w:rPr>
          <w:color w:val="000000" w:themeColor="text1"/>
        </w:rPr>
        <w:fldChar w:fldCharType="separate"/>
      </w:r>
      <w:r w:rsidR="00510550" w:rsidRPr="009C6046">
        <w:rPr>
          <w:b w:val="0"/>
          <w:noProof/>
          <w:color w:val="000000" w:themeColor="text1"/>
        </w:rPr>
        <w:t>[9]</w:t>
      </w:r>
      <w:r w:rsidR="00510550" w:rsidRPr="009C6046">
        <w:rPr>
          <w:color w:val="000000" w:themeColor="text1"/>
        </w:rPr>
        <w:fldChar w:fldCharType="end"/>
      </w:r>
    </w:p>
    <w:p w14:paraId="3AB576EA" w14:textId="77777777" w:rsidR="00510550" w:rsidRPr="009C6046" w:rsidRDefault="00510550" w:rsidP="00510550">
      <w:pPr>
        <w:jc w:val="center"/>
        <w:rPr>
          <w:rFonts w:asciiTheme="majorHAnsi" w:hAnsiTheme="majorHAnsi"/>
          <w:color w:val="000000" w:themeColor="text1"/>
        </w:rPr>
      </w:pPr>
    </w:p>
    <w:tbl>
      <w:tblPr>
        <w:tblW w:w="7404" w:type="dxa"/>
        <w:jc w:val="center"/>
        <w:tblInd w:w="93" w:type="dxa"/>
        <w:tblLook w:val="04A0" w:firstRow="1" w:lastRow="0" w:firstColumn="1" w:lastColumn="0" w:noHBand="0" w:noVBand="1"/>
      </w:tblPr>
      <w:tblGrid>
        <w:gridCol w:w="3460"/>
        <w:gridCol w:w="1677"/>
        <w:gridCol w:w="1207"/>
        <w:gridCol w:w="1060"/>
      </w:tblGrid>
      <w:tr w:rsidR="00510550" w:rsidRPr="009C6046" w14:paraId="18678946" w14:textId="77777777" w:rsidTr="00D3148C">
        <w:trPr>
          <w:trHeight w:val="280"/>
          <w:jc w:val="center"/>
        </w:trPr>
        <w:tc>
          <w:tcPr>
            <w:tcW w:w="3460" w:type="dxa"/>
            <w:tcBorders>
              <w:top w:val="single" w:sz="4" w:space="0" w:color="auto"/>
              <w:bottom w:val="nil"/>
              <w:right w:val="nil"/>
            </w:tcBorders>
            <w:shd w:val="clear" w:color="auto" w:fill="auto"/>
            <w:noWrap/>
            <w:vAlign w:val="bottom"/>
            <w:hideMark/>
          </w:tcPr>
          <w:p w14:paraId="5E9FB238" w14:textId="77777777" w:rsidR="00510550" w:rsidRPr="009C6046" w:rsidRDefault="00510550" w:rsidP="00D3148C">
            <w:pPr>
              <w:rPr>
                <w:rFonts w:ascii="Calibri" w:eastAsia="Times New Roman" w:hAnsi="Calibri" w:cs="Times New Roman"/>
                <w:color w:val="000000" w:themeColor="text1"/>
              </w:rPr>
            </w:pPr>
            <w:r w:rsidRPr="009C6046">
              <w:rPr>
                <w:rFonts w:ascii="Calibri" w:eastAsia="Times New Roman" w:hAnsi="Calibri" w:cs="Times New Roman"/>
                <w:color w:val="000000" w:themeColor="text1"/>
              </w:rPr>
              <w:t> </w:t>
            </w:r>
          </w:p>
        </w:tc>
        <w:tc>
          <w:tcPr>
            <w:tcW w:w="3944" w:type="dxa"/>
            <w:gridSpan w:val="3"/>
            <w:tcBorders>
              <w:top w:val="single" w:sz="4" w:space="0" w:color="auto"/>
              <w:left w:val="nil"/>
              <w:bottom w:val="single" w:sz="4" w:space="0" w:color="auto"/>
              <w:right w:val="nil"/>
            </w:tcBorders>
            <w:shd w:val="clear" w:color="auto" w:fill="auto"/>
            <w:noWrap/>
            <w:vAlign w:val="bottom"/>
            <w:hideMark/>
          </w:tcPr>
          <w:p w14:paraId="2F84E590" w14:textId="77777777" w:rsidR="00510550" w:rsidRPr="009C6046" w:rsidRDefault="00510550" w:rsidP="00D3148C">
            <w:pPr>
              <w:jc w:val="center"/>
              <w:rPr>
                <w:rFonts w:ascii="Calibri" w:eastAsia="Times New Roman" w:hAnsi="Calibri" w:cs="Times New Roman"/>
                <w:color w:val="000000" w:themeColor="text1"/>
              </w:rPr>
            </w:pPr>
            <w:r w:rsidRPr="009C6046">
              <w:rPr>
                <w:rFonts w:ascii="Calibri" w:eastAsia="Times New Roman" w:hAnsi="Calibri" w:cs="Times New Roman"/>
                <w:color w:val="000000" w:themeColor="text1"/>
              </w:rPr>
              <w:t>Cost per case</w:t>
            </w:r>
          </w:p>
        </w:tc>
      </w:tr>
      <w:tr w:rsidR="00510550" w:rsidRPr="009C6046" w14:paraId="0D089F6F" w14:textId="77777777" w:rsidTr="00D3148C">
        <w:trPr>
          <w:trHeight w:val="280"/>
          <w:jc w:val="center"/>
        </w:trPr>
        <w:tc>
          <w:tcPr>
            <w:tcW w:w="3460" w:type="dxa"/>
            <w:tcBorders>
              <w:top w:val="nil"/>
              <w:left w:val="nil"/>
              <w:bottom w:val="single" w:sz="4" w:space="0" w:color="auto"/>
              <w:right w:val="nil"/>
            </w:tcBorders>
            <w:shd w:val="clear" w:color="auto" w:fill="auto"/>
            <w:noWrap/>
            <w:vAlign w:val="bottom"/>
            <w:hideMark/>
          </w:tcPr>
          <w:p w14:paraId="570A129A" w14:textId="77777777" w:rsidR="00510550" w:rsidRPr="009C6046" w:rsidRDefault="00510550" w:rsidP="00D3148C">
            <w:pPr>
              <w:rPr>
                <w:rFonts w:ascii="Calibri" w:eastAsia="Times New Roman" w:hAnsi="Calibri" w:cs="Times New Roman"/>
                <w:color w:val="000000" w:themeColor="text1"/>
              </w:rPr>
            </w:pPr>
            <w:r w:rsidRPr="009C6046">
              <w:rPr>
                <w:rFonts w:ascii="Calibri" w:eastAsia="Times New Roman" w:hAnsi="Calibri" w:cs="Times New Roman"/>
                <w:color w:val="000000" w:themeColor="text1"/>
              </w:rPr>
              <w:t>Cases not seeking medical care</w:t>
            </w:r>
          </w:p>
        </w:tc>
        <w:tc>
          <w:tcPr>
            <w:tcW w:w="1677" w:type="dxa"/>
            <w:tcBorders>
              <w:top w:val="single" w:sz="4" w:space="0" w:color="auto"/>
              <w:left w:val="nil"/>
              <w:bottom w:val="single" w:sz="4" w:space="0" w:color="auto"/>
              <w:right w:val="nil"/>
            </w:tcBorders>
            <w:shd w:val="clear" w:color="auto" w:fill="auto"/>
            <w:noWrap/>
            <w:vAlign w:val="bottom"/>
            <w:hideMark/>
          </w:tcPr>
          <w:p w14:paraId="3878856C" w14:textId="77777777" w:rsidR="00510550" w:rsidRPr="009C6046" w:rsidRDefault="00510550" w:rsidP="00D3148C">
            <w:pPr>
              <w:jc w:val="right"/>
              <w:rPr>
                <w:rFonts w:ascii="Calibri" w:eastAsia="Times New Roman" w:hAnsi="Calibri" w:cs="Times New Roman"/>
                <w:i/>
                <w:iCs/>
                <w:color w:val="000000" w:themeColor="text1"/>
              </w:rPr>
            </w:pPr>
            <w:r w:rsidRPr="009C6046">
              <w:rPr>
                <w:rFonts w:ascii="Calibri" w:eastAsia="Times New Roman" w:hAnsi="Calibri" w:cs="Times New Roman"/>
                <w:i/>
                <w:iCs/>
                <w:color w:val="000000" w:themeColor="text1"/>
              </w:rPr>
              <w:t>Campylobacter</w:t>
            </w:r>
          </w:p>
        </w:tc>
        <w:tc>
          <w:tcPr>
            <w:tcW w:w="1207" w:type="dxa"/>
            <w:tcBorders>
              <w:top w:val="single" w:sz="4" w:space="0" w:color="auto"/>
              <w:left w:val="nil"/>
              <w:bottom w:val="single" w:sz="4" w:space="0" w:color="auto"/>
              <w:right w:val="nil"/>
            </w:tcBorders>
            <w:shd w:val="clear" w:color="auto" w:fill="auto"/>
            <w:noWrap/>
            <w:vAlign w:val="bottom"/>
            <w:hideMark/>
          </w:tcPr>
          <w:p w14:paraId="02A35428" w14:textId="77777777" w:rsidR="00510550" w:rsidRPr="009C6046" w:rsidRDefault="00510550" w:rsidP="00D3148C">
            <w:pPr>
              <w:rPr>
                <w:rFonts w:ascii="Calibri" w:eastAsia="Times New Roman" w:hAnsi="Calibri" w:cs="Times New Roman"/>
                <w:color w:val="000000" w:themeColor="text1"/>
              </w:rPr>
            </w:pPr>
            <w:r w:rsidRPr="009C6046">
              <w:rPr>
                <w:rFonts w:ascii="Calibri" w:eastAsia="Times New Roman" w:hAnsi="Calibri" w:cs="Times New Roman"/>
                <w:color w:val="000000" w:themeColor="text1"/>
              </w:rPr>
              <w:t>Norovirus</w:t>
            </w:r>
          </w:p>
        </w:tc>
        <w:tc>
          <w:tcPr>
            <w:tcW w:w="1060" w:type="dxa"/>
            <w:tcBorders>
              <w:top w:val="single" w:sz="4" w:space="0" w:color="auto"/>
              <w:left w:val="nil"/>
              <w:bottom w:val="single" w:sz="4" w:space="0" w:color="auto"/>
              <w:right w:val="nil"/>
            </w:tcBorders>
            <w:shd w:val="clear" w:color="auto" w:fill="auto"/>
            <w:noWrap/>
            <w:vAlign w:val="bottom"/>
            <w:hideMark/>
          </w:tcPr>
          <w:p w14:paraId="4EE046CA" w14:textId="77777777" w:rsidR="00510550" w:rsidRPr="009C6046" w:rsidRDefault="00510550" w:rsidP="00D3148C">
            <w:pPr>
              <w:rPr>
                <w:rFonts w:ascii="Calibri" w:eastAsia="Times New Roman" w:hAnsi="Calibri" w:cs="Times New Roman"/>
                <w:color w:val="000000" w:themeColor="text1"/>
              </w:rPr>
            </w:pPr>
            <w:r w:rsidRPr="009C6046">
              <w:rPr>
                <w:rFonts w:ascii="Calibri" w:eastAsia="Times New Roman" w:hAnsi="Calibri" w:cs="Times New Roman"/>
                <w:color w:val="000000" w:themeColor="text1"/>
              </w:rPr>
              <w:t>Rotavirus</w:t>
            </w:r>
          </w:p>
        </w:tc>
      </w:tr>
      <w:tr w:rsidR="00510550" w:rsidRPr="009C6046" w14:paraId="57AE5752" w14:textId="77777777" w:rsidTr="00D3148C">
        <w:trPr>
          <w:trHeight w:val="280"/>
          <w:jc w:val="center"/>
        </w:trPr>
        <w:tc>
          <w:tcPr>
            <w:tcW w:w="3460" w:type="dxa"/>
            <w:tcBorders>
              <w:top w:val="nil"/>
              <w:left w:val="nil"/>
              <w:bottom w:val="nil"/>
              <w:right w:val="nil"/>
            </w:tcBorders>
            <w:shd w:val="clear" w:color="auto" w:fill="auto"/>
            <w:noWrap/>
            <w:vAlign w:val="bottom"/>
            <w:hideMark/>
          </w:tcPr>
          <w:p w14:paraId="1ED92CF5" w14:textId="77777777" w:rsidR="00510550" w:rsidRPr="009C6046" w:rsidRDefault="00510550" w:rsidP="00D3148C">
            <w:pPr>
              <w:rPr>
                <w:rFonts w:ascii="Calibri" w:eastAsia="Times New Roman" w:hAnsi="Calibri" w:cs="Times New Roman"/>
                <w:color w:val="000000" w:themeColor="text1"/>
              </w:rPr>
            </w:pPr>
            <w:r w:rsidRPr="009C6046">
              <w:rPr>
                <w:rFonts w:ascii="Calibri" w:eastAsia="Times New Roman" w:hAnsi="Calibri" w:cs="Times New Roman"/>
                <w:color w:val="000000" w:themeColor="text1"/>
              </w:rPr>
              <w:t>Direct costs to patients</w:t>
            </w:r>
            <w:r w:rsidRPr="009C6046">
              <w:rPr>
                <w:rFonts w:ascii="Calibri" w:eastAsia="Times New Roman" w:hAnsi="Calibri" w:cs="Times New Roman"/>
                <w:color w:val="000000" w:themeColor="text1"/>
                <w:vertAlign w:val="superscript"/>
              </w:rPr>
              <w:t>1</w:t>
            </w:r>
          </w:p>
        </w:tc>
        <w:tc>
          <w:tcPr>
            <w:tcW w:w="1677" w:type="dxa"/>
            <w:tcBorders>
              <w:top w:val="nil"/>
              <w:left w:val="nil"/>
              <w:bottom w:val="nil"/>
              <w:right w:val="nil"/>
            </w:tcBorders>
            <w:shd w:val="clear" w:color="auto" w:fill="auto"/>
            <w:noWrap/>
            <w:vAlign w:val="bottom"/>
            <w:hideMark/>
          </w:tcPr>
          <w:p w14:paraId="0C9E7F5C" w14:textId="77777777" w:rsidR="00510550" w:rsidRPr="009C6046" w:rsidRDefault="00510550" w:rsidP="00D3148C">
            <w:pPr>
              <w:jc w:val="right"/>
              <w:rPr>
                <w:rFonts w:ascii="Calibri" w:eastAsia="Times New Roman" w:hAnsi="Calibri" w:cs="Times New Roman"/>
                <w:color w:val="000000" w:themeColor="text1"/>
              </w:rPr>
            </w:pPr>
            <w:r w:rsidRPr="009C6046">
              <w:rPr>
                <w:rFonts w:ascii="Calibri" w:eastAsia="Times New Roman" w:hAnsi="Calibri" w:cs="Times New Roman"/>
                <w:color w:val="000000" w:themeColor="text1"/>
              </w:rPr>
              <w:t>£4.20</w:t>
            </w:r>
          </w:p>
        </w:tc>
        <w:tc>
          <w:tcPr>
            <w:tcW w:w="1207" w:type="dxa"/>
            <w:tcBorders>
              <w:top w:val="nil"/>
              <w:left w:val="nil"/>
              <w:bottom w:val="nil"/>
              <w:right w:val="nil"/>
            </w:tcBorders>
            <w:shd w:val="clear" w:color="auto" w:fill="auto"/>
            <w:noWrap/>
            <w:vAlign w:val="bottom"/>
            <w:hideMark/>
          </w:tcPr>
          <w:p w14:paraId="3788A36C" w14:textId="77777777" w:rsidR="00510550" w:rsidRPr="009C6046" w:rsidRDefault="00510550" w:rsidP="00D3148C">
            <w:pPr>
              <w:jc w:val="right"/>
              <w:rPr>
                <w:rFonts w:ascii="Calibri" w:eastAsia="Times New Roman" w:hAnsi="Calibri" w:cs="Times New Roman"/>
                <w:color w:val="000000" w:themeColor="text1"/>
              </w:rPr>
            </w:pPr>
            <w:r w:rsidRPr="009C6046">
              <w:rPr>
                <w:rFonts w:ascii="Calibri" w:eastAsia="Times New Roman" w:hAnsi="Calibri" w:cs="Times New Roman"/>
                <w:color w:val="000000" w:themeColor="text1"/>
              </w:rPr>
              <w:t>£2.18</w:t>
            </w:r>
          </w:p>
        </w:tc>
        <w:tc>
          <w:tcPr>
            <w:tcW w:w="1060" w:type="dxa"/>
            <w:tcBorders>
              <w:top w:val="nil"/>
              <w:left w:val="nil"/>
              <w:bottom w:val="nil"/>
              <w:right w:val="nil"/>
            </w:tcBorders>
            <w:shd w:val="clear" w:color="auto" w:fill="auto"/>
            <w:noWrap/>
            <w:vAlign w:val="bottom"/>
            <w:hideMark/>
          </w:tcPr>
          <w:p w14:paraId="0FF22627" w14:textId="77777777" w:rsidR="00510550" w:rsidRPr="009C6046" w:rsidRDefault="00510550" w:rsidP="00D3148C">
            <w:pPr>
              <w:jc w:val="right"/>
              <w:rPr>
                <w:rFonts w:ascii="Calibri" w:eastAsia="Times New Roman" w:hAnsi="Calibri" w:cs="Times New Roman"/>
                <w:color w:val="000000" w:themeColor="text1"/>
              </w:rPr>
            </w:pPr>
            <w:r w:rsidRPr="009C6046">
              <w:rPr>
                <w:rFonts w:ascii="Calibri" w:eastAsia="Times New Roman" w:hAnsi="Calibri" w:cs="Times New Roman"/>
                <w:color w:val="000000" w:themeColor="text1"/>
              </w:rPr>
              <w:t>£0.00</w:t>
            </w:r>
          </w:p>
        </w:tc>
      </w:tr>
      <w:tr w:rsidR="00510550" w:rsidRPr="009C6046" w14:paraId="225E04A9" w14:textId="77777777" w:rsidTr="00D3148C">
        <w:trPr>
          <w:trHeight w:val="280"/>
          <w:jc w:val="center"/>
        </w:trPr>
        <w:tc>
          <w:tcPr>
            <w:tcW w:w="3460" w:type="dxa"/>
            <w:tcBorders>
              <w:top w:val="nil"/>
              <w:left w:val="nil"/>
              <w:bottom w:val="nil"/>
              <w:right w:val="nil"/>
            </w:tcBorders>
            <w:shd w:val="clear" w:color="auto" w:fill="auto"/>
            <w:noWrap/>
            <w:vAlign w:val="bottom"/>
            <w:hideMark/>
          </w:tcPr>
          <w:p w14:paraId="5658C49F" w14:textId="77777777" w:rsidR="00510550" w:rsidRPr="009C6046" w:rsidRDefault="00510550" w:rsidP="00D3148C">
            <w:pPr>
              <w:rPr>
                <w:rFonts w:ascii="Calibri" w:eastAsia="Times New Roman" w:hAnsi="Calibri" w:cs="Times New Roman"/>
                <w:color w:val="000000" w:themeColor="text1"/>
                <w:vertAlign w:val="superscript"/>
              </w:rPr>
            </w:pPr>
            <w:r w:rsidRPr="009C6046">
              <w:rPr>
                <w:rFonts w:ascii="Calibri" w:eastAsia="Times New Roman" w:hAnsi="Calibri" w:cs="Times New Roman"/>
                <w:color w:val="000000" w:themeColor="text1"/>
              </w:rPr>
              <w:t>Loss of employment in cases</w:t>
            </w:r>
            <w:r w:rsidRPr="009C6046">
              <w:rPr>
                <w:rFonts w:ascii="Calibri" w:eastAsia="Times New Roman" w:hAnsi="Calibri" w:cs="Times New Roman"/>
                <w:color w:val="000000" w:themeColor="text1"/>
                <w:vertAlign w:val="superscript"/>
              </w:rPr>
              <w:t>2</w:t>
            </w:r>
          </w:p>
        </w:tc>
        <w:tc>
          <w:tcPr>
            <w:tcW w:w="1677" w:type="dxa"/>
            <w:tcBorders>
              <w:top w:val="nil"/>
              <w:left w:val="nil"/>
              <w:bottom w:val="nil"/>
              <w:right w:val="nil"/>
            </w:tcBorders>
            <w:shd w:val="clear" w:color="auto" w:fill="auto"/>
            <w:noWrap/>
            <w:vAlign w:val="bottom"/>
            <w:hideMark/>
          </w:tcPr>
          <w:p w14:paraId="267BEDD1" w14:textId="77777777" w:rsidR="00510550" w:rsidRPr="009C6046" w:rsidRDefault="00510550" w:rsidP="00D3148C">
            <w:pPr>
              <w:jc w:val="right"/>
              <w:rPr>
                <w:rFonts w:ascii="Calibri" w:eastAsia="Times New Roman" w:hAnsi="Calibri" w:cs="Times New Roman"/>
                <w:color w:val="000000" w:themeColor="text1"/>
              </w:rPr>
            </w:pPr>
            <w:r w:rsidRPr="009C6046">
              <w:rPr>
                <w:rFonts w:ascii="Calibri" w:eastAsia="Times New Roman" w:hAnsi="Calibri" w:cs="Times New Roman"/>
                <w:color w:val="000000" w:themeColor="text1"/>
              </w:rPr>
              <w:t>£23.97</w:t>
            </w:r>
          </w:p>
        </w:tc>
        <w:tc>
          <w:tcPr>
            <w:tcW w:w="1207" w:type="dxa"/>
            <w:tcBorders>
              <w:top w:val="nil"/>
              <w:left w:val="nil"/>
              <w:bottom w:val="nil"/>
              <w:right w:val="nil"/>
            </w:tcBorders>
            <w:shd w:val="clear" w:color="auto" w:fill="auto"/>
            <w:noWrap/>
            <w:vAlign w:val="bottom"/>
            <w:hideMark/>
          </w:tcPr>
          <w:p w14:paraId="7B5F2D89" w14:textId="77777777" w:rsidR="00510550" w:rsidRPr="009C6046" w:rsidRDefault="00510550" w:rsidP="00D3148C">
            <w:pPr>
              <w:jc w:val="right"/>
              <w:rPr>
                <w:rFonts w:ascii="Calibri" w:eastAsia="Times New Roman" w:hAnsi="Calibri" w:cs="Times New Roman"/>
                <w:color w:val="000000" w:themeColor="text1"/>
              </w:rPr>
            </w:pPr>
            <w:r w:rsidRPr="009C6046">
              <w:rPr>
                <w:rFonts w:ascii="Calibri" w:eastAsia="Times New Roman" w:hAnsi="Calibri" w:cs="Times New Roman"/>
                <w:color w:val="000000" w:themeColor="text1"/>
              </w:rPr>
              <w:t>£0.00</w:t>
            </w:r>
          </w:p>
        </w:tc>
        <w:tc>
          <w:tcPr>
            <w:tcW w:w="1060" w:type="dxa"/>
            <w:tcBorders>
              <w:top w:val="nil"/>
              <w:left w:val="nil"/>
              <w:bottom w:val="nil"/>
              <w:right w:val="nil"/>
            </w:tcBorders>
            <w:shd w:val="clear" w:color="auto" w:fill="auto"/>
            <w:noWrap/>
            <w:vAlign w:val="bottom"/>
            <w:hideMark/>
          </w:tcPr>
          <w:p w14:paraId="0D62CCF8" w14:textId="77777777" w:rsidR="00510550" w:rsidRPr="009C6046" w:rsidRDefault="00510550" w:rsidP="00D3148C">
            <w:pPr>
              <w:jc w:val="right"/>
              <w:rPr>
                <w:rFonts w:ascii="Calibri" w:eastAsia="Times New Roman" w:hAnsi="Calibri" w:cs="Times New Roman"/>
                <w:color w:val="000000" w:themeColor="text1"/>
              </w:rPr>
            </w:pPr>
            <w:r w:rsidRPr="009C6046">
              <w:rPr>
                <w:rFonts w:ascii="Calibri" w:eastAsia="Times New Roman" w:hAnsi="Calibri" w:cs="Times New Roman"/>
                <w:color w:val="000000" w:themeColor="text1"/>
              </w:rPr>
              <w:t>£0.00</w:t>
            </w:r>
          </w:p>
        </w:tc>
      </w:tr>
      <w:tr w:rsidR="00510550" w:rsidRPr="009C6046" w14:paraId="3FFDF2C9" w14:textId="77777777" w:rsidTr="00D3148C">
        <w:trPr>
          <w:trHeight w:val="280"/>
          <w:jc w:val="center"/>
        </w:trPr>
        <w:tc>
          <w:tcPr>
            <w:tcW w:w="3460" w:type="dxa"/>
            <w:tcBorders>
              <w:top w:val="nil"/>
              <w:left w:val="nil"/>
              <w:bottom w:val="nil"/>
              <w:right w:val="nil"/>
            </w:tcBorders>
            <w:shd w:val="clear" w:color="auto" w:fill="auto"/>
            <w:noWrap/>
            <w:vAlign w:val="bottom"/>
            <w:hideMark/>
          </w:tcPr>
          <w:p w14:paraId="0BE59493" w14:textId="77777777" w:rsidR="00510550" w:rsidRPr="009C6046" w:rsidRDefault="00510550" w:rsidP="00D3148C">
            <w:pPr>
              <w:rPr>
                <w:rFonts w:ascii="Calibri" w:eastAsia="Times New Roman" w:hAnsi="Calibri" w:cs="Times New Roman"/>
                <w:color w:val="000000" w:themeColor="text1"/>
              </w:rPr>
            </w:pPr>
            <w:r w:rsidRPr="009C6046">
              <w:rPr>
                <w:rFonts w:ascii="Calibri" w:eastAsia="Times New Roman" w:hAnsi="Calibri" w:cs="Times New Roman"/>
                <w:color w:val="000000" w:themeColor="text1"/>
              </w:rPr>
              <w:t>Loss of employment for carers</w:t>
            </w:r>
            <w:r w:rsidRPr="009C6046">
              <w:rPr>
                <w:rFonts w:ascii="Calibri" w:eastAsia="Times New Roman" w:hAnsi="Calibri" w:cs="Times New Roman"/>
                <w:color w:val="000000" w:themeColor="text1"/>
                <w:vertAlign w:val="superscript"/>
              </w:rPr>
              <w:t>2</w:t>
            </w:r>
          </w:p>
        </w:tc>
        <w:tc>
          <w:tcPr>
            <w:tcW w:w="1677" w:type="dxa"/>
            <w:tcBorders>
              <w:top w:val="nil"/>
              <w:left w:val="nil"/>
              <w:bottom w:val="single" w:sz="4" w:space="0" w:color="auto"/>
              <w:right w:val="nil"/>
            </w:tcBorders>
            <w:shd w:val="clear" w:color="auto" w:fill="auto"/>
            <w:noWrap/>
            <w:vAlign w:val="bottom"/>
            <w:hideMark/>
          </w:tcPr>
          <w:p w14:paraId="01818254" w14:textId="77777777" w:rsidR="00510550" w:rsidRPr="009C6046" w:rsidRDefault="00510550" w:rsidP="00D3148C">
            <w:pPr>
              <w:jc w:val="right"/>
              <w:rPr>
                <w:rFonts w:ascii="Calibri" w:eastAsia="Times New Roman" w:hAnsi="Calibri" w:cs="Times New Roman"/>
                <w:color w:val="000000" w:themeColor="text1"/>
              </w:rPr>
            </w:pPr>
            <w:r w:rsidRPr="009C6046">
              <w:rPr>
                <w:rFonts w:ascii="Calibri" w:eastAsia="Times New Roman" w:hAnsi="Calibri" w:cs="Times New Roman"/>
                <w:color w:val="000000" w:themeColor="text1"/>
              </w:rPr>
              <w:t>£0.00</w:t>
            </w:r>
          </w:p>
        </w:tc>
        <w:tc>
          <w:tcPr>
            <w:tcW w:w="1207" w:type="dxa"/>
            <w:tcBorders>
              <w:top w:val="nil"/>
              <w:left w:val="nil"/>
              <w:bottom w:val="single" w:sz="4" w:space="0" w:color="auto"/>
              <w:right w:val="nil"/>
            </w:tcBorders>
            <w:shd w:val="clear" w:color="auto" w:fill="auto"/>
            <w:noWrap/>
            <w:vAlign w:val="bottom"/>
            <w:hideMark/>
          </w:tcPr>
          <w:p w14:paraId="60718976" w14:textId="77777777" w:rsidR="00510550" w:rsidRPr="009C6046" w:rsidRDefault="00510550" w:rsidP="00D3148C">
            <w:pPr>
              <w:jc w:val="right"/>
              <w:rPr>
                <w:rFonts w:ascii="Calibri" w:eastAsia="Times New Roman" w:hAnsi="Calibri" w:cs="Times New Roman"/>
                <w:color w:val="000000" w:themeColor="text1"/>
              </w:rPr>
            </w:pPr>
            <w:r w:rsidRPr="009C6046">
              <w:rPr>
                <w:rFonts w:ascii="Calibri" w:eastAsia="Times New Roman" w:hAnsi="Calibri" w:cs="Times New Roman"/>
                <w:color w:val="000000" w:themeColor="text1"/>
              </w:rPr>
              <w:t>£12.20</w:t>
            </w:r>
          </w:p>
        </w:tc>
        <w:tc>
          <w:tcPr>
            <w:tcW w:w="1060" w:type="dxa"/>
            <w:tcBorders>
              <w:top w:val="nil"/>
              <w:left w:val="nil"/>
              <w:bottom w:val="single" w:sz="4" w:space="0" w:color="auto"/>
              <w:right w:val="nil"/>
            </w:tcBorders>
            <w:shd w:val="clear" w:color="auto" w:fill="auto"/>
            <w:noWrap/>
            <w:vAlign w:val="bottom"/>
            <w:hideMark/>
          </w:tcPr>
          <w:p w14:paraId="7EB34F81" w14:textId="77777777" w:rsidR="00510550" w:rsidRPr="009C6046" w:rsidRDefault="00510550" w:rsidP="00D3148C">
            <w:pPr>
              <w:jc w:val="right"/>
              <w:rPr>
                <w:rFonts w:ascii="Calibri" w:eastAsia="Times New Roman" w:hAnsi="Calibri" w:cs="Times New Roman"/>
                <w:color w:val="000000" w:themeColor="text1"/>
              </w:rPr>
            </w:pPr>
            <w:r w:rsidRPr="009C6046">
              <w:rPr>
                <w:rFonts w:ascii="Calibri" w:eastAsia="Times New Roman" w:hAnsi="Calibri" w:cs="Times New Roman"/>
                <w:color w:val="000000" w:themeColor="text1"/>
              </w:rPr>
              <w:t>£0.00</w:t>
            </w:r>
          </w:p>
        </w:tc>
      </w:tr>
      <w:tr w:rsidR="00510550" w:rsidRPr="009C6046" w14:paraId="2B3286AF" w14:textId="77777777" w:rsidTr="00D3148C">
        <w:trPr>
          <w:trHeight w:val="280"/>
          <w:jc w:val="center"/>
        </w:trPr>
        <w:tc>
          <w:tcPr>
            <w:tcW w:w="3460" w:type="dxa"/>
            <w:tcBorders>
              <w:top w:val="nil"/>
              <w:left w:val="nil"/>
              <w:bottom w:val="nil"/>
              <w:right w:val="nil"/>
            </w:tcBorders>
            <w:shd w:val="clear" w:color="auto" w:fill="auto"/>
            <w:noWrap/>
            <w:vAlign w:val="bottom"/>
            <w:hideMark/>
          </w:tcPr>
          <w:p w14:paraId="0C57EAA8" w14:textId="77777777" w:rsidR="00510550" w:rsidRPr="009C6046" w:rsidRDefault="00510550" w:rsidP="00D3148C">
            <w:pPr>
              <w:rPr>
                <w:rFonts w:ascii="Calibri" w:eastAsia="Times New Roman" w:hAnsi="Calibri" w:cs="Times New Roman"/>
                <w:color w:val="000000" w:themeColor="text1"/>
              </w:rPr>
            </w:pPr>
            <w:r w:rsidRPr="009C6046">
              <w:rPr>
                <w:rFonts w:ascii="Calibri" w:eastAsia="Times New Roman" w:hAnsi="Calibri" w:cs="Times New Roman"/>
                <w:color w:val="000000" w:themeColor="text1"/>
              </w:rPr>
              <w:t>Total (1995 prices)</w:t>
            </w:r>
          </w:p>
        </w:tc>
        <w:tc>
          <w:tcPr>
            <w:tcW w:w="1677" w:type="dxa"/>
            <w:tcBorders>
              <w:top w:val="nil"/>
              <w:left w:val="nil"/>
              <w:bottom w:val="nil"/>
              <w:right w:val="nil"/>
            </w:tcBorders>
            <w:shd w:val="clear" w:color="auto" w:fill="auto"/>
            <w:noWrap/>
            <w:vAlign w:val="bottom"/>
            <w:hideMark/>
          </w:tcPr>
          <w:p w14:paraId="23D1D625" w14:textId="77777777" w:rsidR="00510550" w:rsidRPr="009C6046" w:rsidRDefault="00510550" w:rsidP="00D3148C">
            <w:pPr>
              <w:jc w:val="right"/>
              <w:rPr>
                <w:rFonts w:ascii="Calibri" w:eastAsia="Times New Roman" w:hAnsi="Calibri" w:cs="Times New Roman"/>
                <w:color w:val="000000" w:themeColor="text1"/>
              </w:rPr>
            </w:pPr>
            <w:r w:rsidRPr="009C6046">
              <w:rPr>
                <w:rFonts w:ascii="Calibri" w:eastAsia="Times New Roman" w:hAnsi="Calibri" w:cs="Times New Roman"/>
                <w:color w:val="000000" w:themeColor="text1"/>
              </w:rPr>
              <w:t>£28.17</w:t>
            </w:r>
          </w:p>
        </w:tc>
        <w:tc>
          <w:tcPr>
            <w:tcW w:w="1207" w:type="dxa"/>
            <w:tcBorders>
              <w:top w:val="nil"/>
              <w:left w:val="nil"/>
              <w:bottom w:val="nil"/>
              <w:right w:val="nil"/>
            </w:tcBorders>
            <w:shd w:val="clear" w:color="auto" w:fill="auto"/>
            <w:noWrap/>
            <w:vAlign w:val="bottom"/>
            <w:hideMark/>
          </w:tcPr>
          <w:p w14:paraId="44111C3D" w14:textId="77777777" w:rsidR="00510550" w:rsidRPr="009C6046" w:rsidRDefault="00510550" w:rsidP="00D3148C">
            <w:pPr>
              <w:jc w:val="right"/>
              <w:rPr>
                <w:rFonts w:ascii="Calibri" w:eastAsia="Times New Roman" w:hAnsi="Calibri" w:cs="Times New Roman"/>
                <w:color w:val="000000" w:themeColor="text1"/>
              </w:rPr>
            </w:pPr>
            <w:r w:rsidRPr="009C6046">
              <w:rPr>
                <w:rFonts w:ascii="Calibri" w:eastAsia="Times New Roman" w:hAnsi="Calibri" w:cs="Times New Roman"/>
                <w:color w:val="000000" w:themeColor="text1"/>
              </w:rPr>
              <w:t>£14.38</w:t>
            </w:r>
          </w:p>
        </w:tc>
        <w:tc>
          <w:tcPr>
            <w:tcW w:w="1060" w:type="dxa"/>
            <w:tcBorders>
              <w:top w:val="nil"/>
              <w:left w:val="nil"/>
              <w:bottom w:val="nil"/>
              <w:right w:val="nil"/>
            </w:tcBorders>
            <w:shd w:val="clear" w:color="auto" w:fill="auto"/>
            <w:noWrap/>
            <w:vAlign w:val="bottom"/>
            <w:hideMark/>
          </w:tcPr>
          <w:p w14:paraId="5F751EFC" w14:textId="77777777" w:rsidR="00510550" w:rsidRPr="009C6046" w:rsidRDefault="00510550" w:rsidP="00D3148C">
            <w:pPr>
              <w:jc w:val="right"/>
              <w:rPr>
                <w:rFonts w:ascii="Calibri" w:eastAsia="Times New Roman" w:hAnsi="Calibri" w:cs="Times New Roman"/>
                <w:color w:val="000000" w:themeColor="text1"/>
              </w:rPr>
            </w:pPr>
            <w:r w:rsidRPr="009C6046">
              <w:rPr>
                <w:rFonts w:ascii="Calibri" w:eastAsia="Times New Roman" w:hAnsi="Calibri" w:cs="Times New Roman"/>
                <w:color w:val="000000" w:themeColor="text1"/>
              </w:rPr>
              <w:t>£0.00</w:t>
            </w:r>
          </w:p>
        </w:tc>
      </w:tr>
      <w:tr w:rsidR="00510550" w:rsidRPr="009C6046" w14:paraId="5579CB8A" w14:textId="77777777" w:rsidTr="00D3148C">
        <w:trPr>
          <w:trHeight w:val="280"/>
          <w:jc w:val="center"/>
        </w:trPr>
        <w:tc>
          <w:tcPr>
            <w:tcW w:w="3460" w:type="dxa"/>
            <w:tcBorders>
              <w:top w:val="single" w:sz="4" w:space="0" w:color="auto"/>
              <w:left w:val="nil"/>
              <w:bottom w:val="single" w:sz="4" w:space="0" w:color="auto"/>
              <w:right w:val="nil"/>
            </w:tcBorders>
            <w:shd w:val="clear" w:color="auto" w:fill="auto"/>
            <w:noWrap/>
            <w:vAlign w:val="bottom"/>
            <w:hideMark/>
          </w:tcPr>
          <w:p w14:paraId="4C65B8F2" w14:textId="77777777" w:rsidR="00510550" w:rsidRPr="009C6046" w:rsidRDefault="00510550" w:rsidP="00D3148C">
            <w:pPr>
              <w:rPr>
                <w:rFonts w:ascii="Calibri" w:eastAsia="Times New Roman" w:hAnsi="Calibri" w:cs="Times New Roman"/>
                <w:b/>
                <w:bCs/>
                <w:color w:val="000000" w:themeColor="text1"/>
              </w:rPr>
            </w:pPr>
            <w:r w:rsidRPr="009C6046">
              <w:rPr>
                <w:rFonts w:ascii="Calibri" w:eastAsia="Times New Roman" w:hAnsi="Calibri" w:cs="Times New Roman"/>
                <w:b/>
                <w:bCs/>
                <w:color w:val="000000" w:themeColor="text1"/>
              </w:rPr>
              <w:t>Total adjusted to 2008-9 prices</w:t>
            </w:r>
          </w:p>
        </w:tc>
        <w:tc>
          <w:tcPr>
            <w:tcW w:w="1677" w:type="dxa"/>
            <w:tcBorders>
              <w:top w:val="single" w:sz="4" w:space="0" w:color="auto"/>
              <w:left w:val="nil"/>
              <w:bottom w:val="single" w:sz="4" w:space="0" w:color="auto"/>
              <w:right w:val="nil"/>
            </w:tcBorders>
            <w:shd w:val="clear" w:color="auto" w:fill="auto"/>
            <w:noWrap/>
            <w:vAlign w:val="bottom"/>
            <w:hideMark/>
          </w:tcPr>
          <w:p w14:paraId="7574FFCA" w14:textId="77777777" w:rsidR="00510550" w:rsidRPr="009C6046" w:rsidRDefault="00510550" w:rsidP="00D3148C">
            <w:pPr>
              <w:jc w:val="right"/>
              <w:rPr>
                <w:rFonts w:ascii="Calibri" w:eastAsia="Times New Roman" w:hAnsi="Calibri" w:cs="Times New Roman"/>
                <w:b/>
                <w:bCs/>
                <w:color w:val="000000" w:themeColor="text1"/>
              </w:rPr>
            </w:pPr>
            <w:r w:rsidRPr="009C6046">
              <w:rPr>
                <w:rFonts w:ascii="Calibri" w:eastAsia="Times New Roman" w:hAnsi="Calibri" w:cs="Times New Roman"/>
                <w:b/>
                <w:bCs/>
                <w:color w:val="000000" w:themeColor="text1"/>
              </w:rPr>
              <w:t>£30.99</w:t>
            </w:r>
          </w:p>
        </w:tc>
        <w:tc>
          <w:tcPr>
            <w:tcW w:w="1207" w:type="dxa"/>
            <w:tcBorders>
              <w:top w:val="single" w:sz="4" w:space="0" w:color="auto"/>
              <w:left w:val="nil"/>
              <w:bottom w:val="single" w:sz="4" w:space="0" w:color="auto"/>
              <w:right w:val="nil"/>
            </w:tcBorders>
            <w:shd w:val="clear" w:color="auto" w:fill="auto"/>
            <w:noWrap/>
            <w:vAlign w:val="bottom"/>
            <w:hideMark/>
          </w:tcPr>
          <w:p w14:paraId="2485ED75" w14:textId="77777777" w:rsidR="00510550" w:rsidRPr="009C6046" w:rsidRDefault="00510550" w:rsidP="00D3148C">
            <w:pPr>
              <w:jc w:val="right"/>
              <w:rPr>
                <w:rFonts w:ascii="Calibri" w:eastAsia="Times New Roman" w:hAnsi="Calibri" w:cs="Times New Roman"/>
                <w:b/>
                <w:bCs/>
                <w:color w:val="000000" w:themeColor="text1"/>
              </w:rPr>
            </w:pPr>
            <w:r w:rsidRPr="009C6046">
              <w:rPr>
                <w:rFonts w:ascii="Calibri" w:eastAsia="Times New Roman" w:hAnsi="Calibri" w:cs="Times New Roman"/>
                <w:b/>
                <w:bCs/>
                <w:color w:val="000000" w:themeColor="text1"/>
              </w:rPr>
              <w:t>£15.82</w:t>
            </w:r>
          </w:p>
        </w:tc>
        <w:tc>
          <w:tcPr>
            <w:tcW w:w="1060" w:type="dxa"/>
            <w:tcBorders>
              <w:top w:val="single" w:sz="4" w:space="0" w:color="auto"/>
              <w:left w:val="nil"/>
              <w:bottom w:val="single" w:sz="4" w:space="0" w:color="auto"/>
              <w:right w:val="nil"/>
            </w:tcBorders>
            <w:shd w:val="clear" w:color="auto" w:fill="auto"/>
            <w:noWrap/>
            <w:vAlign w:val="bottom"/>
            <w:hideMark/>
          </w:tcPr>
          <w:p w14:paraId="40F36BC2" w14:textId="77777777" w:rsidR="00510550" w:rsidRPr="009C6046" w:rsidRDefault="00510550" w:rsidP="00D3148C">
            <w:pPr>
              <w:jc w:val="right"/>
              <w:rPr>
                <w:rFonts w:ascii="Calibri" w:eastAsia="Times New Roman" w:hAnsi="Calibri" w:cs="Times New Roman"/>
                <w:b/>
                <w:bCs/>
                <w:color w:val="000000" w:themeColor="text1"/>
              </w:rPr>
            </w:pPr>
            <w:r w:rsidRPr="009C6046">
              <w:rPr>
                <w:rFonts w:ascii="Calibri" w:eastAsia="Times New Roman" w:hAnsi="Calibri" w:cs="Times New Roman"/>
                <w:b/>
                <w:bCs/>
                <w:color w:val="000000" w:themeColor="text1"/>
              </w:rPr>
              <w:t>£0.00</w:t>
            </w:r>
          </w:p>
        </w:tc>
      </w:tr>
      <w:tr w:rsidR="00510550" w:rsidRPr="009C6046" w14:paraId="0BB05396" w14:textId="77777777" w:rsidTr="00D3148C">
        <w:trPr>
          <w:trHeight w:val="280"/>
          <w:jc w:val="center"/>
        </w:trPr>
        <w:tc>
          <w:tcPr>
            <w:tcW w:w="3460" w:type="dxa"/>
            <w:tcBorders>
              <w:top w:val="nil"/>
              <w:left w:val="nil"/>
              <w:bottom w:val="nil"/>
              <w:right w:val="nil"/>
            </w:tcBorders>
            <w:shd w:val="clear" w:color="auto" w:fill="auto"/>
            <w:noWrap/>
            <w:vAlign w:val="bottom"/>
            <w:hideMark/>
          </w:tcPr>
          <w:p w14:paraId="3C8253B6" w14:textId="77777777" w:rsidR="00510550" w:rsidRPr="009C6046" w:rsidRDefault="00510550" w:rsidP="00D3148C">
            <w:pPr>
              <w:rPr>
                <w:rFonts w:ascii="Calibri" w:eastAsia="Times New Roman" w:hAnsi="Calibri" w:cs="Times New Roman"/>
                <w:color w:val="000000" w:themeColor="text1"/>
              </w:rPr>
            </w:pPr>
          </w:p>
        </w:tc>
        <w:tc>
          <w:tcPr>
            <w:tcW w:w="1677" w:type="dxa"/>
            <w:tcBorders>
              <w:top w:val="nil"/>
              <w:left w:val="nil"/>
              <w:bottom w:val="nil"/>
              <w:right w:val="nil"/>
            </w:tcBorders>
            <w:shd w:val="clear" w:color="auto" w:fill="auto"/>
            <w:noWrap/>
            <w:vAlign w:val="bottom"/>
            <w:hideMark/>
          </w:tcPr>
          <w:p w14:paraId="6ED23A24" w14:textId="77777777" w:rsidR="00510550" w:rsidRPr="009C6046" w:rsidRDefault="00510550" w:rsidP="00D3148C">
            <w:pPr>
              <w:rPr>
                <w:rFonts w:ascii="Calibri" w:eastAsia="Times New Roman" w:hAnsi="Calibri" w:cs="Times New Roman"/>
                <w:color w:val="000000" w:themeColor="text1"/>
              </w:rPr>
            </w:pPr>
          </w:p>
        </w:tc>
        <w:tc>
          <w:tcPr>
            <w:tcW w:w="1207" w:type="dxa"/>
            <w:tcBorders>
              <w:top w:val="nil"/>
              <w:left w:val="nil"/>
              <w:bottom w:val="nil"/>
              <w:right w:val="nil"/>
            </w:tcBorders>
            <w:shd w:val="clear" w:color="auto" w:fill="auto"/>
            <w:noWrap/>
            <w:vAlign w:val="bottom"/>
            <w:hideMark/>
          </w:tcPr>
          <w:p w14:paraId="120D6CCB" w14:textId="77777777" w:rsidR="00510550" w:rsidRPr="009C6046" w:rsidRDefault="00510550" w:rsidP="00D3148C">
            <w:pPr>
              <w:rPr>
                <w:rFonts w:ascii="Calibri" w:eastAsia="Times New Roman" w:hAnsi="Calibri" w:cs="Times New Roman"/>
                <w:color w:val="000000" w:themeColor="text1"/>
              </w:rPr>
            </w:pPr>
          </w:p>
        </w:tc>
        <w:tc>
          <w:tcPr>
            <w:tcW w:w="1060" w:type="dxa"/>
            <w:tcBorders>
              <w:top w:val="nil"/>
              <w:left w:val="nil"/>
              <w:bottom w:val="nil"/>
              <w:right w:val="nil"/>
            </w:tcBorders>
            <w:shd w:val="clear" w:color="auto" w:fill="auto"/>
            <w:noWrap/>
            <w:vAlign w:val="bottom"/>
            <w:hideMark/>
          </w:tcPr>
          <w:p w14:paraId="28136903" w14:textId="77777777" w:rsidR="00510550" w:rsidRPr="009C6046" w:rsidRDefault="00510550" w:rsidP="00D3148C">
            <w:pPr>
              <w:rPr>
                <w:rFonts w:ascii="Calibri" w:eastAsia="Times New Roman" w:hAnsi="Calibri" w:cs="Times New Roman"/>
                <w:color w:val="000000" w:themeColor="text1"/>
              </w:rPr>
            </w:pPr>
          </w:p>
        </w:tc>
      </w:tr>
      <w:tr w:rsidR="00510550" w:rsidRPr="009C6046" w14:paraId="175F3D1B" w14:textId="77777777" w:rsidTr="00D3148C">
        <w:trPr>
          <w:trHeight w:val="280"/>
          <w:jc w:val="center"/>
        </w:trPr>
        <w:tc>
          <w:tcPr>
            <w:tcW w:w="3460" w:type="dxa"/>
            <w:tcBorders>
              <w:top w:val="nil"/>
              <w:left w:val="nil"/>
              <w:bottom w:val="single" w:sz="4" w:space="0" w:color="auto"/>
              <w:right w:val="nil"/>
            </w:tcBorders>
            <w:shd w:val="clear" w:color="auto" w:fill="auto"/>
            <w:noWrap/>
            <w:vAlign w:val="bottom"/>
            <w:hideMark/>
          </w:tcPr>
          <w:p w14:paraId="06835D83" w14:textId="77777777" w:rsidR="00510550" w:rsidRPr="009C6046" w:rsidRDefault="00510550" w:rsidP="00D3148C">
            <w:pPr>
              <w:rPr>
                <w:rFonts w:ascii="Calibri" w:eastAsia="Times New Roman" w:hAnsi="Calibri" w:cs="Times New Roman"/>
                <w:color w:val="000000" w:themeColor="text1"/>
              </w:rPr>
            </w:pPr>
            <w:r w:rsidRPr="009C6046">
              <w:rPr>
                <w:rFonts w:ascii="Calibri" w:eastAsia="Times New Roman" w:hAnsi="Calibri" w:cs="Times New Roman"/>
                <w:color w:val="000000" w:themeColor="text1"/>
              </w:rPr>
              <w:t>Cases seeking medical care</w:t>
            </w:r>
          </w:p>
        </w:tc>
        <w:tc>
          <w:tcPr>
            <w:tcW w:w="1677" w:type="dxa"/>
            <w:tcBorders>
              <w:top w:val="nil"/>
              <w:left w:val="nil"/>
              <w:bottom w:val="single" w:sz="4" w:space="0" w:color="auto"/>
              <w:right w:val="nil"/>
            </w:tcBorders>
            <w:shd w:val="clear" w:color="auto" w:fill="auto"/>
            <w:noWrap/>
            <w:vAlign w:val="bottom"/>
            <w:hideMark/>
          </w:tcPr>
          <w:p w14:paraId="78A73105" w14:textId="77777777" w:rsidR="00510550" w:rsidRPr="009C6046" w:rsidRDefault="00510550" w:rsidP="00D3148C">
            <w:pPr>
              <w:jc w:val="right"/>
              <w:rPr>
                <w:rFonts w:ascii="Calibri" w:eastAsia="Times New Roman" w:hAnsi="Calibri" w:cs="Times New Roman"/>
                <w:i/>
                <w:iCs/>
                <w:color w:val="000000" w:themeColor="text1"/>
              </w:rPr>
            </w:pPr>
            <w:r w:rsidRPr="009C6046">
              <w:rPr>
                <w:rFonts w:ascii="Calibri" w:eastAsia="Times New Roman" w:hAnsi="Calibri" w:cs="Times New Roman"/>
                <w:i/>
                <w:iCs/>
                <w:color w:val="000000" w:themeColor="text1"/>
              </w:rPr>
              <w:t>Campylobacter</w:t>
            </w:r>
          </w:p>
        </w:tc>
        <w:tc>
          <w:tcPr>
            <w:tcW w:w="1207" w:type="dxa"/>
            <w:tcBorders>
              <w:top w:val="nil"/>
              <w:left w:val="nil"/>
              <w:bottom w:val="single" w:sz="4" w:space="0" w:color="auto"/>
              <w:right w:val="nil"/>
            </w:tcBorders>
            <w:shd w:val="clear" w:color="auto" w:fill="auto"/>
            <w:noWrap/>
            <w:vAlign w:val="bottom"/>
            <w:hideMark/>
          </w:tcPr>
          <w:p w14:paraId="41108321" w14:textId="77777777" w:rsidR="00510550" w:rsidRPr="009C6046" w:rsidRDefault="00510550" w:rsidP="00D3148C">
            <w:pPr>
              <w:rPr>
                <w:rFonts w:ascii="Calibri" w:eastAsia="Times New Roman" w:hAnsi="Calibri" w:cs="Times New Roman"/>
                <w:color w:val="000000" w:themeColor="text1"/>
              </w:rPr>
            </w:pPr>
            <w:r w:rsidRPr="009C6046">
              <w:rPr>
                <w:rFonts w:ascii="Calibri" w:eastAsia="Times New Roman" w:hAnsi="Calibri" w:cs="Times New Roman"/>
                <w:color w:val="000000" w:themeColor="text1"/>
              </w:rPr>
              <w:t>Norovirus</w:t>
            </w:r>
          </w:p>
        </w:tc>
        <w:tc>
          <w:tcPr>
            <w:tcW w:w="1060" w:type="dxa"/>
            <w:tcBorders>
              <w:top w:val="nil"/>
              <w:left w:val="nil"/>
              <w:bottom w:val="single" w:sz="4" w:space="0" w:color="auto"/>
              <w:right w:val="nil"/>
            </w:tcBorders>
            <w:shd w:val="clear" w:color="auto" w:fill="auto"/>
            <w:noWrap/>
            <w:vAlign w:val="bottom"/>
            <w:hideMark/>
          </w:tcPr>
          <w:p w14:paraId="31835BA3" w14:textId="77777777" w:rsidR="00510550" w:rsidRPr="009C6046" w:rsidRDefault="00510550" w:rsidP="00D3148C">
            <w:pPr>
              <w:rPr>
                <w:rFonts w:ascii="Calibri" w:eastAsia="Times New Roman" w:hAnsi="Calibri" w:cs="Times New Roman"/>
                <w:color w:val="000000" w:themeColor="text1"/>
              </w:rPr>
            </w:pPr>
            <w:r w:rsidRPr="009C6046">
              <w:rPr>
                <w:rFonts w:ascii="Calibri" w:eastAsia="Times New Roman" w:hAnsi="Calibri" w:cs="Times New Roman"/>
                <w:color w:val="000000" w:themeColor="text1"/>
              </w:rPr>
              <w:t>Rotavirus</w:t>
            </w:r>
          </w:p>
        </w:tc>
      </w:tr>
      <w:tr w:rsidR="00510550" w:rsidRPr="009C6046" w14:paraId="624FE01E" w14:textId="77777777" w:rsidTr="00D3148C">
        <w:trPr>
          <w:trHeight w:val="280"/>
          <w:jc w:val="center"/>
        </w:trPr>
        <w:tc>
          <w:tcPr>
            <w:tcW w:w="3460" w:type="dxa"/>
            <w:tcBorders>
              <w:top w:val="nil"/>
              <w:left w:val="nil"/>
              <w:bottom w:val="nil"/>
              <w:right w:val="nil"/>
            </w:tcBorders>
            <w:shd w:val="clear" w:color="auto" w:fill="auto"/>
            <w:noWrap/>
            <w:vAlign w:val="bottom"/>
            <w:hideMark/>
          </w:tcPr>
          <w:p w14:paraId="3BB7F3D3" w14:textId="77777777" w:rsidR="00510550" w:rsidRPr="009C6046" w:rsidRDefault="00510550" w:rsidP="00D3148C">
            <w:pPr>
              <w:rPr>
                <w:rFonts w:ascii="Calibri" w:eastAsia="Times New Roman" w:hAnsi="Calibri" w:cs="Times New Roman"/>
                <w:color w:val="000000" w:themeColor="text1"/>
              </w:rPr>
            </w:pPr>
            <w:r w:rsidRPr="009C6046">
              <w:rPr>
                <w:rFonts w:ascii="Calibri" w:eastAsia="Times New Roman" w:hAnsi="Calibri" w:cs="Times New Roman"/>
                <w:color w:val="000000" w:themeColor="text1"/>
              </w:rPr>
              <w:t>Direct costs to patients</w:t>
            </w:r>
            <w:r w:rsidRPr="009C6046">
              <w:rPr>
                <w:rFonts w:ascii="Calibri" w:eastAsia="Times New Roman" w:hAnsi="Calibri" w:cs="Times New Roman"/>
                <w:color w:val="000000" w:themeColor="text1"/>
                <w:vertAlign w:val="superscript"/>
              </w:rPr>
              <w:t>1</w:t>
            </w:r>
          </w:p>
        </w:tc>
        <w:tc>
          <w:tcPr>
            <w:tcW w:w="1677" w:type="dxa"/>
            <w:tcBorders>
              <w:top w:val="nil"/>
              <w:left w:val="nil"/>
              <w:bottom w:val="nil"/>
              <w:right w:val="nil"/>
            </w:tcBorders>
            <w:shd w:val="clear" w:color="auto" w:fill="auto"/>
            <w:noWrap/>
            <w:vAlign w:val="bottom"/>
            <w:hideMark/>
          </w:tcPr>
          <w:p w14:paraId="1B11B647" w14:textId="77777777" w:rsidR="00510550" w:rsidRPr="009C6046" w:rsidRDefault="00510550" w:rsidP="00D3148C">
            <w:pPr>
              <w:jc w:val="right"/>
              <w:rPr>
                <w:rFonts w:ascii="Calibri" w:eastAsia="Times New Roman" w:hAnsi="Calibri" w:cs="Times New Roman"/>
                <w:color w:val="000000" w:themeColor="text1"/>
              </w:rPr>
            </w:pPr>
            <w:r w:rsidRPr="009C6046">
              <w:rPr>
                <w:rFonts w:ascii="Calibri" w:eastAsia="Times New Roman" w:hAnsi="Calibri" w:cs="Times New Roman"/>
                <w:color w:val="000000" w:themeColor="text1"/>
              </w:rPr>
              <w:t>£17.80</w:t>
            </w:r>
          </w:p>
        </w:tc>
        <w:tc>
          <w:tcPr>
            <w:tcW w:w="1207" w:type="dxa"/>
            <w:tcBorders>
              <w:top w:val="nil"/>
              <w:left w:val="nil"/>
              <w:bottom w:val="nil"/>
              <w:right w:val="nil"/>
            </w:tcBorders>
            <w:shd w:val="clear" w:color="auto" w:fill="auto"/>
            <w:noWrap/>
            <w:vAlign w:val="bottom"/>
            <w:hideMark/>
          </w:tcPr>
          <w:p w14:paraId="118A865B" w14:textId="77777777" w:rsidR="00510550" w:rsidRPr="009C6046" w:rsidRDefault="00510550" w:rsidP="00D3148C">
            <w:pPr>
              <w:jc w:val="right"/>
              <w:rPr>
                <w:rFonts w:ascii="Calibri" w:eastAsia="Times New Roman" w:hAnsi="Calibri" w:cs="Times New Roman"/>
                <w:color w:val="000000" w:themeColor="text1"/>
              </w:rPr>
            </w:pPr>
            <w:r w:rsidRPr="009C6046">
              <w:rPr>
                <w:rFonts w:ascii="Calibri" w:eastAsia="Times New Roman" w:hAnsi="Calibri" w:cs="Times New Roman"/>
                <w:color w:val="000000" w:themeColor="text1"/>
              </w:rPr>
              <w:t>£12.10</w:t>
            </w:r>
          </w:p>
        </w:tc>
        <w:tc>
          <w:tcPr>
            <w:tcW w:w="1060" w:type="dxa"/>
            <w:tcBorders>
              <w:top w:val="nil"/>
              <w:left w:val="nil"/>
              <w:bottom w:val="nil"/>
              <w:right w:val="nil"/>
            </w:tcBorders>
            <w:shd w:val="clear" w:color="auto" w:fill="auto"/>
            <w:noWrap/>
            <w:vAlign w:val="bottom"/>
            <w:hideMark/>
          </w:tcPr>
          <w:p w14:paraId="0A510C41" w14:textId="77777777" w:rsidR="00510550" w:rsidRPr="009C6046" w:rsidRDefault="00510550" w:rsidP="00D3148C">
            <w:pPr>
              <w:jc w:val="right"/>
              <w:rPr>
                <w:rFonts w:ascii="Calibri" w:eastAsia="Times New Roman" w:hAnsi="Calibri" w:cs="Times New Roman"/>
                <w:color w:val="000000" w:themeColor="text1"/>
              </w:rPr>
            </w:pPr>
            <w:r w:rsidRPr="009C6046">
              <w:rPr>
                <w:rFonts w:ascii="Calibri" w:eastAsia="Times New Roman" w:hAnsi="Calibri" w:cs="Times New Roman"/>
                <w:color w:val="000000" w:themeColor="text1"/>
              </w:rPr>
              <w:t>£17.07</w:t>
            </w:r>
          </w:p>
        </w:tc>
      </w:tr>
      <w:tr w:rsidR="00510550" w:rsidRPr="009C6046" w14:paraId="0DF2199D" w14:textId="77777777" w:rsidTr="00D3148C">
        <w:trPr>
          <w:trHeight w:val="280"/>
          <w:jc w:val="center"/>
        </w:trPr>
        <w:tc>
          <w:tcPr>
            <w:tcW w:w="3460" w:type="dxa"/>
            <w:tcBorders>
              <w:top w:val="nil"/>
              <w:left w:val="nil"/>
              <w:bottom w:val="nil"/>
              <w:right w:val="nil"/>
            </w:tcBorders>
            <w:shd w:val="clear" w:color="auto" w:fill="auto"/>
            <w:noWrap/>
            <w:vAlign w:val="bottom"/>
            <w:hideMark/>
          </w:tcPr>
          <w:p w14:paraId="2D55DC2E" w14:textId="77777777" w:rsidR="00510550" w:rsidRPr="009C6046" w:rsidRDefault="00510550" w:rsidP="00D3148C">
            <w:pPr>
              <w:rPr>
                <w:rFonts w:ascii="Calibri" w:eastAsia="Times New Roman" w:hAnsi="Calibri" w:cs="Times New Roman"/>
                <w:color w:val="000000" w:themeColor="text1"/>
              </w:rPr>
            </w:pPr>
            <w:r w:rsidRPr="009C6046">
              <w:rPr>
                <w:rFonts w:ascii="Calibri" w:eastAsia="Times New Roman" w:hAnsi="Calibri" w:cs="Times New Roman"/>
                <w:color w:val="000000" w:themeColor="text1"/>
              </w:rPr>
              <w:t>Loss of employment in cases</w:t>
            </w:r>
            <w:r w:rsidRPr="009C6046">
              <w:rPr>
                <w:rFonts w:ascii="Calibri" w:eastAsia="Times New Roman" w:hAnsi="Calibri" w:cs="Times New Roman"/>
                <w:color w:val="000000" w:themeColor="text1"/>
                <w:vertAlign w:val="superscript"/>
              </w:rPr>
              <w:t>2</w:t>
            </w:r>
          </w:p>
        </w:tc>
        <w:tc>
          <w:tcPr>
            <w:tcW w:w="1677" w:type="dxa"/>
            <w:tcBorders>
              <w:top w:val="nil"/>
              <w:left w:val="nil"/>
              <w:bottom w:val="nil"/>
              <w:right w:val="nil"/>
            </w:tcBorders>
            <w:shd w:val="clear" w:color="auto" w:fill="auto"/>
            <w:noWrap/>
            <w:vAlign w:val="bottom"/>
            <w:hideMark/>
          </w:tcPr>
          <w:p w14:paraId="51EC9F29" w14:textId="77777777" w:rsidR="00510550" w:rsidRPr="009C6046" w:rsidRDefault="00510550" w:rsidP="00D3148C">
            <w:pPr>
              <w:jc w:val="right"/>
              <w:rPr>
                <w:rFonts w:ascii="Calibri" w:eastAsia="Times New Roman" w:hAnsi="Calibri" w:cs="Times New Roman"/>
                <w:color w:val="000000" w:themeColor="text1"/>
              </w:rPr>
            </w:pPr>
            <w:r w:rsidRPr="009C6046">
              <w:rPr>
                <w:rFonts w:ascii="Calibri" w:eastAsia="Times New Roman" w:hAnsi="Calibri" w:cs="Times New Roman"/>
                <w:color w:val="000000" w:themeColor="text1"/>
              </w:rPr>
              <w:t>£214.32</w:t>
            </w:r>
          </w:p>
        </w:tc>
        <w:tc>
          <w:tcPr>
            <w:tcW w:w="1207" w:type="dxa"/>
            <w:tcBorders>
              <w:top w:val="nil"/>
              <w:left w:val="nil"/>
              <w:bottom w:val="nil"/>
              <w:right w:val="nil"/>
            </w:tcBorders>
            <w:shd w:val="clear" w:color="auto" w:fill="auto"/>
            <w:noWrap/>
            <w:vAlign w:val="bottom"/>
            <w:hideMark/>
          </w:tcPr>
          <w:p w14:paraId="7DA2C88C" w14:textId="77777777" w:rsidR="00510550" w:rsidRPr="009C6046" w:rsidRDefault="00510550" w:rsidP="00D3148C">
            <w:pPr>
              <w:jc w:val="right"/>
              <w:rPr>
                <w:rFonts w:ascii="Calibri" w:eastAsia="Times New Roman" w:hAnsi="Calibri" w:cs="Times New Roman"/>
                <w:color w:val="000000" w:themeColor="text1"/>
              </w:rPr>
            </w:pPr>
            <w:r w:rsidRPr="009C6046">
              <w:rPr>
                <w:rFonts w:ascii="Calibri" w:eastAsia="Times New Roman" w:hAnsi="Calibri" w:cs="Times New Roman"/>
                <w:color w:val="000000" w:themeColor="text1"/>
              </w:rPr>
              <w:t>£78.94</w:t>
            </w:r>
          </w:p>
        </w:tc>
        <w:tc>
          <w:tcPr>
            <w:tcW w:w="1060" w:type="dxa"/>
            <w:tcBorders>
              <w:top w:val="nil"/>
              <w:left w:val="nil"/>
              <w:bottom w:val="nil"/>
              <w:right w:val="nil"/>
            </w:tcBorders>
            <w:shd w:val="clear" w:color="auto" w:fill="auto"/>
            <w:noWrap/>
            <w:vAlign w:val="bottom"/>
            <w:hideMark/>
          </w:tcPr>
          <w:p w14:paraId="68F4AF33" w14:textId="77777777" w:rsidR="00510550" w:rsidRPr="009C6046" w:rsidRDefault="00510550" w:rsidP="00D3148C">
            <w:pPr>
              <w:jc w:val="right"/>
              <w:rPr>
                <w:rFonts w:ascii="Calibri" w:eastAsia="Times New Roman" w:hAnsi="Calibri" w:cs="Times New Roman"/>
                <w:color w:val="000000" w:themeColor="text1"/>
              </w:rPr>
            </w:pPr>
            <w:r w:rsidRPr="009C6046">
              <w:rPr>
                <w:rFonts w:ascii="Calibri" w:eastAsia="Times New Roman" w:hAnsi="Calibri" w:cs="Times New Roman"/>
                <w:color w:val="000000" w:themeColor="text1"/>
              </w:rPr>
              <w:t>£23.58</w:t>
            </w:r>
          </w:p>
        </w:tc>
      </w:tr>
      <w:tr w:rsidR="00510550" w:rsidRPr="009C6046" w14:paraId="530BD0BC" w14:textId="77777777" w:rsidTr="00D3148C">
        <w:trPr>
          <w:trHeight w:val="280"/>
          <w:jc w:val="center"/>
        </w:trPr>
        <w:tc>
          <w:tcPr>
            <w:tcW w:w="3460" w:type="dxa"/>
            <w:tcBorders>
              <w:top w:val="nil"/>
              <w:left w:val="nil"/>
              <w:bottom w:val="nil"/>
              <w:right w:val="nil"/>
            </w:tcBorders>
            <w:shd w:val="clear" w:color="auto" w:fill="auto"/>
            <w:noWrap/>
            <w:vAlign w:val="bottom"/>
            <w:hideMark/>
          </w:tcPr>
          <w:p w14:paraId="1BCD4699" w14:textId="77777777" w:rsidR="00510550" w:rsidRPr="009C6046" w:rsidRDefault="00510550" w:rsidP="00D3148C">
            <w:pPr>
              <w:rPr>
                <w:rFonts w:ascii="Calibri" w:eastAsia="Times New Roman" w:hAnsi="Calibri" w:cs="Times New Roman"/>
                <w:color w:val="000000" w:themeColor="text1"/>
              </w:rPr>
            </w:pPr>
            <w:r w:rsidRPr="009C6046">
              <w:rPr>
                <w:rFonts w:ascii="Calibri" w:eastAsia="Times New Roman" w:hAnsi="Calibri" w:cs="Times New Roman"/>
                <w:color w:val="000000" w:themeColor="text1"/>
              </w:rPr>
              <w:t>Loss of employment for carers</w:t>
            </w:r>
            <w:r w:rsidRPr="009C6046">
              <w:rPr>
                <w:rFonts w:ascii="Calibri" w:eastAsia="Times New Roman" w:hAnsi="Calibri" w:cs="Times New Roman"/>
                <w:color w:val="000000" w:themeColor="text1"/>
                <w:vertAlign w:val="superscript"/>
              </w:rPr>
              <w:t>2</w:t>
            </w:r>
          </w:p>
        </w:tc>
        <w:tc>
          <w:tcPr>
            <w:tcW w:w="1677" w:type="dxa"/>
            <w:tcBorders>
              <w:top w:val="nil"/>
              <w:left w:val="nil"/>
              <w:bottom w:val="single" w:sz="4" w:space="0" w:color="auto"/>
              <w:right w:val="nil"/>
            </w:tcBorders>
            <w:shd w:val="clear" w:color="auto" w:fill="auto"/>
            <w:noWrap/>
            <w:vAlign w:val="bottom"/>
            <w:hideMark/>
          </w:tcPr>
          <w:p w14:paraId="2D1A15A7" w14:textId="77777777" w:rsidR="00510550" w:rsidRPr="009C6046" w:rsidRDefault="00510550" w:rsidP="00D3148C">
            <w:pPr>
              <w:jc w:val="right"/>
              <w:rPr>
                <w:rFonts w:ascii="Calibri" w:eastAsia="Times New Roman" w:hAnsi="Calibri" w:cs="Times New Roman"/>
                <w:color w:val="000000" w:themeColor="text1"/>
              </w:rPr>
            </w:pPr>
            <w:r w:rsidRPr="009C6046">
              <w:rPr>
                <w:rFonts w:ascii="Calibri" w:eastAsia="Times New Roman" w:hAnsi="Calibri" w:cs="Times New Roman"/>
                <w:color w:val="000000" w:themeColor="text1"/>
              </w:rPr>
              <w:t>£32.46</w:t>
            </w:r>
          </w:p>
        </w:tc>
        <w:tc>
          <w:tcPr>
            <w:tcW w:w="1207" w:type="dxa"/>
            <w:tcBorders>
              <w:top w:val="nil"/>
              <w:left w:val="nil"/>
              <w:bottom w:val="single" w:sz="4" w:space="0" w:color="auto"/>
              <w:right w:val="nil"/>
            </w:tcBorders>
            <w:shd w:val="clear" w:color="auto" w:fill="auto"/>
            <w:noWrap/>
            <w:vAlign w:val="bottom"/>
            <w:hideMark/>
          </w:tcPr>
          <w:p w14:paraId="5CBD78BD" w14:textId="77777777" w:rsidR="00510550" w:rsidRPr="009C6046" w:rsidRDefault="00510550" w:rsidP="00D3148C">
            <w:pPr>
              <w:jc w:val="right"/>
              <w:rPr>
                <w:rFonts w:ascii="Calibri" w:eastAsia="Times New Roman" w:hAnsi="Calibri" w:cs="Times New Roman"/>
                <w:color w:val="000000" w:themeColor="text1"/>
              </w:rPr>
            </w:pPr>
            <w:r w:rsidRPr="009C6046">
              <w:rPr>
                <w:rFonts w:ascii="Calibri" w:eastAsia="Times New Roman" w:hAnsi="Calibri" w:cs="Times New Roman"/>
                <w:color w:val="000000" w:themeColor="text1"/>
              </w:rPr>
              <w:t>£48.13</w:t>
            </w:r>
          </w:p>
        </w:tc>
        <w:tc>
          <w:tcPr>
            <w:tcW w:w="1060" w:type="dxa"/>
            <w:tcBorders>
              <w:top w:val="nil"/>
              <w:left w:val="nil"/>
              <w:bottom w:val="single" w:sz="4" w:space="0" w:color="auto"/>
              <w:right w:val="nil"/>
            </w:tcBorders>
            <w:shd w:val="clear" w:color="auto" w:fill="auto"/>
            <w:noWrap/>
            <w:vAlign w:val="bottom"/>
            <w:hideMark/>
          </w:tcPr>
          <w:p w14:paraId="6BCDD907" w14:textId="77777777" w:rsidR="00510550" w:rsidRPr="009C6046" w:rsidRDefault="00510550" w:rsidP="00D3148C">
            <w:pPr>
              <w:jc w:val="right"/>
              <w:rPr>
                <w:rFonts w:ascii="Calibri" w:eastAsia="Times New Roman" w:hAnsi="Calibri" w:cs="Times New Roman"/>
                <w:color w:val="000000" w:themeColor="text1"/>
              </w:rPr>
            </w:pPr>
            <w:r w:rsidRPr="009C6046">
              <w:rPr>
                <w:rFonts w:ascii="Calibri" w:eastAsia="Times New Roman" w:hAnsi="Calibri" w:cs="Times New Roman"/>
                <w:color w:val="000000" w:themeColor="text1"/>
              </w:rPr>
              <w:t>£76.63</w:t>
            </w:r>
          </w:p>
        </w:tc>
      </w:tr>
      <w:tr w:rsidR="00510550" w:rsidRPr="009C6046" w14:paraId="3548E311" w14:textId="77777777" w:rsidTr="00D3148C">
        <w:trPr>
          <w:trHeight w:val="280"/>
          <w:jc w:val="center"/>
        </w:trPr>
        <w:tc>
          <w:tcPr>
            <w:tcW w:w="3460" w:type="dxa"/>
            <w:tcBorders>
              <w:top w:val="nil"/>
              <w:left w:val="nil"/>
              <w:bottom w:val="single" w:sz="4" w:space="0" w:color="auto"/>
              <w:right w:val="nil"/>
            </w:tcBorders>
            <w:shd w:val="clear" w:color="auto" w:fill="auto"/>
            <w:noWrap/>
            <w:vAlign w:val="bottom"/>
            <w:hideMark/>
          </w:tcPr>
          <w:p w14:paraId="0753AB6B" w14:textId="77777777" w:rsidR="00510550" w:rsidRPr="009C6046" w:rsidRDefault="00510550" w:rsidP="00D3148C">
            <w:pPr>
              <w:rPr>
                <w:rFonts w:ascii="Calibri" w:eastAsia="Times New Roman" w:hAnsi="Calibri" w:cs="Times New Roman"/>
                <w:color w:val="000000" w:themeColor="text1"/>
              </w:rPr>
            </w:pPr>
            <w:r w:rsidRPr="009C6046">
              <w:rPr>
                <w:rFonts w:ascii="Calibri" w:eastAsia="Times New Roman" w:hAnsi="Calibri" w:cs="Times New Roman"/>
                <w:color w:val="000000" w:themeColor="text1"/>
              </w:rPr>
              <w:t>Total (1995 prices)</w:t>
            </w:r>
          </w:p>
        </w:tc>
        <w:tc>
          <w:tcPr>
            <w:tcW w:w="1677" w:type="dxa"/>
            <w:tcBorders>
              <w:top w:val="nil"/>
              <w:left w:val="nil"/>
              <w:bottom w:val="single" w:sz="4" w:space="0" w:color="auto"/>
              <w:right w:val="nil"/>
            </w:tcBorders>
            <w:shd w:val="clear" w:color="auto" w:fill="auto"/>
            <w:noWrap/>
            <w:vAlign w:val="bottom"/>
            <w:hideMark/>
          </w:tcPr>
          <w:p w14:paraId="2FE3E9A9" w14:textId="77777777" w:rsidR="00510550" w:rsidRPr="009C6046" w:rsidRDefault="00510550" w:rsidP="00D3148C">
            <w:pPr>
              <w:jc w:val="right"/>
              <w:rPr>
                <w:rFonts w:ascii="Calibri" w:eastAsia="Times New Roman" w:hAnsi="Calibri" w:cs="Times New Roman"/>
                <w:color w:val="000000" w:themeColor="text1"/>
              </w:rPr>
            </w:pPr>
            <w:r w:rsidRPr="009C6046">
              <w:rPr>
                <w:rFonts w:ascii="Calibri" w:eastAsia="Times New Roman" w:hAnsi="Calibri" w:cs="Times New Roman"/>
                <w:color w:val="000000" w:themeColor="text1"/>
              </w:rPr>
              <w:t>£264.58</w:t>
            </w:r>
          </w:p>
        </w:tc>
        <w:tc>
          <w:tcPr>
            <w:tcW w:w="1207" w:type="dxa"/>
            <w:tcBorders>
              <w:top w:val="nil"/>
              <w:left w:val="nil"/>
              <w:bottom w:val="single" w:sz="4" w:space="0" w:color="auto"/>
              <w:right w:val="nil"/>
            </w:tcBorders>
            <w:shd w:val="clear" w:color="auto" w:fill="auto"/>
            <w:noWrap/>
            <w:vAlign w:val="bottom"/>
            <w:hideMark/>
          </w:tcPr>
          <w:p w14:paraId="5587BE4D" w14:textId="77777777" w:rsidR="00510550" w:rsidRPr="009C6046" w:rsidRDefault="00510550" w:rsidP="00D3148C">
            <w:pPr>
              <w:jc w:val="right"/>
              <w:rPr>
                <w:rFonts w:ascii="Calibri" w:eastAsia="Times New Roman" w:hAnsi="Calibri" w:cs="Times New Roman"/>
                <w:color w:val="000000" w:themeColor="text1"/>
              </w:rPr>
            </w:pPr>
            <w:r w:rsidRPr="009C6046">
              <w:rPr>
                <w:rFonts w:ascii="Calibri" w:eastAsia="Times New Roman" w:hAnsi="Calibri" w:cs="Times New Roman"/>
                <w:color w:val="000000" w:themeColor="text1"/>
              </w:rPr>
              <w:t>£139.17</w:t>
            </w:r>
          </w:p>
        </w:tc>
        <w:tc>
          <w:tcPr>
            <w:tcW w:w="1060" w:type="dxa"/>
            <w:tcBorders>
              <w:top w:val="nil"/>
              <w:left w:val="nil"/>
              <w:bottom w:val="single" w:sz="4" w:space="0" w:color="auto"/>
              <w:right w:val="nil"/>
            </w:tcBorders>
            <w:shd w:val="clear" w:color="auto" w:fill="auto"/>
            <w:noWrap/>
            <w:vAlign w:val="bottom"/>
            <w:hideMark/>
          </w:tcPr>
          <w:p w14:paraId="539C7BDE" w14:textId="77777777" w:rsidR="00510550" w:rsidRPr="009C6046" w:rsidRDefault="00510550" w:rsidP="00D3148C">
            <w:pPr>
              <w:jc w:val="right"/>
              <w:rPr>
                <w:rFonts w:ascii="Calibri" w:eastAsia="Times New Roman" w:hAnsi="Calibri" w:cs="Times New Roman"/>
                <w:color w:val="000000" w:themeColor="text1"/>
              </w:rPr>
            </w:pPr>
            <w:r w:rsidRPr="009C6046">
              <w:rPr>
                <w:rFonts w:ascii="Calibri" w:eastAsia="Times New Roman" w:hAnsi="Calibri" w:cs="Times New Roman"/>
                <w:color w:val="000000" w:themeColor="text1"/>
              </w:rPr>
              <w:t>£117.28</w:t>
            </w:r>
          </w:p>
        </w:tc>
      </w:tr>
      <w:tr w:rsidR="00510550" w:rsidRPr="009C6046" w14:paraId="03AB42C9" w14:textId="77777777" w:rsidTr="00D3148C">
        <w:trPr>
          <w:trHeight w:val="280"/>
          <w:jc w:val="center"/>
        </w:trPr>
        <w:tc>
          <w:tcPr>
            <w:tcW w:w="3460" w:type="dxa"/>
            <w:tcBorders>
              <w:top w:val="nil"/>
              <w:left w:val="nil"/>
              <w:bottom w:val="single" w:sz="4" w:space="0" w:color="auto"/>
              <w:right w:val="nil"/>
            </w:tcBorders>
            <w:shd w:val="clear" w:color="auto" w:fill="auto"/>
            <w:noWrap/>
            <w:vAlign w:val="bottom"/>
            <w:hideMark/>
          </w:tcPr>
          <w:p w14:paraId="483BE0D6" w14:textId="77777777" w:rsidR="00510550" w:rsidRPr="009C6046" w:rsidRDefault="00510550" w:rsidP="00D3148C">
            <w:pPr>
              <w:rPr>
                <w:rFonts w:ascii="Calibri" w:eastAsia="Times New Roman" w:hAnsi="Calibri" w:cs="Times New Roman"/>
                <w:b/>
                <w:bCs/>
                <w:color w:val="000000" w:themeColor="text1"/>
              </w:rPr>
            </w:pPr>
            <w:r w:rsidRPr="009C6046">
              <w:rPr>
                <w:rFonts w:ascii="Calibri" w:eastAsia="Times New Roman" w:hAnsi="Calibri" w:cs="Times New Roman"/>
                <w:b/>
                <w:bCs/>
                <w:color w:val="000000" w:themeColor="text1"/>
              </w:rPr>
              <w:t>Total adjusted to 2008-9 prices</w:t>
            </w:r>
          </w:p>
        </w:tc>
        <w:tc>
          <w:tcPr>
            <w:tcW w:w="1677" w:type="dxa"/>
            <w:tcBorders>
              <w:top w:val="nil"/>
              <w:left w:val="nil"/>
              <w:bottom w:val="single" w:sz="4" w:space="0" w:color="auto"/>
              <w:right w:val="nil"/>
            </w:tcBorders>
            <w:shd w:val="clear" w:color="auto" w:fill="auto"/>
            <w:noWrap/>
            <w:vAlign w:val="bottom"/>
            <w:hideMark/>
          </w:tcPr>
          <w:p w14:paraId="3C2D4D88" w14:textId="77777777" w:rsidR="00510550" w:rsidRPr="009C6046" w:rsidRDefault="00510550" w:rsidP="00D3148C">
            <w:pPr>
              <w:jc w:val="right"/>
              <w:rPr>
                <w:rFonts w:ascii="Calibri" w:eastAsia="Times New Roman" w:hAnsi="Calibri" w:cs="Times New Roman"/>
                <w:b/>
                <w:bCs/>
                <w:color w:val="000000" w:themeColor="text1"/>
              </w:rPr>
            </w:pPr>
            <w:r w:rsidRPr="009C6046">
              <w:rPr>
                <w:rFonts w:ascii="Calibri" w:eastAsia="Times New Roman" w:hAnsi="Calibri" w:cs="Times New Roman"/>
                <w:b/>
                <w:bCs/>
                <w:color w:val="000000" w:themeColor="text1"/>
              </w:rPr>
              <w:t>£379.61</w:t>
            </w:r>
          </w:p>
        </w:tc>
        <w:tc>
          <w:tcPr>
            <w:tcW w:w="1207" w:type="dxa"/>
            <w:tcBorders>
              <w:top w:val="nil"/>
              <w:left w:val="nil"/>
              <w:bottom w:val="single" w:sz="4" w:space="0" w:color="auto"/>
              <w:right w:val="nil"/>
            </w:tcBorders>
            <w:shd w:val="clear" w:color="auto" w:fill="auto"/>
            <w:noWrap/>
            <w:vAlign w:val="bottom"/>
            <w:hideMark/>
          </w:tcPr>
          <w:p w14:paraId="31042171" w14:textId="77777777" w:rsidR="00510550" w:rsidRPr="009C6046" w:rsidRDefault="00510550" w:rsidP="00D3148C">
            <w:pPr>
              <w:jc w:val="right"/>
              <w:rPr>
                <w:rFonts w:ascii="Calibri" w:eastAsia="Times New Roman" w:hAnsi="Calibri" w:cs="Times New Roman"/>
                <w:b/>
                <w:bCs/>
                <w:color w:val="000000" w:themeColor="text1"/>
              </w:rPr>
            </w:pPr>
            <w:r w:rsidRPr="009C6046">
              <w:rPr>
                <w:rFonts w:ascii="Calibri" w:eastAsia="Times New Roman" w:hAnsi="Calibri" w:cs="Times New Roman"/>
                <w:b/>
                <w:bCs/>
                <w:color w:val="000000" w:themeColor="text1"/>
              </w:rPr>
              <w:t>£199.68</w:t>
            </w:r>
          </w:p>
        </w:tc>
        <w:tc>
          <w:tcPr>
            <w:tcW w:w="1060" w:type="dxa"/>
            <w:tcBorders>
              <w:top w:val="nil"/>
              <w:left w:val="nil"/>
              <w:bottom w:val="single" w:sz="4" w:space="0" w:color="auto"/>
              <w:right w:val="nil"/>
            </w:tcBorders>
            <w:shd w:val="clear" w:color="auto" w:fill="auto"/>
            <w:noWrap/>
            <w:vAlign w:val="bottom"/>
            <w:hideMark/>
          </w:tcPr>
          <w:p w14:paraId="0683A706" w14:textId="77777777" w:rsidR="00510550" w:rsidRPr="009C6046" w:rsidRDefault="00510550" w:rsidP="00D3148C">
            <w:pPr>
              <w:jc w:val="right"/>
              <w:rPr>
                <w:rFonts w:ascii="Calibri" w:eastAsia="Times New Roman" w:hAnsi="Calibri" w:cs="Times New Roman"/>
                <w:b/>
                <w:bCs/>
                <w:color w:val="000000" w:themeColor="text1"/>
              </w:rPr>
            </w:pPr>
            <w:r w:rsidRPr="009C6046">
              <w:rPr>
                <w:rFonts w:ascii="Calibri" w:eastAsia="Times New Roman" w:hAnsi="Calibri" w:cs="Times New Roman"/>
                <w:b/>
                <w:bCs/>
                <w:color w:val="000000" w:themeColor="text1"/>
              </w:rPr>
              <w:t>£168.27</w:t>
            </w:r>
          </w:p>
        </w:tc>
      </w:tr>
    </w:tbl>
    <w:p w14:paraId="5C2DD5EF" w14:textId="77777777" w:rsidR="00510550" w:rsidRPr="009C6046" w:rsidRDefault="00510550" w:rsidP="00510550">
      <w:pPr>
        <w:ind w:left="709" w:right="798"/>
        <w:jc w:val="both"/>
        <w:rPr>
          <w:rFonts w:eastAsia="Times New Roman" w:cs="Times New Roman"/>
          <w:color w:val="000000" w:themeColor="text1"/>
          <w:sz w:val="18"/>
          <w:szCs w:val="18"/>
        </w:rPr>
      </w:pPr>
      <w:r w:rsidRPr="009C6046">
        <w:rPr>
          <w:rFonts w:eastAsia="Times New Roman" w:cs="Times New Roman"/>
          <w:color w:val="000000" w:themeColor="text1"/>
          <w:sz w:val="18"/>
          <w:szCs w:val="18"/>
          <w:vertAlign w:val="superscript"/>
        </w:rPr>
        <w:t>1</w:t>
      </w:r>
      <w:r w:rsidRPr="009C6046">
        <w:rPr>
          <w:rFonts w:eastAsia="Times New Roman" w:cs="Times New Roman"/>
          <w:color w:val="000000" w:themeColor="text1"/>
          <w:sz w:val="18"/>
          <w:szCs w:val="18"/>
        </w:rPr>
        <w:t xml:space="preserve"> Includes cost of medications, telephone calls to health services, purchase of goods as a result of illness (foods, entertainment, clothing, bedding, cleaning products), and costs incurred as a result of cancelled activities or childcare. </w:t>
      </w:r>
      <w:r w:rsidRPr="009C6046">
        <w:rPr>
          <w:rFonts w:eastAsia="Times New Roman" w:cs="Times New Roman"/>
          <w:color w:val="000000" w:themeColor="text1"/>
          <w:sz w:val="18"/>
          <w:szCs w:val="18"/>
          <w:vertAlign w:val="superscript"/>
        </w:rPr>
        <w:t>2</w:t>
      </w:r>
      <w:r w:rsidRPr="009C6046">
        <w:rPr>
          <w:rFonts w:eastAsia="Times New Roman" w:cs="Times New Roman"/>
          <w:color w:val="000000" w:themeColor="text1"/>
          <w:sz w:val="18"/>
          <w:szCs w:val="18"/>
        </w:rPr>
        <w:t xml:space="preserve"> Costs associated with time taken off work by patients and their carers are based on reported occupations, number of days off work, and valued according to the New Earnings Survey (1996). Estimation methods are described in </w:t>
      </w:r>
      <w:r w:rsidRPr="009C6046">
        <w:rPr>
          <w:rFonts w:eastAsia="Times New Roman" w:cs="Times New Roman"/>
          <w:color w:val="000000" w:themeColor="text1"/>
          <w:sz w:val="18"/>
          <w:szCs w:val="18"/>
        </w:rPr>
        <w:fldChar w:fldCharType="begin" w:fldLock="1"/>
      </w:r>
      <w:r w:rsidRPr="009C6046">
        <w:rPr>
          <w:rFonts w:eastAsia="Times New Roman" w:cs="Times New Roman"/>
          <w:color w:val="000000" w:themeColor="text1"/>
          <w:sz w:val="18"/>
          <w:szCs w:val="18"/>
        </w:rPr>
        <w:instrText>ADDIN CSL_CITATION { "citationItems" : [ { "id" : "ITEM-1", "itemData" : { "ISSN" : "0950-2688", "PMID" : "12613740", "abstract" : "To assess the socio-economic impact of infectious intestinal disease (IID) on the health care sector, cases and their families, cases of IID ascertained from a population cohort component and those presenting to general practices were sent a socio-economic questionnaire 3 weeks after the acute episode. The impact of the illness was measured and the resources used were identified and costed. The duration, severity and costs of illness linked to viruses were less than those linked to bacteria. The average cost per case of IID presenting to the GP was Pound Sterling253 and the costs of those not seeing a GP were Pound Sterling34. The average cost per case was Pound Sterling606 for a case with salmonella, Pound Sterling315 for campylobacter, Pound Sterling164 for rotavirus and Pound Sterling176 for SRSV. The estimated cost of IID in England was Pound Sterling743m expressed in 1994/5 prices. The costs of IID are considerable and the duration of the illness was found to be longer than previous reports have suggested.", "author" : [ { "dropping-particle" : "", "family" : "Roberts", "given" : "J A", "non-dropping-particle" : "", "parse-names" : false, "suffix" : "" }, { "dropping-particle" : "", "family" : "Cumberland", "given" : "P", "non-dropping-particle" : "", "parse-names" : false, "suffix" : "" }, { "dropping-particle" : "", "family" : "Sockett", "given" : "P N", "non-dropping-particle" : "", "parse-names" : false, "suffix" : "" }, { "dropping-particle" : "", "family" : "Wheeler", "given" : "J", "non-dropping-particle" : "", "parse-names" : false, "suffix" : "" }, { "dropping-particle" : "", "family" : "Rodrigues", "given" : "L C", "non-dropping-particle" : "", "parse-names" : false, "suffix" : "" }, { "dropping-particle" : "", "family" : "Sethi", "given" : "D", "non-dropping-particle" : "", "parse-names" : false, "suffix" : "" }, { "dropping-particle" : "", "family" : "Roderick", "given" : "P J", "non-dropping-particle" : "", "parse-names" : false, "suffix" : "" } ], "container-title" : "Epidemiology and infection", "id" : "ITEM-1", "issue" : "1", "issued" : { "date-parts" : [ [ "2003", "2" ] ] }, "page" : "1-11", "title" : "The study of infectious intestinal disease in England: socio-economic impact.", "type" : "article-journal", "volume" : "130" }, "uris" : [ "http://www.mendeley.com/documents/?uuid=f202f9a4-2c26-4604-9c8b-2692346cc926" ] }, { "id" : "ITEM-2", "itemData" : { "author" : [ { "dropping-particle" : "", "family" : "Food Standards Agency", "given" : "", "non-dropping-particle" : "", "parse-names" : false, "suffix" : "" } ], "id" : "ITEM-2", "issued" : { "date-parts" : [ [ "2000" ] ] }, "publisher-place" : "London", "title" : "A Report of the Study of Infectious Intestinal Disease in England", "type" : "report" }, "uris" : [ "http://www.mendeley.com/documents/?uuid=255cf625-3e32-4644-be80-44d43fd07764" ] } ], "mendeley" : { "formattedCitation" : "[2,9]", "plainTextFormattedCitation" : "[2,9]", "previouslyFormattedCitation" : "[2,16]" }, "properties" : { "noteIndex" : 0 }, "schema" : "https://github.com/citation-style-language/schema/raw/master/csl-citation.json" }</w:instrText>
      </w:r>
      <w:r w:rsidRPr="009C6046">
        <w:rPr>
          <w:rFonts w:eastAsia="Times New Roman" w:cs="Times New Roman"/>
          <w:color w:val="000000" w:themeColor="text1"/>
          <w:sz w:val="18"/>
          <w:szCs w:val="18"/>
        </w:rPr>
        <w:fldChar w:fldCharType="separate"/>
      </w:r>
      <w:r w:rsidRPr="009C6046">
        <w:rPr>
          <w:rFonts w:eastAsia="Times New Roman" w:cs="Times New Roman"/>
          <w:noProof/>
          <w:color w:val="000000" w:themeColor="text1"/>
          <w:sz w:val="18"/>
          <w:szCs w:val="18"/>
        </w:rPr>
        <w:t>[2,9]</w:t>
      </w:r>
      <w:r w:rsidRPr="009C6046">
        <w:rPr>
          <w:rFonts w:eastAsia="Times New Roman" w:cs="Times New Roman"/>
          <w:color w:val="000000" w:themeColor="text1"/>
          <w:sz w:val="18"/>
          <w:szCs w:val="18"/>
        </w:rPr>
        <w:fldChar w:fldCharType="end"/>
      </w:r>
      <w:r w:rsidRPr="009C6046">
        <w:rPr>
          <w:rFonts w:eastAsia="Times New Roman" w:cs="Times New Roman"/>
          <w:color w:val="000000" w:themeColor="text1"/>
          <w:sz w:val="18"/>
          <w:szCs w:val="18"/>
        </w:rPr>
        <w:t>.</w:t>
      </w:r>
    </w:p>
    <w:p w14:paraId="65752583" w14:textId="77777777" w:rsidR="00510550" w:rsidRPr="009C6046" w:rsidRDefault="00510550" w:rsidP="00510550">
      <w:pPr>
        <w:ind w:left="709" w:right="798"/>
        <w:jc w:val="both"/>
        <w:rPr>
          <w:rFonts w:asciiTheme="majorHAnsi" w:hAnsiTheme="majorHAnsi"/>
          <w:color w:val="000000" w:themeColor="text1"/>
        </w:rPr>
        <w:sectPr w:rsidR="00510550" w:rsidRPr="009C6046" w:rsidSect="00CD52F5">
          <w:pgSz w:w="11901" w:h="16840"/>
          <w:pgMar w:top="1440" w:right="1440" w:bottom="1440" w:left="1440" w:header="708" w:footer="708" w:gutter="0"/>
          <w:cols w:space="708"/>
          <w:docGrid w:linePitch="360"/>
        </w:sectPr>
      </w:pPr>
    </w:p>
    <w:p w14:paraId="5A2CFDD0" w14:textId="77777777" w:rsidR="00510550" w:rsidRPr="009C6046" w:rsidRDefault="00510550" w:rsidP="00510550">
      <w:pPr>
        <w:pStyle w:val="Heading2"/>
        <w:spacing w:line="240" w:lineRule="auto"/>
        <w:rPr>
          <w:color w:val="000000" w:themeColor="text1"/>
        </w:rPr>
      </w:pPr>
      <w:r w:rsidRPr="009C6046">
        <w:rPr>
          <w:color w:val="000000" w:themeColor="text1"/>
        </w:rPr>
        <w:t xml:space="preserve">Figure </w:t>
      </w:r>
      <w:r w:rsidR="00404B59">
        <w:rPr>
          <w:color w:val="000000" w:themeColor="text1"/>
        </w:rPr>
        <w:t>A</w:t>
      </w:r>
      <w:r w:rsidRPr="009C6046">
        <w:rPr>
          <w:color w:val="000000" w:themeColor="text1"/>
        </w:rPr>
        <w:t xml:space="preserve">: Fitted Beta distributions for </w:t>
      </w:r>
      <w:r w:rsidRPr="009C6046">
        <w:rPr>
          <w:i/>
          <w:color w:val="000000" w:themeColor="text1"/>
        </w:rPr>
        <w:t>Campylobacter</w:t>
      </w:r>
      <w:r w:rsidRPr="009C6046">
        <w:rPr>
          <w:color w:val="000000" w:themeColor="text1"/>
        </w:rPr>
        <w:t>-related health service usage</w:t>
      </w:r>
    </w:p>
    <w:p w14:paraId="0B11EBA2" w14:textId="77777777" w:rsidR="00510550" w:rsidRPr="009C6046" w:rsidRDefault="00510550" w:rsidP="00510550">
      <w:pPr>
        <w:rPr>
          <w:rFonts w:asciiTheme="majorHAnsi" w:hAnsiTheme="majorHAnsi"/>
          <w:color w:val="000000" w:themeColor="text1"/>
        </w:rPr>
        <w:sectPr w:rsidR="00510550" w:rsidRPr="009C6046" w:rsidSect="00CD52F5">
          <w:pgSz w:w="11901" w:h="16840"/>
          <w:pgMar w:top="1440" w:right="720" w:bottom="720" w:left="720" w:header="708" w:footer="708" w:gutter="0"/>
          <w:cols w:space="708"/>
          <w:docGrid w:linePitch="360"/>
        </w:sectPr>
      </w:pPr>
      <w:r w:rsidRPr="009C6046">
        <w:rPr>
          <w:rFonts w:asciiTheme="majorHAnsi" w:hAnsiTheme="majorHAnsi"/>
          <w:noProof/>
          <w:color w:val="000000" w:themeColor="text1"/>
        </w:rPr>
        <w:drawing>
          <wp:inline distT="0" distB="0" distL="0" distR="0" wp14:anchorId="6BAD89EF" wp14:editId="7B917D26">
            <wp:extent cx="6642100" cy="4830445"/>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y_betafit_all.png"/>
                    <pic:cNvPicPr/>
                  </pic:nvPicPr>
                  <pic:blipFill>
                    <a:blip r:embed="rId9">
                      <a:extLst>
                        <a:ext uri="{28A0092B-C50C-407E-A947-70E740481C1C}">
                          <a14:useLocalDpi xmlns:a14="http://schemas.microsoft.com/office/drawing/2010/main" val="0"/>
                        </a:ext>
                      </a:extLst>
                    </a:blip>
                    <a:stretch>
                      <a:fillRect/>
                    </a:stretch>
                  </pic:blipFill>
                  <pic:spPr>
                    <a:xfrm>
                      <a:off x="0" y="0"/>
                      <a:ext cx="6642100" cy="4830445"/>
                    </a:xfrm>
                    <a:prstGeom prst="rect">
                      <a:avLst/>
                    </a:prstGeom>
                  </pic:spPr>
                </pic:pic>
              </a:graphicData>
            </a:graphic>
          </wp:inline>
        </w:drawing>
      </w:r>
    </w:p>
    <w:p w14:paraId="49895BE0" w14:textId="77777777" w:rsidR="00510550" w:rsidRPr="009C6046" w:rsidRDefault="00510550" w:rsidP="00510550">
      <w:pPr>
        <w:pStyle w:val="Heading2"/>
        <w:rPr>
          <w:color w:val="000000" w:themeColor="text1"/>
        </w:rPr>
      </w:pPr>
      <w:r w:rsidRPr="009C6046">
        <w:rPr>
          <w:color w:val="000000" w:themeColor="text1"/>
        </w:rPr>
        <w:t xml:space="preserve">Figure </w:t>
      </w:r>
      <w:r w:rsidR="00404B59">
        <w:rPr>
          <w:color w:val="000000" w:themeColor="text1"/>
        </w:rPr>
        <w:t>B</w:t>
      </w:r>
      <w:r w:rsidRPr="009C6046">
        <w:rPr>
          <w:color w:val="000000" w:themeColor="text1"/>
        </w:rPr>
        <w:t>: Fitted Beta distributions for norovirus-related health service usage</w:t>
      </w:r>
    </w:p>
    <w:p w14:paraId="359678CB" w14:textId="77777777" w:rsidR="00510550" w:rsidRPr="009C6046" w:rsidRDefault="00510550" w:rsidP="00510550">
      <w:pPr>
        <w:rPr>
          <w:rFonts w:asciiTheme="majorHAnsi" w:hAnsiTheme="majorHAnsi"/>
          <w:color w:val="000000" w:themeColor="text1"/>
        </w:rPr>
      </w:pPr>
    </w:p>
    <w:p w14:paraId="68A4C41B" w14:textId="77777777" w:rsidR="00510550" w:rsidRPr="009C6046" w:rsidRDefault="00510550" w:rsidP="00510550">
      <w:pPr>
        <w:rPr>
          <w:rFonts w:asciiTheme="majorHAnsi" w:hAnsiTheme="majorHAnsi"/>
          <w:color w:val="000000" w:themeColor="text1"/>
        </w:rPr>
      </w:pPr>
      <w:r w:rsidRPr="009C6046">
        <w:rPr>
          <w:rFonts w:asciiTheme="majorHAnsi" w:hAnsiTheme="majorHAnsi"/>
          <w:noProof/>
          <w:color w:val="000000" w:themeColor="text1"/>
        </w:rPr>
        <w:drawing>
          <wp:inline distT="0" distB="0" distL="0" distR="0" wp14:anchorId="177B073B" wp14:editId="65D10F9D">
            <wp:extent cx="6642100" cy="4830445"/>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o_betafit_all.png"/>
                    <pic:cNvPicPr/>
                  </pic:nvPicPr>
                  <pic:blipFill>
                    <a:blip r:embed="rId10">
                      <a:extLst>
                        <a:ext uri="{28A0092B-C50C-407E-A947-70E740481C1C}">
                          <a14:useLocalDpi xmlns:a14="http://schemas.microsoft.com/office/drawing/2010/main" val="0"/>
                        </a:ext>
                      </a:extLst>
                    </a:blip>
                    <a:stretch>
                      <a:fillRect/>
                    </a:stretch>
                  </pic:blipFill>
                  <pic:spPr>
                    <a:xfrm>
                      <a:off x="0" y="0"/>
                      <a:ext cx="6642100" cy="4830445"/>
                    </a:xfrm>
                    <a:prstGeom prst="rect">
                      <a:avLst/>
                    </a:prstGeom>
                  </pic:spPr>
                </pic:pic>
              </a:graphicData>
            </a:graphic>
          </wp:inline>
        </w:drawing>
      </w:r>
    </w:p>
    <w:p w14:paraId="14044123" w14:textId="77777777" w:rsidR="00510550" w:rsidRPr="009C6046" w:rsidRDefault="00510550" w:rsidP="00510550">
      <w:pPr>
        <w:rPr>
          <w:rFonts w:asciiTheme="majorHAnsi" w:hAnsiTheme="majorHAnsi"/>
          <w:color w:val="000000" w:themeColor="text1"/>
        </w:rPr>
      </w:pPr>
    </w:p>
    <w:p w14:paraId="0243A2D3" w14:textId="77777777" w:rsidR="00510550" w:rsidRPr="009C6046" w:rsidRDefault="00510550" w:rsidP="00510550">
      <w:pPr>
        <w:rPr>
          <w:rFonts w:asciiTheme="majorHAnsi" w:hAnsiTheme="majorHAnsi"/>
          <w:color w:val="000000" w:themeColor="text1"/>
        </w:rPr>
      </w:pPr>
    </w:p>
    <w:p w14:paraId="77CA3A96" w14:textId="77777777" w:rsidR="00510550" w:rsidRPr="009C6046" w:rsidRDefault="00510550" w:rsidP="00510550">
      <w:pPr>
        <w:rPr>
          <w:rFonts w:asciiTheme="majorHAnsi" w:hAnsiTheme="majorHAnsi"/>
          <w:color w:val="000000" w:themeColor="text1"/>
        </w:rPr>
      </w:pPr>
    </w:p>
    <w:p w14:paraId="243686B4" w14:textId="77777777" w:rsidR="00510550" w:rsidRPr="009C6046" w:rsidRDefault="00510550" w:rsidP="00510550">
      <w:pPr>
        <w:rPr>
          <w:rFonts w:asciiTheme="majorHAnsi" w:hAnsiTheme="majorHAnsi"/>
          <w:color w:val="000000" w:themeColor="text1"/>
        </w:rPr>
      </w:pPr>
    </w:p>
    <w:p w14:paraId="5ADA7BAF" w14:textId="77777777" w:rsidR="00510550" w:rsidRPr="009C6046" w:rsidRDefault="00510550" w:rsidP="00510550">
      <w:pPr>
        <w:rPr>
          <w:rFonts w:asciiTheme="majorHAnsi" w:hAnsiTheme="majorHAnsi"/>
          <w:color w:val="000000" w:themeColor="text1"/>
        </w:rPr>
      </w:pPr>
    </w:p>
    <w:p w14:paraId="0AC7CFAE" w14:textId="77777777" w:rsidR="00510550" w:rsidRPr="009C6046" w:rsidRDefault="00510550" w:rsidP="00510550">
      <w:pPr>
        <w:rPr>
          <w:rFonts w:asciiTheme="majorHAnsi" w:hAnsiTheme="majorHAnsi"/>
          <w:color w:val="000000" w:themeColor="text1"/>
        </w:rPr>
      </w:pPr>
    </w:p>
    <w:p w14:paraId="2E76F74A" w14:textId="77777777" w:rsidR="00510550" w:rsidRPr="009C6046" w:rsidRDefault="00510550" w:rsidP="00510550">
      <w:pPr>
        <w:rPr>
          <w:rFonts w:asciiTheme="majorHAnsi" w:hAnsiTheme="majorHAnsi"/>
          <w:color w:val="000000" w:themeColor="text1"/>
        </w:rPr>
      </w:pPr>
    </w:p>
    <w:p w14:paraId="24F9AAC0" w14:textId="77777777" w:rsidR="00510550" w:rsidRPr="009C6046" w:rsidRDefault="00510550" w:rsidP="00510550">
      <w:pPr>
        <w:rPr>
          <w:rFonts w:asciiTheme="majorHAnsi" w:hAnsiTheme="majorHAnsi"/>
          <w:color w:val="000000" w:themeColor="text1"/>
        </w:rPr>
      </w:pPr>
    </w:p>
    <w:p w14:paraId="19184B90" w14:textId="77777777" w:rsidR="00510550" w:rsidRPr="009C6046" w:rsidRDefault="00510550" w:rsidP="00510550">
      <w:pPr>
        <w:tabs>
          <w:tab w:val="left" w:pos="9610"/>
        </w:tabs>
        <w:rPr>
          <w:rFonts w:asciiTheme="majorHAnsi" w:hAnsiTheme="majorHAnsi"/>
          <w:color w:val="000000" w:themeColor="text1"/>
        </w:rPr>
        <w:sectPr w:rsidR="00510550" w:rsidRPr="009C6046" w:rsidSect="00CD52F5">
          <w:pgSz w:w="11901" w:h="16840"/>
          <w:pgMar w:top="1440" w:right="720" w:bottom="720" w:left="720" w:header="708" w:footer="708" w:gutter="0"/>
          <w:cols w:space="708"/>
          <w:docGrid w:linePitch="360"/>
        </w:sectPr>
      </w:pPr>
      <w:r w:rsidRPr="009C6046">
        <w:rPr>
          <w:rFonts w:asciiTheme="majorHAnsi" w:hAnsiTheme="majorHAnsi"/>
          <w:color w:val="000000" w:themeColor="text1"/>
        </w:rPr>
        <w:tab/>
      </w:r>
    </w:p>
    <w:p w14:paraId="5417958C" w14:textId="77777777" w:rsidR="00510550" w:rsidRPr="009C6046" w:rsidRDefault="00404B59" w:rsidP="00510550">
      <w:pPr>
        <w:pStyle w:val="Heading2"/>
        <w:rPr>
          <w:color w:val="000000" w:themeColor="text1"/>
        </w:rPr>
      </w:pPr>
      <w:bookmarkStart w:id="0" w:name="_GoBack"/>
      <w:bookmarkEnd w:id="0"/>
      <w:r>
        <w:rPr>
          <w:color w:val="000000" w:themeColor="text1"/>
        </w:rPr>
        <w:t>Figure C</w:t>
      </w:r>
      <w:r w:rsidR="00510550" w:rsidRPr="009C6046">
        <w:rPr>
          <w:color w:val="000000" w:themeColor="text1"/>
        </w:rPr>
        <w:t>: Fitted Beta distributions for rotavirus-related health service usage</w:t>
      </w:r>
    </w:p>
    <w:p w14:paraId="27D10B94" w14:textId="77777777" w:rsidR="00510550" w:rsidRPr="009C6046" w:rsidRDefault="00510550" w:rsidP="00510550">
      <w:pPr>
        <w:tabs>
          <w:tab w:val="left" w:pos="9610"/>
        </w:tabs>
        <w:rPr>
          <w:rFonts w:asciiTheme="majorHAnsi" w:hAnsiTheme="majorHAnsi"/>
          <w:color w:val="000000" w:themeColor="text1"/>
        </w:rPr>
      </w:pPr>
    </w:p>
    <w:p w14:paraId="19B5FFF0" w14:textId="77777777" w:rsidR="00510550" w:rsidRPr="009C6046" w:rsidRDefault="00510550" w:rsidP="00510550">
      <w:pPr>
        <w:tabs>
          <w:tab w:val="left" w:pos="9610"/>
        </w:tabs>
        <w:rPr>
          <w:rFonts w:asciiTheme="majorHAnsi" w:hAnsiTheme="majorHAnsi"/>
          <w:color w:val="000000" w:themeColor="text1"/>
        </w:rPr>
        <w:sectPr w:rsidR="00510550" w:rsidRPr="009C6046" w:rsidSect="00CD52F5">
          <w:pgSz w:w="11901" w:h="16840"/>
          <w:pgMar w:top="1440" w:right="720" w:bottom="720" w:left="720" w:header="708" w:footer="708" w:gutter="0"/>
          <w:cols w:space="708"/>
          <w:docGrid w:linePitch="360"/>
        </w:sectPr>
      </w:pPr>
      <w:r w:rsidRPr="009C6046">
        <w:rPr>
          <w:rFonts w:asciiTheme="majorHAnsi" w:hAnsiTheme="majorHAnsi"/>
          <w:noProof/>
          <w:color w:val="000000" w:themeColor="text1"/>
        </w:rPr>
        <w:drawing>
          <wp:inline distT="0" distB="0" distL="0" distR="0" wp14:anchorId="2050E82F" wp14:editId="5AE80700">
            <wp:extent cx="6642100" cy="4830445"/>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_betafit_all.png"/>
                    <pic:cNvPicPr/>
                  </pic:nvPicPr>
                  <pic:blipFill>
                    <a:blip r:embed="rId11">
                      <a:extLst>
                        <a:ext uri="{28A0092B-C50C-407E-A947-70E740481C1C}">
                          <a14:useLocalDpi xmlns:a14="http://schemas.microsoft.com/office/drawing/2010/main" val="0"/>
                        </a:ext>
                      </a:extLst>
                    </a:blip>
                    <a:stretch>
                      <a:fillRect/>
                    </a:stretch>
                  </pic:blipFill>
                  <pic:spPr>
                    <a:xfrm>
                      <a:off x="0" y="0"/>
                      <a:ext cx="6642100" cy="4830445"/>
                    </a:xfrm>
                    <a:prstGeom prst="rect">
                      <a:avLst/>
                    </a:prstGeom>
                  </pic:spPr>
                </pic:pic>
              </a:graphicData>
            </a:graphic>
          </wp:inline>
        </w:drawing>
      </w:r>
    </w:p>
    <w:p w14:paraId="7628657D" w14:textId="77777777" w:rsidR="00510550" w:rsidRPr="009C6046" w:rsidRDefault="00510550" w:rsidP="00510550">
      <w:pPr>
        <w:pStyle w:val="Heading2"/>
        <w:rPr>
          <w:color w:val="000000" w:themeColor="text1"/>
        </w:rPr>
      </w:pPr>
      <w:r w:rsidRPr="009C6046">
        <w:rPr>
          <w:color w:val="000000" w:themeColor="text1"/>
        </w:rPr>
        <w:t>References:</w:t>
      </w:r>
    </w:p>
    <w:p w14:paraId="06CA5B4F" w14:textId="77777777" w:rsidR="00510550" w:rsidRPr="009C6046" w:rsidRDefault="00510550">
      <w:pPr>
        <w:pStyle w:val="NormalWeb"/>
        <w:ind w:left="640" w:hanging="640"/>
        <w:divId w:val="1943342901"/>
        <w:rPr>
          <w:rFonts w:ascii="Cambria" w:hAnsi="Cambria"/>
          <w:noProof/>
          <w:color w:val="000000" w:themeColor="text1"/>
        </w:rPr>
      </w:pPr>
      <w:r w:rsidRPr="009C6046">
        <w:rPr>
          <w:rFonts w:asciiTheme="minorHAnsi" w:hAnsiTheme="minorHAnsi"/>
          <w:color w:val="000000" w:themeColor="text1"/>
        </w:rPr>
        <w:fldChar w:fldCharType="begin" w:fldLock="1"/>
      </w:r>
      <w:r w:rsidRPr="009C6046">
        <w:rPr>
          <w:rFonts w:asciiTheme="minorHAnsi" w:hAnsiTheme="minorHAnsi"/>
          <w:color w:val="000000" w:themeColor="text1"/>
        </w:rPr>
        <w:instrText xml:space="preserve">ADDIN Mendeley Bibliography CSL_BIBLIOGRAPHY </w:instrText>
      </w:r>
      <w:r w:rsidRPr="009C6046">
        <w:rPr>
          <w:rFonts w:asciiTheme="minorHAnsi" w:hAnsiTheme="minorHAnsi"/>
          <w:color w:val="000000" w:themeColor="text1"/>
        </w:rPr>
        <w:fldChar w:fldCharType="separate"/>
      </w:r>
      <w:r w:rsidRPr="009C6046">
        <w:rPr>
          <w:rFonts w:ascii="Cambria" w:hAnsi="Cambria"/>
          <w:noProof/>
          <w:color w:val="000000" w:themeColor="text1"/>
        </w:rPr>
        <w:t xml:space="preserve">1. </w:t>
      </w:r>
      <w:r w:rsidRPr="009C6046">
        <w:rPr>
          <w:rFonts w:ascii="Cambria" w:hAnsi="Cambria"/>
          <w:noProof/>
          <w:color w:val="000000" w:themeColor="text1"/>
        </w:rPr>
        <w:tab/>
        <w:t xml:space="preserve">Tam CC, Rodrigues LC, Viviani L, Dodds JP, Evans MR, Hunter PR, et al. Longitudinal study of infectious intestinal disease in the UK (IID2 study): incidence in the community and presenting to general practice. Gut. BMJ Group; 2012;61: 69–77. </w:t>
      </w:r>
    </w:p>
    <w:p w14:paraId="1C1D9295" w14:textId="77777777" w:rsidR="00510550" w:rsidRPr="009C6046" w:rsidRDefault="00510550">
      <w:pPr>
        <w:pStyle w:val="NormalWeb"/>
        <w:ind w:left="640" w:hanging="640"/>
        <w:divId w:val="1943342901"/>
        <w:rPr>
          <w:rFonts w:ascii="Cambria" w:hAnsi="Cambria"/>
          <w:noProof/>
          <w:color w:val="000000" w:themeColor="text1"/>
        </w:rPr>
      </w:pPr>
      <w:r w:rsidRPr="009C6046">
        <w:rPr>
          <w:rFonts w:ascii="Cambria" w:hAnsi="Cambria"/>
          <w:noProof/>
          <w:color w:val="000000" w:themeColor="text1"/>
        </w:rPr>
        <w:t xml:space="preserve">2. </w:t>
      </w:r>
      <w:r w:rsidRPr="009C6046">
        <w:rPr>
          <w:rFonts w:ascii="Cambria" w:hAnsi="Cambria"/>
          <w:noProof/>
          <w:color w:val="000000" w:themeColor="text1"/>
        </w:rPr>
        <w:tab/>
        <w:t>Roberts JA, Cumberland P, Sockett PN, Wheeler J, Rodrigues LC, Sethi D, et al. The study of infectious intestinal disease in England: socio-economic impact. Epidemiol Infect. 2003;130: 1–11. Available: http://www.pubmedcentral.nih.gov/articlerender.fcgi?artid=2869933&amp;tool=pmcentrez&amp;rendertype=abstract</w:t>
      </w:r>
    </w:p>
    <w:p w14:paraId="358D3067" w14:textId="77777777" w:rsidR="00510550" w:rsidRPr="009C6046" w:rsidRDefault="00510550">
      <w:pPr>
        <w:pStyle w:val="NormalWeb"/>
        <w:ind w:left="640" w:hanging="640"/>
        <w:divId w:val="1943342901"/>
        <w:rPr>
          <w:rFonts w:ascii="Cambria" w:hAnsi="Cambria"/>
          <w:noProof/>
          <w:color w:val="000000" w:themeColor="text1"/>
        </w:rPr>
      </w:pPr>
      <w:r w:rsidRPr="009C6046">
        <w:rPr>
          <w:rFonts w:ascii="Cambria" w:hAnsi="Cambria"/>
          <w:noProof/>
          <w:color w:val="000000" w:themeColor="text1"/>
        </w:rPr>
        <w:t xml:space="preserve">3. </w:t>
      </w:r>
      <w:r w:rsidRPr="009C6046">
        <w:rPr>
          <w:rFonts w:ascii="Cambria" w:hAnsi="Cambria"/>
          <w:noProof/>
          <w:color w:val="000000" w:themeColor="text1"/>
        </w:rPr>
        <w:tab/>
        <w:t>Wall PG, de Louvois J, Gilbert RJ, Rowe B. Food poisoning: notifications, laboratory reports, and outbreaks--where do the statistics come from and what do they mean? Commun Dis Rep CDR Rev. 1996;6: R93–100. Available: http://www.ncbi.nlm.nih.gov/pubmed/8680502</w:t>
      </w:r>
    </w:p>
    <w:p w14:paraId="0486A3D5" w14:textId="77777777" w:rsidR="00510550" w:rsidRPr="009C6046" w:rsidRDefault="00510550">
      <w:pPr>
        <w:pStyle w:val="NormalWeb"/>
        <w:ind w:left="640" w:hanging="640"/>
        <w:divId w:val="1943342901"/>
        <w:rPr>
          <w:rFonts w:ascii="Cambria" w:hAnsi="Cambria"/>
          <w:noProof/>
          <w:color w:val="000000" w:themeColor="text1"/>
        </w:rPr>
      </w:pPr>
      <w:r w:rsidRPr="009C6046">
        <w:rPr>
          <w:rFonts w:ascii="Cambria" w:hAnsi="Cambria"/>
          <w:noProof/>
          <w:color w:val="000000" w:themeColor="text1"/>
        </w:rPr>
        <w:t xml:space="preserve">4. </w:t>
      </w:r>
      <w:r w:rsidRPr="009C6046">
        <w:rPr>
          <w:rFonts w:ascii="Cambria" w:hAnsi="Cambria"/>
          <w:noProof/>
          <w:color w:val="000000" w:themeColor="text1"/>
        </w:rPr>
        <w:tab/>
        <w:t xml:space="preserve">Tam CC, Rodrigues LC, Petersen I, Islam A, Hayward A, O’Brien SJ, et al. Incidence of Guillain-Barre syndrome among patients with Campylobacter infection: a general practice research database study. J Infect Dis. Oxford University Press; 2006;194: 95–97. </w:t>
      </w:r>
    </w:p>
    <w:p w14:paraId="3C47CFA3" w14:textId="77777777" w:rsidR="00510550" w:rsidRPr="009C6046" w:rsidRDefault="00510550">
      <w:pPr>
        <w:pStyle w:val="NormalWeb"/>
        <w:ind w:left="640" w:hanging="640"/>
        <w:divId w:val="1943342901"/>
        <w:rPr>
          <w:rFonts w:ascii="Cambria" w:hAnsi="Cambria"/>
          <w:noProof/>
          <w:color w:val="000000" w:themeColor="text1"/>
        </w:rPr>
      </w:pPr>
      <w:r w:rsidRPr="009C6046">
        <w:rPr>
          <w:rFonts w:ascii="Cambria" w:hAnsi="Cambria"/>
          <w:noProof/>
          <w:color w:val="000000" w:themeColor="text1"/>
        </w:rPr>
        <w:t xml:space="preserve">5. </w:t>
      </w:r>
      <w:r w:rsidRPr="009C6046">
        <w:rPr>
          <w:rFonts w:ascii="Cambria" w:hAnsi="Cambria"/>
          <w:noProof/>
          <w:color w:val="000000" w:themeColor="text1"/>
        </w:rPr>
        <w:tab/>
        <w:t>Munro J, Nicholl J, Cathain AO, Knowles E, Morgan A. Evaluation of NHS Direct first wave sites : Final report of the phase 1 research [Internet]. 2001. Available: https://www.shef.ac.uk/polopoly_fs/1.43645!/file/nhsd3.pdf</w:t>
      </w:r>
    </w:p>
    <w:p w14:paraId="29F56EF7" w14:textId="77777777" w:rsidR="00510550" w:rsidRPr="009C6046" w:rsidRDefault="00510550">
      <w:pPr>
        <w:pStyle w:val="NormalWeb"/>
        <w:ind w:left="640" w:hanging="640"/>
        <w:divId w:val="1943342901"/>
        <w:rPr>
          <w:rFonts w:ascii="Cambria" w:hAnsi="Cambria"/>
          <w:noProof/>
          <w:color w:val="000000" w:themeColor="text1"/>
        </w:rPr>
      </w:pPr>
      <w:r w:rsidRPr="009C6046">
        <w:rPr>
          <w:rFonts w:ascii="Cambria" w:hAnsi="Cambria"/>
          <w:noProof/>
          <w:color w:val="000000" w:themeColor="text1"/>
        </w:rPr>
        <w:t xml:space="preserve">6. </w:t>
      </w:r>
      <w:r w:rsidRPr="009C6046">
        <w:rPr>
          <w:rFonts w:ascii="Cambria" w:hAnsi="Cambria"/>
          <w:noProof/>
          <w:color w:val="000000" w:themeColor="text1"/>
        </w:rPr>
        <w:tab/>
        <w:t>Santos AC, Roberts JA, Cook AJC, Simons R, Sheehan R, Lane C, et al. Salmonella Typhimurium and Salmonella Enteritidis in England: costs to patients, their families, and primary and community health services of the NHS. Epidemiol Infect. 2011;139: 742–53. doi:10.1017/S0950268810001615</w:t>
      </w:r>
    </w:p>
    <w:p w14:paraId="47AECFE6" w14:textId="77777777" w:rsidR="00510550" w:rsidRPr="009C6046" w:rsidRDefault="00510550">
      <w:pPr>
        <w:pStyle w:val="NormalWeb"/>
        <w:ind w:left="640" w:hanging="640"/>
        <w:divId w:val="1943342901"/>
        <w:rPr>
          <w:rFonts w:ascii="Cambria" w:hAnsi="Cambria"/>
          <w:noProof/>
          <w:color w:val="000000" w:themeColor="text1"/>
        </w:rPr>
      </w:pPr>
      <w:r w:rsidRPr="009C6046">
        <w:rPr>
          <w:rFonts w:ascii="Cambria" w:hAnsi="Cambria"/>
          <w:noProof/>
          <w:color w:val="000000" w:themeColor="text1"/>
        </w:rPr>
        <w:t xml:space="preserve">7. </w:t>
      </w:r>
      <w:r w:rsidRPr="009C6046">
        <w:rPr>
          <w:rFonts w:ascii="Cambria" w:hAnsi="Cambria"/>
          <w:noProof/>
          <w:color w:val="000000" w:themeColor="text1"/>
        </w:rPr>
        <w:tab/>
        <w:t>Curtis L. Unit Costs of Health and Social Care 2009 rev. 1 [Internet]. 2009. Available: http://www.pssru.ac.uk/project-pages/unit-costs/2009/</w:t>
      </w:r>
    </w:p>
    <w:p w14:paraId="186A800D" w14:textId="77777777" w:rsidR="00510550" w:rsidRPr="009C6046" w:rsidRDefault="00510550">
      <w:pPr>
        <w:pStyle w:val="NormalWeb"/>
        <w:ind w:left="640" w:hanging="640"/>
        <w:divId w:val="1943342901"/>
        <w:rPr>
          <w:rFonts w:ascii="Cambria" w:hAnsi="Cambria"/>
          <w:noProof/>
          <w:color w:val="000000" w:themeColor="text1"/>
        </w:rPr>
      </w:pPr>
      <w:r w:rsidRPr="009C6046">
        <w:rPr>
          <w:rFonts w:ascii="Cambria" w:hAnsi="Cambria"/>
          <w:noProof/>
          <w:color w:val="000000" w:themeColor="text1"/>
        </w:rPr>
        <w:t xml:space="preserve">8. </w:t>
      </w:r>
      <w:r w:rsidRPr="009C6046">
        <w:rPr>
          <w:rFonts w:ascii="Cambria" w:hAnsi="Cambria"/>
          <w:noProof/>
          <w:color w:val="000000" w:themeColor="text1"/>
        </w:rPr>
        <w:tab/>
        <w:t>Department of Health. NHS Reference Costs 2008-9 [Internet]. 2009. Available: http://data.gov.uk/dataset/nhs-reference-costs2008-09</w:t>
      </w:r>
    </w:p>
    <w:p w14:paraId="48BF2FDD" w14:textId="77777777" w:rsidR="00510550" w:rsidRPr="009C6046" w:rsidRDefault="00510550">
      <w:pPr>
        <w:pStyle w:val="NormalWeb"/>
        <w:ind w:left="640" w:hanging="640"/>
        <w:divId w:val="1943342901"/>
        <w:rPr>
          <w:rFonts w:ascii="Cambria" w:hAnsi="Cambria"/>
          <w:noProof/>
          <w:color w:val="000000" w:themeColor="text1"/>
        </w:rPr>
      </w:pPr>
      <w:r w:rsidRPr="009C6046">
        <w:rPr>
          <w:rFonts w:ascii="Cambria" w:hAnsi="Cambria"/>
          <w:noProof/>
          <w:color w:val="000000" w:themeColor="text1"/>
        </w:rPr>
        <w:t xml:space="preserve">9. </w:t>
      </w:r>
      <w:r w:rsidRPr="009C6046">
        <w:rPr>
          <w:rFonts w:ascii="Cambria" w:hAnsi="Cambria"/>
          <w:noProof/>
          <w:color w:val="000000" w:themeColor="text1"/>
        </w:rPr>
        <w:tab/>
        <w:t xml:space="preserve">Food Standards Agency. A Report of the Study of Infectious Intestinal Disease in England [Internet]. London; 2000. Available: http://www.esds.ac.uk/doc/4092%5Cmrdoc%5Cpdf%5C4092userguide6.pdf </w:t>
      </w:r>
    </w:p>
    <w:p w14:paraId="699C1384" w14:textId="77777777" w:rsidR="00510550" w:rsidRPr="009C6046" w:rsidRDefault="00510550" w:rsidP="00510550">
      <w:pPr>
        <w:pStyle w:val="NormalWeb"/>
        <w:ind w:left="640" w:hanging="640"/>
        <w:rPr>
          <w:color w:val="000000" w:themeColor="text1"/>
        </w:rPr>
      </w:pPr>
      <w:r w:rsidRPr="009C6046">
        <w:rPr>
          <w:color w:val="000000" w:themeColor="text1"/>
        </w:rPr>
        <w:fldChar w:fldCharType="end"/>
      </w:r>
    </w:p>
    <w:p w14:paraId="23A58DD0" w14:textId="77777777" w:rsidR="00510550" w:rsidRPr="009C6046" w:rsidRDefault="00510550" w:rsidP="00510550">
      <w:pPr>
        <w:rPr>
          <w:color w:val="000000" w:themeColor="text1"/>
        </w:rPr>
      </w:pPr>
    </w:p>
    <w:p w14:paraId="213E3CC1" w14:textId="77777777" w:rsidR="00471134" w:rsidRPr="009C6046" w:rsidRDefault="00471134">
      <w:pPr>
        <w:rPr>
          <w:color w:val="000000" w:themeColor="text1"/>
        </w:rPr>
      </w:pPr>
    </w:p>
    <w:sectPr w:rsidR="00471134" w:rsidRPr="009C6046" w:rsidSect="00CD52F5">
      <w:pgSz w:w="11901"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5230D" w14:textId="77777777" w:rsidR="00000000" w:rsidRDefault="004B5833">
      <w:pPr>
        <w:spacing w:after="0" w:line="240" w:lineRule="auto"/>
      </w:pPr>
      <w:r>
        <w:separator/>
      </w:r>
    </w:p>
  </w:endnote>
  <w:endnote w:type="continuationSeparator" w:id="0">
    <w:p w14:paraId="7522B166" w14:textId="77777777" w:rsidR="00000000" w:rsidRDefault="004B5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3E1E5" w14:textId="77777777" w:rsidR="00223EE1" w:rsidRDefault="00510550" w:rsidP="009272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5DEA5A" w14:textId="77777777" w:rsidR="00223EE1" w:rsidRDefault="004B583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C75C5" w14:textId="77777777" w:rsidR="00223EE1" w:rsidRDefault="00510550" w:rsidP="009272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5833">
      <w:rPr>
        <w:rStyle w:val="PageNumber"/>
        <w:noProof/>
      </w:rPr>
      <w:t>1</w:t>
    </w:r>
    <w:r>
      <w:rPr>
        <w:rStyle w:val="PageNumber"/>
      </w:rPr>
      <w:fldChar w:fldCharType="end"/>
    </w:r>
  </w:p>
  <w:p w14:paraId="181EBA0B" w14:textId="77777777" w:rsidR="00223EE1" w:rsidRDefault="004B583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1601F" w14:textId="77777777" w:rsidR="00000000" w:rsidRDefault="004B5833">
      <w:pPr>
        <w:spacing w:after="0" w:line="240" w:lineRule="auto"/>
      </w:pPr>
      <w:r>
        <w:separator/>
      </w:r>
    </w:p>
  </w:footnote>
  <w:footnote w:type="continuationSeparator" w:id="0">
    <w:p w14:paraId="77D46591" w14:textId="77777777" w:rsidR="00000000" w:rsidRDefault="004B58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550"/>
    <w:rsid w:val="00131337"/>
    <w:rsid w:val="00404B59"/>
    <w:rsid w:val="00471134"/>
    <w:rsid w:val="004B5833"/>
    <w:rsid w:val="00510550"/>
    <w:rsid w:val="009C6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277E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550"/>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5105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05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10550"/>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055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1055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10550"/>
    <w:rPr>
      <w:rFonts w:asciiTheme="majorHAnsi" w:eastAsiaTheme="majorEastAsia" w:hAnsiTheme="majorHAnsi" w:cstheme="majorBidi"/>
      <w:b/>
      <w:bCs/>
      <w:color w:val="4F81BD" w:themeColor="accent1"/>
    </w:rPr>
  </w:style>
  <w:style w:type="table" w:styleId="TableGrid">
    <w:name w:val="Table Grid"/>
    <w:basedOn w:val="TableNormal"/>
    <w:uiPriority w:val="59"/>
    <w:rsid w:val="00510550"/>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10550"/>
    <w:pPr>
      <w:spacing w:before="100" w:beforeAutospacing="1" w:after="100" w:afterAutospacing="1" w:line="240" w:lineRule="auto"/>
    </w:pPr>
    <w:rPr>
      <w:rFonts w:ascii="Times" w:eastAsiaTheme="minorEastAsia" w:hAnsi="Times" w:cs="Times New Roman"/>
      <w:sz w:val="20"/>
      <w:szCs w:val="20"/>
    </w:rPr>
  </w:style>
  <w:style w:type="paragraph" w:styleId="Footer">
    <w:name w:val="footer"/>
    <w:basedOn w:val="Normal"/>
    <w:link w:val="FooterChar"/>
    <w:uiPriority w:val="99"/>
    <w:unhideWhenUsed/>
    <w:rsid w:val="00510550"/>
    <w:pPr>
      <w:tabs>
        <w:tab w:val="center" w:pos="4320"/>
        <w:tab w:val="right" w:pos="8640"/>
      </w:tabs>
      <w:spacing w:after="0" w:line="240" w:lineRule="auto"/>
    </w:pPr>
  </w:style>
  <w:style w:type="character" w:customStyle="1" w:styleId="FooterChar">
    <w:name w:val="Footer Char"/>
    <w:basedOn w:val="DefaultParagraphFont"/>
    <w:link w:val="Footer"/>
    <w:uiPriority w:val="99"/>
    <w:rsid w:val="00510550"/>
    <w:rPr>
      <w:rFonts w:eastAsiaTheme="minorHAnsi"/>
      <w:sz w:val="22"/>
      <w:szCs w:val="22"/>
    </w:rPr>
  </w:style>
  <w:style w:type="character" w:styleId="PageNumber">
    <w:name w:val="page number"/>
    <w:basedOn w:val="DefaultParagraphFont"/>
    <w:uiPriority w:val="99"/>
    <w:semiHidden/>
    <w:unhideWhenUsed/>
    <w:rsid w:val="00510550"/>
  </w:style>
  <w:style w:type="paragraph" w:styleId="BalloonText">
    <w:name w:val="Balloon Text"/>
    <w:basedOn w:val="Normal"/>
    <w:link w:val="BalloonTextChar"/>
    <w:uiPriority w:val="99"/>
    <w:semiHidden/>
    <w:unhideWhenUsed/>
    <w:rsid w:val="0051055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0550"/>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550"/>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5105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05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10550"/>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055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1055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10550"/>
    <w:rPr>
      <w:rFonts w:asciiTheme="majorHAnsi" w:eastAsiaTheme="majorEastAsia" w:hAnsiTheme="majorHAnsi" w:cstheme="majorBidi"/>
      <w:b/>
      <w:bCs/>
      <w:color w:val="4F81BD" w:themeColor="accent1"/>
    </w:rPr>
  </w:style>
  <w:style w:type="table" w:styleId="TableGrid">
    <w:name w:val="Table Grid"/>
    <w:basedOn w:val="TableNormal"/>
    <w:uiPriority w:val="59"/>
    <w:rsid w:val="00510550"/>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10550"/>
    <w:pPr>
      <w:spacing w:before="100" w:beforeAutospacing="1" w:after="100" w:afterAutospacing="1" w:line="240" w:lineRule="auto"/>
    </w:pPr>
    <w:rPr>
      <w:rFonts w:ascii="Times" w:eastAsiaTheme="minorEastAsia" w:hAnsi="Times" w:cs="Times New Roman"/>
      <w:sz w:val="20"/>
      <w:szCs w:val="20"/>
    </w:rPr>
  </w:style>
  <w:style w:type="paragraph" w:styleId="Footer">
    <w:name w:val="footer"/>
    <w:basedOn w:val="Normal"/>
    <w:link w:val="FooterChar"/>
    <w:uiPriority w:val="99"/>
    <w:unhideWhenUsed/>
    <w:rsid w:val="00510550"/>
    <w:pPr>
      <w:tabs>
        <w:tab w:val="center" w:pos="4320"/>
        <w:tab w:val="right" w:pos="8640"/>
      </w:tabs>
      <w:spacing w:after="0" w:line="240" w:lineRule="auto"/>
    </w:pPr>
  </w:style>
  <w:style w:type="character" w:customStyle="1" w:styleId="FooterChar">
    <w:name w:val="Footer Char"/>
    <w:basedOn w:val="DefaultParagraphFont"/>
    <w:link w:val="Footer"/>
    <w:uiPriority w:val="99"/>
    <w:rsid w:val="00510550"/>
    <w:rPr>
      <w:rFonts w:eastAsiaTheme="minorHAnsi"/>
      <w:sz w:val="22"/>
      <w:szCs w:val="22"/>
    </w:rPr>
  </w:style>
  <w:style w:type="character" w:styleId="PageNumber">
    <w:name w:val="page number"/>
    <w:basedOn w:val="DefaultParagraphFont"/>
    <w:uiPriority w:val="99"/>
    <w:semiHidden/>
    <w:unhideWhenUsed/>
    <w:rsid w:val="00510550"/>
  </w:style>
  <w:style w:type="paragraph" w:styleId="BalloonText">
    <w:name w:val="Balloon Text"/>
    <w:basedOn w:val="Normal"/>
    <w:link w:val="BalloonTextChar"/>
    <w:uiPriority w:val="99"/>
    <w:semiHidden/>
    <w:unhideWhenUsed/>
    <w:rsid w:val="0051055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0550"/>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3429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7782</Words>
  <Characters>44358</Characters>
  <Application>Microsoft Macintosh Word</Application>
  <DocSecurity>0</DocSecurity>
  <Lines>369</Lines>
  <Paragraphs>104</Paragraphs>
  <ScaleCrop>false</ScaleCrop>
  <Company/>
  <LinksUpToDate>false</LinksUpToDate>
  <CharactersWithSpaces>52036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CCT</dc:creator>
  <cp:keywords/>
  <dc:description/>
  <cp:lastModifiedBy>CCT</cp:lastModifiedBy>
  <cp:revision>4</cp:revision>
  <dcterms:created xsi:type="dcterms:W3CDTF">2015-09-11T06:31:00Z</dcterms:created>
  <dcterms:modified xsi:type="dcterms:W3CDTF">2015-09-11T06:42:00Z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clarence.tam@lshtm.ac.uk@www.mendeley.com</vt:lpwstr>
  </property>
  <property fmtid="{D5CDD505-2E9C-101B-9397-08002B2CF9AE}" pid="4" name="Mendeley Citation Style_1">
    <vt:lpwstr>http://www.zotero.org/styles/plos-one</vt:lpwstr>
  </property>
  <property fmtid="{D5CDD505-2E9C-101B-9397-08002B2CF9AE}" pid="5" name="Mendeley Recent Style Id 0_1">
    <vt:lpwstr>http://www.zotero.org/styles/bmj</vt:lpwstr>
  </property>
  <property fmtid="{D5CDD505-2E9C-101B-9397-08002B2CF9AE}" pid="6" name="Mendeley Recent Style Name 0_1">
    <vt:lpwstr>BMJ</vt:lpwstr>
  </property>
  <property fmtid="{D5CDD505-2E9C-101B-9397-08002B2CF9AE}" pid="7" name="Mendeley Recent Style Id 1_1">
    <vt:lpwstr>http://csl.mendeley.com/styles/13986913/bmj-cct</vt:lpwstr>
  </property>
  <property fmtid="{D5CDD505-2E9C-101B-9397-08002B2CF9AE}" pid="8" name="Mendeley Recent Style Name 1_1">
    <vt:lpwstr>BMJ - CCT - Clarence Tam</vt:lpwstr>
  </property>
  <property fmtid="{D5CDD505-2E9C-101B-9397-08002B2CF9AE}" pid="9" name="Mendeley Recent Style Id 2_1">
    <vt:lpwstr>http://csl.mendeley.com/styles/13986913/bmj-cct-fullauthorlist</vt:lpwstr>
  </property>
  <property fmtid="{D5CDD505-2E9C-101B-9397-08002B2CF9AE}" pid="10" name="Mendeley Recent Style Name 2_1">
    <vt:lpwstr>BMJ - Clarence Tam</vt:lpwstr>
  </property>
  <property fmtid="{D5CDD505-2E9C-101B-9397-08002B2CF9AE}" pid="11" name="Mendeley Recent Style Id 3_1">
    <vt:lpwstr>http://csl.mendeley.com/styles/13986913/bmj-cct3</vt:lpwstr>
  </property>
  <property fmtid="{D5CDD505-2E9C-101B-9397-08002B2CF9AE}" pid="12" name="Mendeley Recent Style Name 3_1">
    <vt:lpwstr>BMJ - Clarence Tam</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http://www.zotero.org/styles/plos-one</vt:lpwstr>
  </property>
  <property fmtid="{D5CDD505-2E9C-101B-9397-08002B2CF9AE}" pid="24" name="Mendeley Recent Style Name 9_1">
    <vt:lpwstr>PLOS ONE</vt:lpwstr>
  </property>
</Properties>
</file>