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1110"/>
        <w:tblW w:w="15559" w:type="dxa"/>
        <w:tblLayout w:type="fixed"/>
        <w:tblLook w:val="04A0" w:firstRow="1" w:lastRow="0" w:firstColumn="1" w:lastColumn="0" w:noHBand="0" w:noVBand="1"/>
      </w:tblPr>
      <w:tblGrid>
        <w:gridCol w:w="442"/>
        <w:gridCol w:w="800"/>
        <w:gridCol w:w="4111"/>
        <w:gridCol w:w="425"/>
        <w:gridCol w:w="709"/>
        <w:gridCol w:w="3686"/>
        <w:gridCol w:w="465"/>
        <w:gridCol w:w="669"/>
        <w:gridCol w:w="4252"/>
      </w:tblGrid>
      <w:tr w:rsidR="00FE503C" w:rsidRPr="00834EE1" w:rsidTr="00CE66F4">
        <w:tc>
          <w:tcPr>
            <w:tcW w:w="5353" w:type="dxa"/>
            <w:gridSpan w:val="3"/>
            <w:shd w:val="clear" w:color="auto" w:fill="auto"/>
          </w:tcPr>
          <w:p w:rsidR="00FE503C" w:rsidRPr="00834EE1" w:rsidRDefault="00252F2B" w:rsidP="00CE66F4">
            <w:pPr>
              <w:jc w:val="center"/>
              <w:rPr>
                <w:b/>
              </w:rPr>
            </w:pPr>
            <w:r w:rsidRPr="00834EE1">
              <w:rPr>
                <w:b/>
              </w:rPr>
              <w:t>Amino acid residues in CTII that interact with PC</w:t>
            </w:r>
          </w:p>
        </w:tc>
        <w:tc>
          <w:tcPr>
            <w:tcW w:w="4820" w:type="dxa"/>
            <w:gridSpan w:val="3"/>
            <w:shd w:val="clear" w:color="auto" w:fill="auto"/>
          </w:tcPr>
          <w:p w:rsidR="00FE503C" w:rsidRPr="00834EE1" w:rsidRDefault="00252F2B" w:rsidP="00CE66F4">
            <w:pPr>
              <w:jc w:val="center"/>
              <w:rPr>
                <w:b/>
              </w:rPr>
            </w:pPr>
            <w:r w:rsidRPr="00834EE1">
              <w:rPr>
                <w:b/>
              </w:rPr>
              <w:t>Interactive residues in CTII that are shared between the phospholipid head group binding</w:t>
            </w:r>
            <w:r w:rsidR="006043F5" w:rsidRPr="00834EE1">
              <w:rPr>
                <w:b/>
              </w:rPr>
              <w:t xml:space="preserve"> sites</w:t>
            </w:r>
            <w:r w:rsidRPr="00834EE1">
              <w:rPr>
                <w:b/>
              </w:rPr>
              <w:t xml:space="preserve"> </w:t>
            </w:r>
            <w:r w:rsidR="006043F5" w:rsidRPr="00834EE1">
              <w:rPr>
                <w:b/>
              </w:rPr>
              <w:t>of</w:t>
            </w:r>
            <w:r w:rsidRPr="00834EE1">
              <w:rPr>
                <w:b/>
              </w:rPr>
              <w:t xml:space="preserve"> PS and PC</w:t>
            </w:r>
            <w:r w:rsidR="00830A71" w:rsidRPr="00834EE1">
              <w:rPr>
                <w:b/>
              </w:rPr>
              <w:t xml:space="preserve"> (shown </w:t>
            </w:r>
            <w:r w:rsidR="00854B50" w:rsidRPr="00834EE1">
              <w:rPr>
                <w:b/>
              </w:rPr>
              <w:t xml:space="preserve">are </w:t>
            </w:r>
            <w:r w:rsidR="00830A71" w:rsidRPr="00834EE1">
              <w:rPr>
                <w:b/>
              </w:rPr>
              <w:t>CT residues docked with PS)</w:t>
            </w:r>
            <w:r w:rsidRPr="00834EE1">
              <w:rPr>
                <w:b/>
              </w:rPr>
              <w:t xml:space="preserve">   </w:t>
            </w:r>
          </w:p>
        </w:tc>
        <w:tc>
          <w:tcPr>
            <w:tcW w:w="5386" w:type="dxa"/>
            <w:gridSpan w:val="3"/>
            <w:shd w:val="clear" w:color="auto" w:fill="auto"/>
          </w:tcPr>
          <w:p w:rsidR="00830A71" w:rsidRPr="00834EE1" w:rsidRDefault="00AD6496" w:rsidP="00CE66F4">
            <w:pPr>
              <w:jc w:val="center"/>
              <w:rPr>
                <w:b/>
              </w:rPr>
            </w:pPr>
            <w:r w:rsidRPr="00834EE1">
              <w:rPr>
                <w:b/>
              </w:rPr>
              <w:t>Interactive residues in CTII</w:t>
            </w:r>
            <w:r w:rsidR="00252F2B" w:rsidRPr="00834EE1">
              <w:rPr>
                <w:b/>
              </w:rPr>
              <w:t xml:space="preserve"> that are shared between the phospholipid head group binding</w:t>
            </w:r>
            <w:r w:rsidR="006043F5" w:rsidRPr="00834EE1">
              <w:rPr>
                <w:b/>
              </w:rPr>
              <w:t xml:space="preserve"> sites </w:t>
            </w:r>
            <w:r w:rsidR="00252F2B" w:rsidRPr="00834EE1">
              <w:rPr>
                <w:b/>
              </w:rPr>
              <w:t xml:space="preserve"> of </w:t>
            </w:r>
            <w:r w:rsidR="00830A71" w:rsidRPr="00834EE1">
              <w:rPr>
                <w:b/>
              </w:rPr>
              <w:t>CL</w:t>
            </w:r>
            <w:r w:rsidR="00252F2B" w:rsidRPr="00834EE1">
              <w:rPr>
                <w:b/>
              </w:rPr>
              <w:t xml:space="preserve"> and PC  </w:t>
            </w:r>
          </w:p>
          <w:p w:rsidR="00FE503C" w:rsidRPr="00834EE1" w:rsidRDefault="00830A71" w:rsidP="00CE66F4">
            <w:pPr>
              <w:jc w:val="center"/>
              <w:rPr>
                <w:b/>
              </w:rPr>
            </w:pPr>
            <w:r w:rsidRPr="00834EE1">
              <w:rPr>
                <w:b/>
              </w:rPr>
              <w:t>(shown</w:t>
            </w:r>
            <w:r w:rsidR="00854B50" w:rsidRPr="00834EE1">
              <w:rPr>
                <w:b/>
              </w:rPr>
              <w:t xml:space="preserve"> are</w:t>
            </w:r>
            <w:r w:rsidRPr="00834EE1">
              <w:rPr>
                <w:b/>
              </w:rPr>
              <w:t xml:space="preserve"> CT residues docked with CL)</w:t>
            </w:r>
          </w:p>
        </w:tc>
      </w:tr>
      <w:tr w:rsidR="00FE503C" w:rsidRPr="00834EE1" w:rsidTr="00CE66F4">
        <w:tc>
          <w:tcPr>
            <w:tcW w:w="442" w:type="dxa"/>
            <w:tcBorders>
              <w:right w:val="single" w:sz="4" w:space="0" w:color="auto"/>
            </w:tcBorders>
            <w:shd w:val="clear" w:color="auto" w:fill="auto"/>
          </w:tcPr>
          <w:p w:rsidR="00FE503C" w:rsidRPr="00834EE1" w:rsidRDefault="00FE503C" w:rsidP="00CE66F4">
            <w:pPr>
              <w:jc w:val="center"/>
            </w:pPr>
            <w:r w:rsidRPr="00834EE1">
              <w:t>№</w:t>
            </w:r>
            <w:r w:rsidR="00830A71" w:rsidRPr="00834EE1">
              <w:t xml:space="preserve"> </w:t>
            </w:r>
          </w:p>
        </w:tc>
        <w:tc>
          <w:tcPr>
            <w:tcW w:w="800" w:type="dxa"/>
            <w:tcBorders>
              <w:left w:val="single" w:sz="4" w:space="0" w:color="auto"/>
              <w:right w:val="single" w:sz="4" w:space="0" w:color="auto"/>
            </w:tcBorders>
            <w:shd w:val="clear" w:color="auto" w:fill="auto"/>
          </w:tcPr>
          <w:p w:rsidR="00FE503C" w:rsidRPr="00834EE1" w:rsidRDefault="00FE503C" w:rsidP="00CE66F4">
            <w:pPr>
              <w:ind w:left="-158"/>
              <w:jc w:val="center"/>
              <w:rPr>
                <w:sz w:val="20"/>
                <w:szCs w:val="20"/>
              </w:rPr>
            </w:pPr>
            <w:r w:rsidRPr="00834EE1">
              <w:rPr>
                <w:sz w:val="20"/>
                <w:szCs w:val="20"/>
              </w:rPr>
              <w:t xml:space="preserve">  Affinity</w:t>
            </w:r>
          </w:p>
          <w:p w:rsidR="00FE503C" w:rsidRPr="00834EE1" w:rsidRDefault="00FE503C" w:rsidP="00CE66F4">
            <w:pPr>
              <w:ind w:left="-158"/>
              <w:jc w:val="center"/>
              <w:rPr>
                <w:sz w:val="16"/>
                <w:szCs w:val="16"/>
              </w:rPr>
            </w:pPr>
            <w:r w:rsidRPr="00834EE1">
              <w:rPr>
                <w:sz w:val="16"/>
                <w:szCs w:val="16"/>
              </w:rPr>
              <w:t xml:space="preserve">  (kcal/</w:t>
            </w:r>
            <w:proofErr w:type="spellStart"/>
            <w:r w:rsidRPr="00834EE1">
              <w:rPr>
                <w:sz w:val="16"/>
                <w:szCs w:val="16"/>
              </w:rPr>
              <w:t>mol</w:t>
            </w:r>
            <w:proofErr w:type="spellEnd"/>
            <w:r w:rsidRPr="00834EE1">
              <w:rPr>
                <w:sz w:val="16"/>
                <w:szCs w:val="16"/>
              </w:rPr>
              <w:t>)</w:t>
            </w:r>
          </w:p>
        </w:tc>
        <w:tc>
          <w:tcPr>
            <w:tcW w:w="4111" w:type="dxa"/>
            <w:tcBorders>
              <w:left w:val="single" w:sz="4" w:space="0" w:color="auto"/>
            </w:tcBorders>
            <w:shd w:val="clear" w:color="auto" w:fill="auto"/>
          </w:tcPr>
          <w:p w:rsidR="00FE503C" w:rsidRPr="00834EE1" w:rsidRDefault="00E40B15" w:rsidP="00CE66F4">
            <w:pPr>
              <w:jc w:val="center"/>
            </w:pPr>
            <w:r>
              <w:t>Interactive residues</w:t>
            </w:r>
          </w:p>
        </w:tc>
        <w:tc>
          <w:tcPr>
            <w:tcW w:w="425" w:type="dxa"/>
            <w:tcBorders>
              <w:right w:val="single" w:sz="4" w:space="0" w:color="auto"/>
            </w:tcBorders>
            <w:shd w:val="clear" w:color="auto" w:fill="auto"/>
          </w:tcPr>
          <w:p w:rsidR="00FE503C" w:rsidRPr="00834EE1" w:rsidRDefault="00FE503C" w:rsidP="00CE66F4">
            <w:pPr>
              <w:jc w:val="center"/>
            </w:pPr>
            <w:r w:rsidRPr="00834EE1">
              <w:t>№</w:t>
            </w:r>
          </w:p>
        </w:tc>
        <w:tc>
          <w:tcPr>
            <w:tcW w:w="709" w:type="dxa"/>
            <w:tcBorders>
              <w:left w:val="single" w:sz="4" w:space="0" w:color="auto"/>
              <w:right w:val="single" w:sz="4" w:space="0" w:color="auto"/>
            </w:tcBorders>
            <w:shd w:val="clear" w:color="auto" w:fill="auto"/>
          </w:tcPr>
          <w:p w:rsidR="00FE503C" w:rsidRPr="00834EE1" w:rsidRDefault="00FE503C" w:rsidP="00CE66F4">
            <w:pPr>
              <w:ind w:left="-108"/>
              <w:jc w:val="center"/>
              <w:rPr>
                <w:sz w:val="20"/>
                <w:szCs w:val="20"/>
              </w:rPr>
            </w:pPr>
            <w:r w:rsidRPr="00834EE1">
              <w:rPr>
                <w:sz w:val="20"/>
                <w:szCs w:val="20"/>
              </w:rPr>
              <w:t>Affinity</w:t>
            </w:r>
          </w:p>
          <w:p w:rsidR="00FE503C" w:rsidRPr="00834EE1" w:rsidRDefault="00FE503C" w:rsidP="00CE66F4">
            <w:pPr>
              <w:ind w:left="-108" w:right="-108"/>
              <w:jc w:val="center"/>
            </w:pPr>
            <w:r w:rsidRPr="00834EE1">
              <w:rPr>
                <w:sz w:val="16"/>
                <w:szCs w:val="16"/>
              </w:rPr>
              <w:t>(kcal/</w:t>
            </w:r>
            <w:proofErr w:type="spellStart"/>
            <w:r w:rsidRPr="00834EE1">
              <w:rPr>
                <w:sz w:val="16"/>
                <w:szCs w:val="16"/>
              </w:rPr>
              <w:t>mol</w:t>
            </w:r>
            <w:proofErr w:type="spellEnd"/>
            <w:r w:rsidRPr="00834EE1">
              <w:rPr>
                <w:sz w:val="16"/>
                <w:szCs w:val="16"/>
              </w:rPr>
              <w:t>)</w:t>
            </w:r>
          </w:p>
        </w:tc>
        <w:tc>
          <w:tcPr>
            <w:tcW w:w="3686" w:type="dxa"/>
            <w:tcBorders>
              <w:left w:val="single" w:sz="4" w:space="0" w:color="auto"/>
            </w:tcBorders>
            <w:shd w:val="clear" w:color="auto" w:fill="auto"/>
          </w:tcPr>
          <w:p w:rsidR="00FE503C" w:rsidRPr="00834EE1" w:rsidRDefault="00E40B15" w:rsidP="00CE66F4">
            <w:pPr>
              <w:jc w:val="center"/>
            </w:pPr>
            <w:r>
              <w:t>Interactive residues</w:t>
            </w:r>
          </w:p>
        </w:tc>
        <w:tc>
          <w:tcPr>
            <w:tcW w:w="465" w:type="dxa"/>
            <w:tcBorders>
              <w:right w:val="single" w:sz="4" w:space="0" w:color="auto"/>
            </w:tcBorders>
            <w:shd w:val="clear" w:color="auto" w:fill="auto"/>
          </w:tcPr>
          <w:p w:rsidR="00FE503C" w:rsidRPr="00834EE1" w:rsidRDefault="00FE503C" w:rsidP="00CE66F4">
            <w:pPr>
              <w:jc w:val="center"/>
            </w:pPr>
            <w:r w:rsidRPr="00834EE1">
              <w:t>№</w:t>
            </w:r>
          </w:p>
        </w:tc>
        <w:tc>
          <w:tcPr>
            <w:tcW w:w="669" w:type="dxa"/>
            <w:tcBorders>
              <w:left w:val="single" w:sz="4" w:space="0" w:color="auto"/>
              <w:right w:val="single" w:sz="4" w:space="0" w:color="auto"/>
            </w:tcBorders>
            <w:shd w:val="clear" w:color="auto" w:fill="auto"/>
          </w:tcPr>
          <w:p w:rsidR="00FE503C" w:rsidRPr="00834EE1" w:rsidRDefault="00FE503C" w:rsidP="00CE66F4">
            <w:pPr>
              <w:ind w:left="-35"/>
              <w:jc w:val="center"/>
              <w:rPr>
                <w:sz w:val="20"/>
                <w:szCs w:val="20"/>
              </w:rPr>
            </w:pPr>
            <w:r w:rsidRPr="00834EE1">
              <w:rPr>
                <w:sz w:val="20"/>
                <w:szCs w:val="20"/>
              </w:rPr>
              <w:t>Affinity</w:t>
            </w:r>
          </w:p>
          <w:p w:rsidR="00FE503C" w:rsidRPr="00834EE1" w:rsidRDefault="00FE503C" w:rsidP="00CE66F4">
            <w:pPr>
              <w:ind w:left="-177" w:right="-108"/>
              <w:jc w:val="center"/>
            </w:pPr>
            <w:r w:rsidRPr="00834EE1">
              <w:rPr>
                <w:sz w:val="16"/>
                <w:szCs w:val="16"/>
              </w:rPr>
              <w:t>(kcal/</w:t>
            </w:r>
            <w:proofErr w:type="spellStart"/>
            <w:r w:rsidRPr="00834EE1">
              <w:rPr>
                <w:sz w:val="16"/>
                <w:szCs w:val="16"/>
              </w:rPr>
              <w:t>mol</w:t>
            </w:r>
            <w:proofErr w:type="spellEnd"/>
            <w:r w:rsidRPr="00834EE1">
              <w:rPr>
                <w:sz w:val="16"/>
                <w:szCs w:val="16"/>
              </w:rPr>
              <w:t>)</w:t>
            </w:r>
          </w:p>
        </w:tc>
        <w:tc>
          <w:tcPr>
            <w:tcW w:w="4252" w:type="dxa"/>
            <w:tcBorders>
              <w:left w:val="single" w:sz="4" w:space="0" w:color="auto"/>
            </w:tcBorders>
            <w:shd w:val="clear" w:color="auto" w:fill="auto"/>
          </w:tcPr>
          <w:p w:rsidR="00FE503C" w:rsidRPr="00834EE1" w:rsidRDefault="00E40B15" w:rsidP="00CE66F4">
            <w:pPr>
              <w:jc w:val="center"/>
            </w:pPr>
            <w:r>
              <w:t>Interactive residues</w:t>
            </w:r>
          </w:p>
        </w:tc>
      </w:tr>
      <w:tr w:rsidR="00FE503C" w:rsidRPr="00834EE1" w:rsidTr="00CE66F4">
        <w:tc>
          <w:tcPr>
            <w:tcW w:w="442" w:type="dxa"/>
            <w:tcBorders>
              <w:right w:val="single" w:sz="4" w:space="0" w:color="auto"/>
            </w:tcBorders>
            <w:shd w:val="clear" w:color="auto" w:fill="auto"/>
          </w:tcPr>
          <w:p w:rsidR="00FE503C" w:rsidRPr="00834EE1" w:rsidRDefault="00FE503C" w:rsidP="00CE66F4">
            <w:pPr>
              <w:jc w:val="center"/>
            </w:pPr>
            <w:r w:rsidRPr="00834EE1">
              <w:t>1</w:t>
            </w:r>
          </w:p>
        </w:tc>
        <w:tc>
          <w:tcPr>
            <w:tcW w:w="800" w:type="dxa"/>
            <w:tcBorders>
              <w:left w:val="single" w:sz="4" w:space="0" w:color="auto"/>
              <w:right w:val="single" w:sz="4" w:space="0" w:color="auto"/>
            </w:tcBorders>
            <w:shd w:val="clear" w:color="auto" w:fill="auto"/>
          </w:tcPr>
          <w:p w:rsidR="00FE503C" w:rsidRPr="00834EE1" w:rsidRDefault="007F6963" w:rsidP="00CE66F4">
            <w:pPr>
              <w:jc w:val="center"/>
            </w:pPr>
            <w:r w:rsidRPr="00834EE1">
              <w:t>‒2.8</w:t>
            </w:r>
          </w:p>
        </w:tc>
        <w:tc>
          <w:tcPr>
            <w:tcW w:w="4111" w:type="dxa"/>
            <w:tcBorders>
              <w:left w:val="single" w:sz="4" w:space="0" w:color="auto"/>
            </w:tcBorders>
            <w:shd w:val="clear" w:color="auto" w:fill="auto"/>
          </w:tcPr>
          <w:p w:rsidR="00FE503C" w:rsidRPr="00834EE1" w:rsidRDefault="007F6963" w:rsidP="00CE66F4">
            <w:pPr>
              <w:ind w:left="-107" w:right="-108"/>
              <w:jc w:val="center"/>
              <w:rPr>
                <w:sz w:val="20"/>
                <w:szCs w:val="20"/>
              </w:rPr>
            </w:pPr>
            <w:r w:rsidRPr="00834EE1">
              <w:rPr>
                <w:b/>
              </w:rPr>
              <w:t>K</w:t>
            </w:r>
            <w:r w:rsidRPr="00834EE1">
              <w:rPr>
                <w:b/>
                <w:vertAlign w:val="superscript"/>
              </w:rPr>
              <w:t>+</w:t>
            </w:r>
            <w:r w:rsidRPr="00834EE1">
              <w:rPr>
                <w:b/>
              </w:rPr>
              <w:t>23</w:t>
            </w:r>
          </w:p>
        </w:tc>
        <w:tc>
          <w:tcPr>
            <w:tcW w:w="425" w:type="dxa"/>
            <w:tcBorders>
              <w:right w:val="single" w:sz="4" w:space="0" w:color="auto"/>
            </w:tcBorders>
            <w:shd w:val="clear" w:color="auto" w:fill="auto"/>
          </w:tcPr>
          <w:p w:rsidR="00FE503C" w:rsidRPr="00834EE1" w:rsidRDefault="00685665" w:rsidP="00CE66F4">
            <w:pPr>
              <w:jc w:val="center"/>
            </w:pPr>
            <w:r w:rsidRPr="00834EE1">
              <w:t>1</w:t>
            </w:r>
          </w:p>
        </w:tc>
        <w:tc>
          <w:tcPr>
            <w:tcW w:w="709" w:type="dxa"/>
            <w:tcBorders>
              <w:left w:val="single" w:sz="4" w:space="0" w:color="auto"/>
              <w:right w:val="single" w:sz="4" w:space="0" w:color="auto"/>
            </w:tcBorders>
            <w:shd w:val="clear" w:color="auto" w:fill="auto"/>
          </w:tcPr>
          <w:p w:rsidR="00FE503C" w:rsidRPr="00834EE1" w:rsidRDefault="00685665" w:rsidP="00CE66F4">
            <w:pPr>
              <w:jc w:val="center"/>
            </w:pPr>
            <w:r w:rsidRPr="00834EE1">
              <w:t>-3.3</w:t>
            </w:r>
          </w:p>
        </w:tc>
        <w:tc>
          <w:tcPr>
            <w:tcW w:w="3686" w:type="dxa"/>
            <w:tcBorders>
              <w:left w:val="single" w:sz="4" w:space="0" w:color="auto"/>
            </w:tcBorders>
            <w:shd w:val="clear" w:color="auto" w:fill="auto"/>
          </w:tcPr>
          <w:p w:rsidR="00FE503C" w:rsidRPr="00834EE1" w:rsidRDefault="00685665" w:rsidP="00CE66F4">
            <w:pPr>
              <w:ind w:left="-108"/>
              <w:jc w:val="center"/>
            </w:pPr>
            <w:r w:rsidRPr="00834EE1">
              <w:rPr>
                <w:b/>
              </w:rPr>
              <w:t>K</w:t>
            </w:r>
            <w:r w:rsidRPr="00834EE1">
              <w:rPr>
                <w:b/>
                <w:vertAlign w:val="superscript"/>
              </w:rPr>
              <w:t>+</w:t>
            </w:r>
            <w:r w:rsidRPr="00834EE1">
              <w:rPr>
                <w:b/>
              </w:rPr>
              <w:t>23</w:t>
            </w:r>
          </w:p>
        </w:tc>
        <w:tc>
          <w:tcPr>
            <w:tcW w:w="465" w:type="dxa"/>
            <w:tcBorders>
              <w:right w:val="single" w:sz="4" w:space="0" w:color="auto"/>
            </w:tcBorders>
            <w:shd w:val="clear" w:color="auto" w:fill="auto"/>
          </w:tcPr>
          <w:p w:rsidR="00FE503C" w:rsidRPr="00834EE1" w:rsidRDefault="006C471B" w:rsidP="00CE66F4">
            <w:pPr>
              <w:jc w:val="center"/>
            </w:pPr>
            <w:r w:rsidRPr="00834EE1">
              <w:t>8</w:t>
            </w:r>
          </w:p>
        </w:tc>
        <w:tc>
          <w:tcPr>
            <w:tcW w:w="669" w:type="dxa"/>
            <w:tcBorders>
              <w:left w:val="single" w:sz="4" w:space="0" w:color="auto"/>
              <w:right w:val="single" w:sz="4" w:space="0" w:color="auto"/>
            </w:tcBorders>
            <w:shd w:val="clear" w:color="auto" w:fill="auto"/>
          </w:tcPr>
          <w:p w:rsidR="00FE503C" w:rsidRPr="00834EE1" w:rsidRDefault="006C471B" w:rsidP="00CE66F4">
            <w:pPr>
              <w:jc w:val="center"/>
            </w:pPr>
            <w:r w:rsidRPr="00834EE1">
              <w:t>-3.5</w:t>
            </w:r>
          </w:p>
        </w:tc>
        <w:tc>
          <w:tcPr>
            <w:tcW w:w="4252" w:type="dxa"/>
            <w:tcBorders>
              <w:left w:val="single" w:sz="4" w:space="0" w:color="auto"/>
            </w:tcBorders>
            <w:shd w:val="clear" w:color="auto" w:fill="auto"/>
          </w:tcPr>
          <w:p w:rsidR="00FE503C" w:rsidRPr="00834EE1" w:rsidRDefault="006C471B" w:rsidP="00CE66F4">
            <w:pPr>
              <w:jc w:val="center"/>
            </w:pPr>
            <w:r w:rsidRPr="00834EE1">
              <w:rPr>
                <w:b/>
              </w:rPr>
              <w:t>K</w:t>
            </w:r>
            <w:r w:rsidRPr="00834EE1">
              <w:rPr>
                <w:b/>
                <w:vertAlign w:val="superscript"/>
              </w:rPr>
              <w:t>+</w:t>
            </w:r>
            <w:r w:rsidRPr="00834EE1">
              <w:rPr>
                <w:b/>
              </w:rPr>
              <w:t>23</w:t>
            </w:r>
          </w:p>
        </w:tc>
      </w:tr>
      <w:tr w:rsidR="00FE503C" w:rsidRPr="00834EE1" w:rsidTr="00CE66F4">
        <w:tc>
          <w:tcPr>
            <w:tcW w:w="442" w:type="dxa"/>
            <w:tcBorders>
              <w:right w:val="single" w:sz="4" w:space="0" w:color="auto"/>
            </w:tcBorders>
            <w:shd w:val="clear" w:color="auto" w:fill="auto"/>
          </w:tcPr>
          <w:p w:rsidR="00FE503C" w:rsidRPr="00834EE1" w:rsidRDefault="00FE503C" w:rsidP="00CE66F4">
            <w:pPr>
              <w:jc w:val="center"/>
            </w:pPr>
            <w:r w:rsidRPr="00834EE1">
              <w:t>2</w:t>
            </w:r>
          </w:p>
        </w:tc>
        <w:tc>
          <w:tcPr>
            <w:tcW w:w="800" w:type="dxa"/>
            <w:tcBorders>
              <w:left w:val="single" w:sz="4" w:space="0" w:color="auto"/>
              <w:right w:val="single" w:sz="4" w:space="0" w:color="auto"/>
            </w:tcBorders>
            <w:shd w:val="clear" w:color="auto" w:fill="auto"/>
          </w:tcPr>
          <w:p w:rsidR="00FE503C" w:rsidRPr="00834EE1" w:rsidRDefault="007F6963" w:rsidP="00CE66F4">
            <w:pPr>
              <w:jc w:val="center"/>
            </w:pPr>
            <w:r w:rsidRPr="00834EE1">
              <w:t>‒2.6</w:t>
            </w:r>
          </w:p>
        </w:tc>
        <w:tc>
          <w:tcPr>
            <w:tcW w:w="4111" w:type="dxa"/>
            <w:tcBorders>
              <w:left w:val="single" w:sz="4" w:space="0" w:color="auto"/>
            </w:tcBorders>
            <w:shd w:val="clear" w:color="auto" w:fill="auto"/>
          </w:tcPr>
          <w:p w:rsidR="00FE503C" w:rsidRPr="00834EE1" w:rsidRDefault="007F6963" w:rsidP="00CE66F4">
            <w:pPr>
              <w:jc w:val="center"/>
              <w:rPr>
                <w:sz w:val="20"/>
                <w:szCs w:val="20"/>
              </w:rPr>
            </w:pPr>
            <w:r w:rsidRPr="00834EE1">
              <w:rPr>
                <w:b/>
              </w:rPr>
              <w:t>K</w:t>
            </w:r>
            <w:r w:rsidRPr="00834EE1">
              <w:rPr>
                <w:b/>
                <w:vertAlign w:val="superscript"/>
              </w:rPr>
              <w:t>+</w:t>
            </w:r>
            <w:r w:rsidRPr="00834EE1">
              <w:rPr>
                <w:b/>
              </w:rPr>
              <w:t>44</w:t>
            </w:r>
            <w:r w:rsidRPr="00834EE1">
              <w:t xml:space="preserve">, </w:t>
            </w:r>
            <w:r w:rsidRPr="00834EE1">
              <w:rPr>
                <w:b/>
              </w:rPr>
              <w:t>S45</w:t>
            </w:r>
            <w:r w:rsidRPr="00834EE1">
              <w:t>(OH</w:t>
            </w:r>
            <w:r w:rsidRPr="00834EE1">
              <w:rPr>
                <w:vertAlign w:val="superscript"/>
              </w:rPr>
              <w:t xml:space="preserve"> σ+</w:t>
            </w:r>
            <w:r w:rsidRPr="00834EE1">
              <w:t xml:space="preserve">), </w:t>
            </w:r>
            <w:r w:rsidRPr="00834EE1">
              <w:rPr>
                <w:b/>
              </w:rPr>
              <w:t>S45</w:t>
            </w:r>
            <w:r w:rsidRPr="00834EE1">
              <w:t>(</w:t>
            </w:r>
            <w:proofErr w:type="spellStart"/>
            <w:r w:rsidRPr="00834EE1">
              <w:t>NH</w:t>
            </w:r>
            <w:r w:rsidRPr="00834EE1">
              <w:rPr>
                <w:vertAlign w:val="subscript"/>
              </w:rPr>
              <w:t>pb</w:t>
            </w:r>
            <w:r w:rsidRPr="00834EE1">
              <w:rPr>
                <w:vertAlign w:val="superscript"/>
              </w:rPr>
              <w:t>σ</w:t>
            </w:r>
            <w:proofErr w:type="spellEnd"/>
            <w:r w:rsidRPr="00834EE1">
              <w:rPr>
                <w:vertAlign w:val="superscript"/>
              </w:rPr>
              <w:t>+</w:t>
            </w:r>
            <w:r w:rsidRPr="00834EE1">
              <w:t>)</w:t>
            </w:r>
          </w:p>
        </w:tc>
        <w:tc>
          <w:tcPr>
            <w:tcW w:w="425" w:type="dxa"/>
            <w:tcBorders>
              <w:right w:val="single" w:sz="4" w:space="0" w:color="auto"/>
            </w:tcBorders>
            <w:shd w:val="clear" w:color="auto" w:fill="auto"/>
          </w:tcPr>
          <w:p w:rsidR="00FE503C" w:rsidRPr="00834EE1" w:rsidRDefault="00685665" w:rsidP="00CE66F4">
            <w:pPr>
              <w:jc w:val="center"/>
            </w:pPr>
            <w:r w:rsidRPr="00834EE1">
              <w:t>3</w:t>
            </w:r>
          </w:p>
        </w:tc>
        <w:tc>
          <w:tcPr>
            <w:tcW w:w="709" w:type="dxa"/>
            <w:tcBorders>
              <w:left w:val="single" w:sz="4" w:space="0" w:color="auto"/>
              <w:right w:val="single" w:sz="4" w:space="0" w:color="auto"/>
            </w:tcBorders>
            <w:shd w:val="clear" w:color="auto" w:fill="auto"/>
          </w:tcPr>
          <w:p w:rsidR="00FE503C" w:rsidRPr="00834EE1" w:rsidRDefault="00685665" w:rsidP="00CE66F4">
            <w:pPr>
              <w:jc w:val="center"/>
            </w:pPr>
            <w:r w:rsidRPr="00834EE1">
              <w:t>-3.2</w:t>
            </w:r>
          </w:p>
        </w:tc>
        <w:tc>
          <w:tcPr>
            <w:tcW w:w="3686" w:type="dxa"/>
            <w:tcBorders>
              <w:left w:val="single" w:sz="4" w:space="0" w:color="auto"/>
            </w:tcBorders>
            <w:shd w:val="clear" w:color="auto" w:fill="auto"/>
          </w:tcPr>
          <w:p w:rsidR="00FE503C" w:rsidRPr="00834EE1" w:rsidRDefault="00685665" w:rsidP="00CE66F4">
            <w:pPr>
              <w:ind w:left="-108" w:right="-150"/>
              <w:jc w:val="center"/>
            </w:pPr>
            <w:r w:rsidRPr="00834EE1">
              <w:rPr>
                <w:b/>
              </w:rPr>
              <w:t>K</w:t>
            </w:r>
            <w:r w:rsidRPr="00834EE1">
              <w:rPr>
                <w:b/>
                <w:vertAlign w:val="superscript"/>
              </w:rPr>
              <w:t>+</w:t>
            </w:r>
            <w:r w:rsidRPr="00834EE1">
              <w:rPr>
                <w:b/>
              </w:rPr>
              <w:t>44</w:t>
            </w:r>
            <w:r w:rsidRPr="00834EE1">
              <w:t xml:space="preserve">, </w:t>
            </w:r>
            <w:r w:rsidRPr="00834EE1">
              <w:rPr>
                <w:b/>
              </w:rPr>
              <w:t>S45</w:t>
            </w:r>
            <w:r w:rsidRPr="00834EE1">
              <w:t>(OH</w:t>
            </w:r>
            <w:r w:rsidRPr="00834EE1">
              <w:rPr>
                <w:vertAlign w:val="superscript"/>
              </w:rPr>
              <w:t xml:space="preserve"> σ+</w:t>
            </w:r>
            <w:r w:rsidRPr="00834EE1">
              <w:t xml:space="preserve">), </w:t>
            </w:r>
            <w:r w:rsidRPr="00834EE1">
              <w:rPr>
                <w:b/>
              </w:rPr>
              <w:t>S45</w:t>
            </w:r>
            <w:r w:rsidRPr="00834EE1">
              <w:t>(</w:t>
            </w:r>
            <w:proofErr w:type="spellStart"/>
            <w:r w:rsidRPr="00834EE1">
              <w:t>NH</w:t>
            </w:r>
            <w:r w:rsidRPr="00834EE1">
              <w:rPr>
                <w:vertAlign w:val="subscript"/>
              </w:rPr>
              <w:t>pb</w:t>
            </w:r>
            <w:r w:rsidRPr="00834EE1">
              <w:rPr>
                <w:vertAlign w:val="superscript"/>
              </w:rPr>
              <w:t>σ</w:t>
            </w:r>
            <w:proofErr w:type="spellEnd"/>
            <w:r w:rsidRPr="00834EE1">
              <w:rPr>
                <w:vertAlign w:val="superscript"/>
              </w:rPr>
              <w:t>+</w:t>
            </w:r>
            <w:r w:rsidRPr="00834EE1">
              <w:t>)</w:t>
            </w:r>
          </w:p>
        </w:tc>
        <w:tc>
          <w:tcPr>
            <w:tcW w:w="465" w:type="dxa"/>
            <w:tcBorders>
              <w:right w:val="single" w:sz="4" w:space="0" w:color="auto"/>
            </w:tcBorders>
            <w:shd w:val="clear" w:color="auto" w:fill="auto"/>
          </w:tcPr>
          <w:p w:rsidR="00FE503C" w:rsidRPr="00E40B15" w:rsidRDefault="00E40B15" w:rsidP="00CE66F4">
            <w:pPr>
              <w:jc w:val="center"/>
              <w:rPr>
                <w:sz w:val="16"/>
                <w:szCs w:val="16"/>
              </w:rPr>
            </w:pPr>
            <w:r>
              <w:rPr>
                <w:sz w:val="16"/>
                <w:szCs w:val="16"/>
              </w:rPr>
              <w:t>NA</w:t>
            </w:r>
          </w:p>
        </w:tc>
        <w:tc>
          <w:tcPr>
            <w:tcW w:w="669" w:type="dxa"/>
            <w:tcBorders>
              <w:left w:val="single" w:sz="4" w:space="0" w:color="auto"/>
              <w:right w:val="single" w:sz="4" w:space="0" w:color="auto"/>
            </w:tcBorders>
            <w:shd w:val="clear" w:color="auto" w:fill="auto"/>
          </w:tcPr>
          <w:p w:rsidR="00FE503C" w:rsidRPr="00834EE1" w:rsidRDefault="00E40B15" w:rsidP="00CE66F4">
            <w:pPr>
              <w:jc w:val="center"/>
            </w:pPr>
            <w:r>
              <w:t>NA</w:t>
            </w:r>
          </w:p>
        </w:tc>
        <w:tc>
          <w:tcPr>
            <w:tcW w:w="4252" w:type="dxa"/>
            <w:tcBorders>
              <w:left w:val="single" w:sz="4" w:space="0" w:color="auto"/>
            </w:tcBorders>
            <w:shd w:val="clear" w:color="auto" w:fill="auto"/>
          </w:tcPr>
          <w:p w:rsidR="00FE503C" w:rsidRPr="00834EE1" w:rsidRDefault="00A11812" w:rsidP="00CE66F4">
            <w:pPr>
              <w:jc w:val="center"/>
            </w:pPr>
            <w:r w:rsidRPr="00834EE1">
              <w:rPr>
                <w:b/>
              </w:rPr>
              <w:t>no match</w:t>
            </w:r>
          </w:p>
        </w:tc>
      </w:tr>
      <w:tr w:rsidR="00685665" w:rsidRPr="00834EE1" w:rsidTr="00CE66F4">
        <w:tc>
          <w:tcPr>
            <w:tcW w:w="442" w:type="dxa"/>
            <w:tcBorders>
              <w:right w:val="single" w:sz="4" w:space="0" w:color="auto"/>
            </w:tcBorders>
            <w:shd w:val="clear" w:color="auto" w:fill="auto"/>
          </w:tcPr>
          <w:p w:rsidR="00685665" w:rsidRPr="00834EE1" w:rsidRDefault="00685665" w:rsidP="00CE66F4">
            <w:pPr>
              <w:jc w:val="center"/>
            </w:pPr>
            <w:r w:rsidRPr="00834EE1">
              <w:t>3</w:t>
            </w:r>
          </w:p>
        </w:tc>
        <w:tc>
          <w:tcPr>
            <w:tcW w:w="800" w:type="dxa"/>
            <w:tcBorders>
              <w:left w:val="single" w:sz="4" w:space="0" w:color="auto"/>
              <w:right w:val="single" w:sz="4" w:space="0" w:color="auto"/>
            </w:tcBorders>
            <w:shd w:val="clear" w:color="auto" w:fill="auto"/>
          </w:tcPr>
          <w:p w:rsidR="00685665" w:rsidRPr="00834EE1" w:rsidRDefault="00685665" w:rsidP="00CE66F4">
            <w:pPr>
              <w:jc w:val="center"/>
            </w:pPr>
            <w:r w:rsidRPr="00834EE1">
              <w:t>‒2.5</w:t>
            </w:r>
          </w:p>
        </w:tc>
        <w:tc>
          <w:tcPr>
            <w:tcW w:w="4111" w:type="dxa"/>
            <w:tcBorders>
              <w:left w:val="single" w:sz="4" w:space="0" w:color="auto"/>
            </w:tcBorders>
            <w:shd w:val="clear" w:color="auto" w:fill="auto"/>
          </w:tcPr>
          <w:p w:rsidR="00685665" w:rsidRPr="00834EE1" w:rsidRDefault="00685665" w:rsidP="00CE66F4">
            <w:pPr>
              <w:jc w:val="center"/>
            </w:pPr>
            <w:r w:rsidRPr="00834EE1">
              <w:rPr>
                <w:b/>
              </w:rPr>
              <w:t>K</w:t>
            </w:r>
            <w:r w:rsidRPr="00834EE1">
              <w:rPr>
                <w:b/>
                <w:vertAlign w:val="superscript"/>
              </w:rPr>
              <w:t>+</w:t>
            </w:r>
            <w:r w:rsidRPr="00834EE1">
              <w:rPr>
                <w:b/>
              </w:rPr>
              <w:t>44</w:t>
            </w:r>
            <w:r w:rsidRPr="00834EE1">
              <w:t xml:space="preserve">, </w:t>
            </w:r>
            <w:r w:rsidRPr="00834EE1">
              <w:rPr>
                <w:b/>
              </w:rPr>
              <w:t>S45</w:t>
            </w:r>
            <w:r w:rsidRPr="00834EE1">
              <w:t>(OH</w:t>
            </w:r>
            <w:r w:rsidRPr="00834EE1">
              <w:rPr>
                <w:vertAlign w:val="superscript"/>
              </w:rPr>
              <w:t xml:space="preserve"> σ+</w:t>
            </w:r>
            <w:r w:rsidRPr="00834EE1">
              <w:t xml:space="preserve">), </w:t>
            </w:r>
            <w:r w:rsidRPr="00834EE1">
              <w:rPr>
                <w:b/>
              </w:rPr>
              <w:t>S45</w:t>
            </w:r>
            <w:r w:rsidRPr="00834EE1">
              <w:t>(</w:t>
            </w:r>
            <w:proofErr w:type="spellStart"/>
            <w:r w:rsidRPr="00834EE1">
              <w:t>NH</w:t>
            </w:r>
            <w:r w:rsidRPr="00834EE1">
              <w:rPr>
                <w:vertAlign w:val="subscript"/>
              </w:rPr>
              <w:t>pb</w:t>
            </w:r>
            <w:r w:rsidRPr="00834EE1">
              <w:rPr>
                <w:vertAlign w:val="superscript"/>
              </w:rPr>
              <w:t>σ</w:t>
            </w:r>
            <w:proofErr w:type="spellEnd"/>
            <w:r w:rsidRPr="00834EE1">
              <w:rPr>
                <w:vertAlign w:val="superscript"/>
              </w:rPr>
              <w:t>+</w:t>
            </w:r>
            <w:r w:rsidRPr="00834EE1">
              <w:t xml:space="preserve">), </w:t>
            </w:r>
            <w:r w:rsidRPr="00834EE1">
              <w:rPr>
                <w:b/>
              </w:rPr>
              <w:t>K</w:t>
            </w:r>
            <w:r w:rsidRPr="00834EE1">
              <w:rPr>
                <w:b/>
                <w:vertAlign w:val="superscript"/>
              </w:rPr>
              <w:t>+</w:t>
            </w:r>
            <w:r w:rsidRPr="00834EE1">
              <w:rPr>
                <w:b/>
              </w:rPr>
              <w:t>50</w:t>
            </w:r>
          </w:p>
        </w:tc>
        <w:tc>
          <w:tcPr>
            <w:tcW w:w="425" w:type="dxa"/>
            <w:tcBorders>
              <w:right w:val="single" w:sz="4" w:space="0" w:color="auto"/>
            </w:tcBorders>
            <w:shd w:val="clear" w:color="auto" w:fill="auto"/>
          </w:tcPr>
          <w:p w:rsidR="00685665" w:rsidRPr="00834EE1" w:rsidRDefault="00685665" w:rsidP="00CE66F4">
            <w:pPr>
              <w:jc w:val="center"/>
            </w:pPr>
            <w:r w:rsidRPr="00834EE1">
              <w:t>3</w:t>
            </w:r>
          </w:p>
        </w:tc>
        <w:tc>
          <w:tcPr>
            <w:tcW w:w="709" w:type="dxa"/>
            <w:tcBorders>
              <w:left w:val="single" w:sz="4" w:space="0" w:color="auto"/>
              <w:right w:val="single" w:sz="4" w:space="0" w:color="auto"/>
            </w:tcBorders>
            <w:shd w:val="clear" w:color="auto" w:fill="auto"/>
          </w:tcPr>
          <w:p w:rsidR="00685665" w:rsidRPr="00834EE1" w:rsidRDefault="00685665" w:rsidP="00CE66F4">
            <w:pPr>
              <w:jc w:val="center"/>
            </w:pPr>
            <w:r w:rsidRPr="00834EE1">
              <w:t>-3.2</w:t>
            </w:r>
          </w:p>
        </w:tc>
        <w:tc>
          <w:tcPr>
            <w:tcW w:w="3686" w:type="dxa"/>
            <w:tcBorders>
              <w:left w:val="single" w:sz="4" w:space="0" w:color="auto"/>
            </w:tcBorders>
            <w:shd w:val="clear" w:color="auto" w:fill="auto"/>
          </w:tcPr>
          <w:p w:rsidR="00685665" w:rsidRPr="00834EE1" w:rsidRDefault="00685665" w:rsidP="00CE66F4">
            <w:pPr>
              <w:jc w:val="center"/>
            </w:pPr>
            <w:r w:rsidRPr="00834EE1">
              <w:rPr>
                <w:b/>
              </w:rPr>
              <w:t>K</w:t>
            </w:r>
            <w:r w:rsidRPr="00834EE1">
              <w:rPr>
                <w:b/>
                <w:vertAlign w:val="superscript"/>
              </w:rPr>
              <w:t>+</w:t>
            </w:r>
            <w:r w:rsidRPr="00834EE1">
              <w:rPr>
                <w:b/>
              </w:rPr>
              <w:t>44</w:t>
            </w:r>
            <w:r w:rsidRPr="00834EE1">
              <w:t xml:space="preserve">, </w:t>
            </w:r>
            <w:r w:rsidRPr="00834EE1">
              <w:rPr>
                <w:b/>
              </w:rPr>
              <w:t>S45</w:t>
            </w:r>
            <w:r w:rsidRPr="00834EE1">
              <w:t>(OH</w:t>
            </w:r>
            <w:r w:rsidRPr="00834EE1">
              <w:rPr>
                <w:vertAlign w:val="superscript"/>
              </w:rPr>
              <w:t xml:space="preserve"> σ+</w:t>
            </w:r>
            <w:r w:rsidRPr="00834EE1">
              <w:t xml:space="preserve">), </w:t>
            </w:r>
            <w:r w:rsidRPr="00834EE1">
              <w:rPr>
                <w:b/>
              </w:rPr>
              <w:t>S45</w:t>
            </w:r>
            <w:r w:rsidRPr="00834EE1">
              <w:t>(</w:t>
            </w:r>
            <w:proofErr w:type="spellStart"/>
            <w:r w:rsidRPr="00834EE1">
              <w:t>NH</w:t>
            </w:r>
            <w:r w:rsidRPr="00834EE1">
              <w:rPr>
                <w:vertAlign w:val="subscript"/>
              </w:rPr>
              <w:t>pb</w:t>
            </w:r>
            <w:r w:rsidRPr="00834EE1">
              <w:rPr>
                <w:vertAlign w:val="superscript"/>
              </w:rPr>
              <w:t>σ</w:t>
            </w:r>
            <w:proofErr w:type="spellEnd"/>
            <w:r w:rsidRPr="00834EE1">
              <w:rPr>
                <w:vertAlign w:val="superscript"/>
              </w:rPr>
              <w:t>+</w:t>
            </w:r>
            <w:r w:rsidRPr="00834EE1">
              <w:t xml:space="preserve">), </w:t>
            </w:r>
            <w:r w:rsidRPr="00834EE1">
              <w:rPr>
                <w:b/>
              </w:rPr>
              <w:t>K</w:t>
            </w:r>
            <w:r w:rsidRPr="00834EE1">
              <w:rPr>
                <w:b/>
                <w:vertAlign w:val="superscript"/>
              </w:rPr>
              <w:t>+</w:t>
            </w:r>
            <w:r w:rsidRPr="00834EE1">
              <w:rPr>
                <w:b/>
              </w:rPr>
              <w:t>50</w:t>
            </w:r>
          </w:p>
        </w:tc>
        <w:tc>
          <w:tcPr>
            <w:tcW w:w="465" w:type="dxa"/>
            <w:tcBorders>
              <w:right w:val="single" w:sz="4" w:space="0" w:color="auto"/>
            </w:tcBorders>
            <w:shd w:val="clear" w:color="auto" w:fill="auto"/>
          </w:tcPr>
          <w:p w:rsidR="00685665" w:rsidRPr="00E40B15" w:rsidRDefault="00E40B15" w:rsidP="00CE66F4">
            <w:pPr>
              <w:jc w:val="center"/>
              <w:rPr>
                <w:sz w:val="16"/>
                <w:szCs w:val="16"/>
              </w:rPr>
            </w:pPr>
            <w:r w:rsidRPr="00E40B15">
              <w:rPr>
                <w:sz w:val="16"/>
                <w:szCs w:val="16"/>
              </w:rPr>
              <w:t>NA</w:t>
            </w:r>
          </w:p>
        </w:tc>
        <w:tc>
          <w:tcPr>
            <w:tcW w:w="669" w:type="dxa"/>
            <w:tcBorders>
              <w:left w:val="single" w:sz="4" w:space="0" w:color="auto"/>
              <w:right w:val="single" w:sz="4" w:space="0" w:color="auto"/>
            </w:tcBorders>
            <w:shd w:val="clear" w:color="auto" w:fill="auto"/>
          </w:tcPr>
          <w:p w:rsidR="00685665" w:rsidRPr="00834EE1" w:rsidRDefault="00E40B15" w:rsidP="00CE66F4">
            <w:pPr>
              <w:jc w:val="center"/>
            </w:pPr>
            <w:r>
              <w:t>NA</w:t>
            </w:r>
          </w:p>
        </w:tc>
        <w:tc>
          <w:tcPr>
            <w:tcW w:w="4252" w:type="dxa"/>
            <w:tcBorders>
              <w:left w:val="single" w:sz="4" w:space="0" w:color="auto"/>
            </w:tcBorders>
            <w:shd w:val="clear" w:color="auto" w:fill="auto"/>
          </w:tcPr>
          <w:p w:rsidR="00685665" w:rsidRPr="00834EE1" w:rsidRDefault="00685665" w:rsidP="00CE66F4">
            <w:pPr>
              <w:jc w:val="center"/>
            </w:pPr>
            <w:r w:rsidRPr="00834EE1">
              <w:rPr>
                <w:b/>
              </w:rPr>
              <w:t>no match</w:t>
            </w:r>
          </w:p>
        </w:tc>
      </w:tr>
      <w:tr w:rsidR="00685665" w:rsidRPr="00834EE1" w:rsidTr="00CE66F4">
        <w:tc>
          <w:tcPr>
            <w:tcW w:w="442" w:type="dxa"/>
            <w:tcBorders>
              <w:right w:val="single" w:sz="4" w:space="0" w:color="auto"/>
            </w:tcBorders>
            <w:shd w:val="clear" w:color="auto" w:fill="auto"/>
          </w:tcPr>
          <w:p w:rsidR="00685665" w:rsidRPr="00834EE1" w:rsidRDefault="00685665" w:rsidP="00CE66F4">
            <w:pPr>
              <w:jc w:val="center"/>
            </w:pPr>
            <w:r w:rsidRPr="00834EE1">
              <w:t>4</w:t>
            </w:r>
          </w:p>
        </w:tc>
        <w:tc>
          <w:tcPr>
            <w:tcW w:w="800" w:type="dxa"/>
            <w:tcBorders>
              <w:left w:val="single" w:sz="4" w:space="0" w:color="auto"/>
              <w:right w:val="single" w:sz="4" w:space="0" w:color="auto"/>
            </w:tcBorders>
            <w:shd w:val="clear" w:color="auto" w:fill="auto"/>
          </w:tcPr>
          <w:p w:rsidR="00685665" w:rsidRPr="00834EE1" w:rsidRDefault="00685665" w:rsidP="00CE66F4">
            <w:pPr>
              <w:jc w:val="center"/>
            </w:pPr>
            <w:r w:rsidRPr="00834EE1">
              <w:t>‒2.4</w:t>
            </w:r>
          </w:p>
        </w:tc>
        <w:tc>
          <w:tcPr>
            <w:tcW w:w="4111" w:type="dxa"/>
            <w:tcBorders>
              <w:left w:val="single" w:sz="4" w:space="0" w:color="auto"/>
            </w:tcBorders>
            <w:shd w:val="clear" w:color="auto" w:fill="auto"/>
          </w:tcPr>
          <w:p w:rsidR="00685665" w:rsidRPr="00834EE1" w:rsidRDefault="00685665" w:rsidP="00CE66F4">
            <w:pPr>
              <w:jc w:val="center"/>
            </w:pPr>
            <w:r w:rsidRPr="00834EE1">
              <w:rPr>
                <w:b/>
              </w:rPr>
              <w:t>K</w:t>
            </w:r>
            <w:r w:rsidRPr="00834EE1">
              <w:rPr>
                <w:b/>
                <w:vertAlign w:val="superscript"/>
              </w:rPr>
              <w:t>+</w:t>
            </w:r>
            <w:r w:rsidRPr="00834EE1">
              <w:rPr>
                <w:b/>
              </w:rPr>
              <w:t>44</w:t>
            </w:r>
            <w:r w:rsidRPr="00834EE1">
              <w:t xml:space="preserve">, </w:t>
            </w:r>
            <w:r w:rsidRPr="00834EE1">
              <w:rPr>
                <w:b/>
              </w:rPr>
              <w:t>S45</w:t>
            </w:r>
            <w:r w:rsidRPr="00834EE1">
              <w:t>(OH</w:t>
            </w:r>
            <w:r w:rsidRPr="00834EE1">
              <w:rPr>
                <w:vertAlign w:val="superscript"/>
              </w:rPr>
              <w:t xml:space="preserve"> σ+</w:t>
            </w:r>
            <w:r w:rsidRPr="00834EE1">
              <w:t xml:space="preserve">), </w:t>
            </w:r>
            <w:r w:rsidRPr="00834EE1">
              <w:rPr>
                <w:b/>
              </w:rPr>
              <w:t>S45</w:t>
            </w:r>
            <w:r w:rsidRPr="00834EE1">
              <w:t>(</w:t>
            </w:r>
            <w:proofErr w:type="spellStart"/>
            <w:r w:rsidRPr="00834EE1">
              <w:t>NH</w:t>
            </w:r>
            <w:r w:rsidRPr="00834EE1">
              <w:rPr>
                <w:vertAlign w:val="subscript"/>
              </w:rPr>
              <w:t>pb</w:t>
            </w:r>
            <w:r w:rsidRPr="00834EE1">
              <w:rPr>
                <w:vertAlign w:val="superscript"/>
              </w:rPr>
              <w:t>σ</w:t>
            </w:r>
            <w:proofErr w:type="spellEnd"/>
            <w:r w:rsidRPr="00834EE1">
              <w:rPr>
                <w:vertAlign w:val="superscript"/>
              </w:rPr>
              <w:t>+</w:t>
            </w:r>
            <w:r w:rsidRPr="00834EE1">
              <w:t>)</w:t>
            </w:r>
          </w:p>
        </w:tc>
        <w:tc>
          <w:tcPr>
            <w:tcW w:w="425" w:type="dxa"/>
            <w:tcBorders>
              <w:right w:val="single" w:sz="4" w:space="0" w:color="auto"/>
            </w:tcBorders>
            <w:shd w:val="clear" w:color="auto" w:fill="auto"/>
          </w:tcPr>
          <w:p w:rsidR="00685665" w:rsidRPr="00834EE1" w:rsidRDefault="00685665" w:rsidP="00CE66F4">
            <w:pPr>
              <w:jc w:val="center"/>
            </w:pPr>
            <w:r w:rsidRPr="00834EE1">
              <w:t>3</w:t>
            </w:r>
          </w:p>
        </w:tc>
        <w:tc>
          <w:tcPr>
            <w:tcW w:w="709" w:type="dxa"/>
            <w:tcBorders>
              <w:left w:val="single" w:sz="4" w:space="0" w:color="auto"/>
              <w:right w:val="single" w:sz="4" w:space="0" w:color="auto"/>
            </w:tcBorders>
            <w:shd w:val="clear" w:color="auto" w:fill="auto"/>
          </w:tcPr>
          <w:p w:rsidR="00685665" w:rsidRPr="00834EE1" w:rsidRDefault="00685665" w:rsidP="00CE66F4">
            <w:pPr>
              <w:jc w:val="center"/>
            </w:pPr>
            <w:r w:rsidRPr="00834EE1">
              <w:t>-3.2</w:t>
            </w:r>
          </w:p>
        </w:tc>
        <w:tc>
          <w:tcPr>
            <w:tcW w:w="3686" w:type="dxa"/>
            <w:tcBorders>
              <w:left w:val="single" w:sz="4" w:space="0" w:color="auto"/>
            </w:tcBorders>
            <w:shd w:val="clear" w:color="auto" w:fill="auto"/>
          </w:tcPr>
          <w:p w:rsidR="00685665" w:rsidRPr="00834EE1" w:rsidRDefault="00685665" w:rsidP="00CE66F4">
            <w:pPr>
              <w:jc w:val="center"/>
            </w:pPr>
            <w:r w:rsidRPr="00834EE1">
              <w:rPr>
                <w:b/>
              </w:rPr>
              <w:t>K</w:t>
            </w:r>
            <w:r w:rsidRPr="00834EE1">
              <w:rPr>
                <w:b/>
                <w:vertAlign w:val="superscript"/>
              </w:rPr>
              <w:t>+</w:t>
            </w:r>
            <w:r w:rsidRPr="00834EE1">
              <w:rPr>
                <w:b/>
              </w:rPr>
              <w:t>44</w:t>
            </w:r>
            <w:r w:rsidRPr="00834EE1">
              <w:t xml:space="preserve">, </w:t>
            </w:r>
            <w:r w:rsidRPr="00834EE1">
              <w:rPr>
                <w:b/>
              </w:rPr>
              <w:t>S45</w:t>
            </w:r>
            <w:r w:rsidRPr="00834EE1">
              <w:t>(OH</w:t>
            </w:r>
            <w:r w:rsidRPr="00834EE1">
              <w:rPr>
                <w:vertAlign w:val="superscript"/>
              </w:rPr>
              <w:t xml:space="preserve"> σ+</w:t>
            </w:r>
            <w:r w:rsidRPr="00834EE1">
              <w:t xml:space="preserve">), </w:t>
            </w:r>
            <w:r w:rsidRPr="00834EE1">
              <w:rPr>
                <w:b/>
              </w:rPr>
              <w:t>S45</w:t>
            </w:r>
            <w:r w:rsidRPr="00834EE1">
              <w:t>(</w:t>
            </w:r>
            <w:proofErr w:type="spellStart"/>
            <w:r w:rsidRPr="00834EE1">
              <w:t>NH</w:t>
            </w:r>
            <w:r w:rsidRPr="00834EE1">
              <w:rPr>
                <w:vertAlign w:val="subscript"/>
              </w:rPr>
              <w:t>pb</w:t>
            </w:r>
            <w:r w:rsidRPr="00834EE1">
              <w:rPr>
                <w:vertAlign w:val="superscript"/>
              </w:rPr>
              <w:t>σ</w:t>
            </w:r>
            <w:proofErr w:type="spellEnd"/>
            <w:r w:rsidRPr="00834EE1">
              <w:rPr>
                <w:vertAlign w:val="superscript"/>
              </w:rPr>
              <w:t>+</w:t>
            </w:r>
            <w:r w:rsidRPr="00834EE1">
              <w:t>)</w:t>
            </w:r>
          </w:p>
        </w:tc>
        <w:tc>
          <w:tcPr>
            <w:tcW w:w="465" w:type="dxa"/>
            <w:tcBorders>
              <w:right w:val="single" w:sz="4" w:space="0" w:color="auto"/>
            </w:tcBorders>
            <w:shd w:val="clear" w:color="auto" w:fill="auto"/>
          </w:tcPr>
          <w:p w:rsidR="00685665" w:rsidRPr="00E40B15" w:rsidRDefault="00E40B15" w:rsidP="00CE66F4">
            <w:pPr>
              <w:jc w:val="center"/>
              <w:rPr>
                <w:sz w:val="16"/>
                <w:szCs w:val="16"/>
              </w:rPr>
            </w:pPr>
            <w:r w:rsidRPr="00E40B15">
              <w:rPr>
                <w:sz w:val="16"/>
                <w:szCs w:val="16"/>
              </w:rPr>
              <w:t>NA</w:t>
            </w:r>
          </w:p>
        </w:tc>
        <w:tc>
          <w:tcPr>
            <w:tcW w:w="669" w:type="dxa"/>
            <w:tcBorders>
              <w:left w:val="single" w:sz="4" w:space="0" w:color="auto"/>
              <w:right w:val="single" w:sz="4" w:space="0" w:color="auto"/>
            </w:tcBorders>
            <w:shd w:val="clear" w:color="auto" w:fill="auto"/>
          </w:tcPr>
          <w:p w:rsidR="00685665" w:rsidRPr="00834EE1" w:rsidRDefault="00E40B15" w:rsidP="00CE66F4">
            <w:pPr>
              <w:jc w:val="center"/>
            </w:pPr>
            <w:r>
              <w:t>NA</w:t>
            </w:r>
          </w:p>
        </w:tc>
        <w:tc>
          <w:tcPr>
            <w:tcW w:w="4252" w:type="dxa"/>
            <w:tcBorders>
              <w:left w:val="single" w:sz="4" w:space="0" w:color="auto"/>
            </w:tcBorders>
            <w:shd w:val="clear" w:color="auto" w:fill="auto"/>
          </w:tcPr>
          <w:p w:rsidR="00685665" w:rsidRPr="00834EE1" w:rsidRDefault="00685665" w:rsidP="00CE66F4">
            <w:pPr>
              <w:jc w:val="center"/>
              <w:rPr>
                <w:b/>
              </w:rPr>
            </w:pPr>
            <w:r w:rsidRPr="00834EE1">
              <w:rPr>
                <w:b/>
              </w:rPr>
              <w:t>no match</w:t>
            </w:r>
          </w:p>
        </w:tc>
      </w:tr>
      <w:tr w:rsidR="00FE503C" w:rsidRPr="00834EE1" w:rsidTr="00CE66F4">
        <w:tc>
          <w:tcPr>
            <w:tcW w:w="442" w:type="dxa"/>
            <w:tcBorders>
              <w:right w:val="single" w:sz="4" w:space="0" w:color="auto"/>
            </w:tcBorders>
            <w:shd w:val="clear" w:color="auto" w:fill="auto"/>
          </w:tcPr>
          <w:p w:rsidR="00FE503C" w:rsidRPr="00834EE1" w:rsidRDefault="00FE503C" w:rsidP="00CE66F4">
            <w:pPr>
              <w:jc w:val="center"/>
            </w:pPr>
            <w:r w:rsidRPr="00834EE1">
              <w:t>5</w:t>
            </w:r>
          </w:p>
        </w:tc>
        <w:tc>
          <w:tcPr>
            <w:tcW w:w="800" w:type="dxa"/>
            <w:tcBorders>
              <w:left w:val="single" w:sz="4" w:space="0" w:color="auto"/>
              <w:right w:val="single" w:sz="4" w:space="0" w:color="auto"/>
            </w:tcBorders>
            <w:shd w:val="clear" w:color="auto" w:fill="auto"/>
          </w:tcPr>
          <w:p w:rsidR="00FE503C" w:rsidRPr="00834EE1" w:rsidRDefault="007F6963" w:rsidP="00CE66F4">
            <w:pPr>
              <w:jc w:val="center"/>
            </w:pPr>
            <w:r w:rsidRPr="00834EE1">
              <w:t>‒2.3</w:t>
            </w:r>
          </w:p>
        </w:tc>
        <w:tc>
          <w:tcPr>
            <w:tcW w:w="4111" w:type="dxa"/>
            <w:tcBorders>
              <w:left w:val="single" w:sz="4" w:space="0" w:color="auto"/>
            </w:tcBorders>
            <w:shd w:val="clear" w:color="auto" w:fill="auto"/>
          </w:tcPr>
          <w:p w:rsidR="00FE503C" w:rsidRPr="00834EE1" w:rsidRDefault="007F6963" w:rsidP="00CE66F4">
            <w:pPr>
              <w:jc w:val="center"/>
            </w:pPr>
            <w:r w:rsidRPr="00834EE1">
              <w:rPr>
                <w:b/>
              </w:rPr>
              <w:t>K</w:t>
            </w:r>
            <w:r w:rsidRPr="00834EE1">
              <w:rPr>
                <w:b/>
                <w:vertAlign w:val="superscript"/>
              </w:rPr>
              <w:t>+</w:t>
            </w:r>
            <w:r w:rsidRPr="00834EE1">
              <w:rPr>
                <w:b/>
              </w:rPr>
              <w:t>5</w:t>
            </w:r>
            <w:r w:rsidRPr="00834EE1">
              <w:t xml:space="preserve">, </w:t>
            </w:r>
            <w:r w:rsidRPr="00834EE1">
              <w:rPr>
                <w:b/>
              </w:rPr>
              <w:t>K</w:t>
            </w:r>
            <w:r w:rsidRPr="00834EE1">
              <w:rPr>
                <w:b/>
                <w:vertAlign w:val="superscript"/>
              </w:rPr>
              <w:t>+</w:t>
            </w:r>
            <w:r w:rsidRPr="00834EE1">
              <w:rPr>
                <w:b/>
              </w:rPr>
              <w:t>18</w:t>
            </w:r>
            <w:r w:rsidRPr="00834EE1">
              <w:t xml:space="preserve">, </w:t>
            </w:r>
            <w:r w:rsidRPr="00834EE1">
              <w:rPr>
                <w:b/>
              </w:rPr>
              <w:t>Y22</w:t>
            </w:r>
            <w:r w:rsidRPr="00834EE1">
              <w:t>(OH</w:t>
            </w:r>
            <w:r w:rsidRPr="00834EE1">
              <w:rPr>
                <w:vertAlign w:val="superscript"/>
              </w:rPr>
              <w:t xml:space="preserve"> σ+</w:t>
            </w:r>
            <w:r w:rsidRPr="00834EE1">
              <w:t>)</w:t>
            </w:r>
          </w:p>
        </w:tc>
        <w:tc>
          <w:tcPr>
            <w:tcW w:w="425" w:type="dxa"/>
            <w:tcBorders>
              <w:right w:val="single" w:sz="4" w:space="0" w:color="auto"/>
            </w:tcBorders>
            <w:shd w:val="clear" w:color="auto" w:fill="auto"/>
          </w:tcPr>
          <w:p w:rsidR="00FE503C" w:rsidRPr="00834EE1" w:rsidRDefault="00685665" w:rsidP="00CE66F4">
            <w:pPr>
              <w:jc w:val="center"/>
            </w:pPr>
            <w:r w:rsidRPr="00834EE1">
              <w:t>9</w:t>
            </w:r>
          </w:p>
        </w:tc>
        <w:tc>
          <w:tcPr>
            <w:tcW w:w="709" w:type="dxa"/>
            <w:tcBorders>
              <w:left w:val="single" w:sz="4" w:space="0" w:color="auto"/>
              <w:right w:val="single" w:sz="4" w:space="0" w:color="auto"/>
            </w:tcBorders>
            <w:shd w:val="clear" w:color="auto" w:fill="auto"/>
          </w:tcPr>
          <w:p w:rsidR="00FE503C" w:rsidRPr="00834EE1" w:rsidRDefault="00685665" w:rsidP="00CE66F4">
            <w:pPr>
              <w:jc w:val="center"/>
            </w:pPr>
            <w:r w:rsidRPr="00834EE1">
              <w:t>-2.8</w:t>
            </w:r>
          </w:p>
        </w:tc>
        <w:tc>
          <w:tcPr>
            <w:tcW w:w="3686" w:type="dxa"/>
            <w:tcBorders>
              <w:left w:val="single" w:sz="4" w:space="0" w:color="auto"/>
            </w:tcBorders>
            <w:shd w:val="clear" w:color="auto" w:fill="auto"/>
          </w:tcPr>
          <w:p w:rsidR="00FE503C" w:rsidRPr="00834EE1" w:rsidRDefault="0015078B" w:rsidP="00CE66F4">
            <w:pPr>
              <w:jc w:val="center"/>
            </w:pPr>
            <w:r w:rsidRPr="00834EE1">
              <w:rPr>
                <w:b/>
              </w:rPr>
              <w:t>K</w:t>
            </w:r>
            <w:r w:rsidRPr="00834EE1">
              <w:rPr>
                <w:b/>
                <w:vertAlign w:val="superscript"/>
              </w:rPr>
              <w:t>+</w:t>
            </w:r>
            <w:r w:rsidRPr="00834EE1">
              <w:rPr>
                <w:b/>
              </w:rPr>
              <w:t>5</w:t>
            </w:r>
            <w:r w:rsidRPr="00834EE1">
              <w:t xml:space="preserve">, </w:t>
            </w:r>
            <w:r w:rsidR="00685665" w:rsidRPr="00834EE1">
              <w:rPr>
                <w:b/>
              </w:rPr>
              <w:t>K</w:t>
            </w:r>
            <w:r w:rsidR="00685665" w:rsidRPr="00834EE1">
              <w:rPr>
                <w:b/>
                <w:vertAlign w:val="superscript"/>
              </w:rPr>
              <w:t>+</w:t>
            </w:r>
            <w:r w:rsidR="00685665" w:rsidRPr="00834EE1">
              <w:rPr>
                <w:b/>
              </w:rPr>
              <w:t>18</w:t>
            </w:r>
            <w:r w:rsidR="00685665" w:rsidRPr="00834EE1">
              <w:t xml:space="preserve">, </w:t>
            </w:r>
            <w:r w:rsidR="00685665" w:rsidRPr="00834EE1">
              <w:rPr>
                <w:b/>
              </w:rPr>
              <w:t>Y22</w:t>
            </w:r>
            <w:r w:rsidR="00685665" w:rsidRPr="00834EE1">
              <w:t>(OH</w:t>
            </w:r>
            <w:r w:rsidR="00685665" w:rsidRPr="00834EE1">
              <w:rPr>
                <w:vertAlign w:val="superscript"/>
              </w:rPr>
              <w:t xml:space="preserve"> σ+</w:t>
            </w:r>
            <w:r w:rsidR="00685665" w:rsidRPr="00834EE1">
              <w:t>)</w:t>
            </w:r>
          </w:p>
        </w:tc>
        <w:tc>
          <w:tcPr>
            <w:tcW w:w="465" w:type="dxa"/>
            <w:tcBorders>
              <w:right w:val="single" w:sz="4" w:space="0" w:color="auto"/>
            </w:tcBorders>
            <w:shd w:val="clear" w:color="auto" w:fill="auto"/>
          </w:tcPr>
          <w:p w:rsidR="00FE503C" w:rsidRPr="00834EE1" w:rsidRDefault="006C471B" w:rsidP="00CE66F4">
            <w:pPr>
              <w:jc w:val="center"/>
            </w:pPr>
            <w:r w:rsidRPr="00834EE1">
              <w:t>6</w:t>
            </w:r>
          </w:p>
        </w:tc>
        <w:tc>
          <w:tcPr>
            <w:tcW w:w="669" w:type="dxa"/>
            <w:tcBorders>
              <w:left w:val="single" w:sz="4" w:space="0" w:color="auto"/>
              <w:right w:val="single" w:sz="4" w:space="0" w:color="auto"/>
            </w:tcBorders>
            <w:shd w:val="clear" w:color="auto" w:fill="auto"/>
          </w:tcPr>
          <w:p w:rsidR="00FE503C" w:rsidRPr="00834EE1" w:rsidRDefault="006C471B" w:rsidP="00CE66F4">
            <w:pPr>
              <w:jc w:val="center"/>
            </w:pPr>
            <w:r w:rsidRPr="00834EE1">
              <w:t>-3.6</w:t>
            </w:r>
          </w:p>
        </w:tc>
        <w:tc>
          <w:tcPr>
            <w:tcW w:w="4252" w:type="dxa"/>
            <w:tcBorders>
              <w:left w:val="single" w:sz="4" w:space="0" w:color="auto"/>
            </w:tcBorders>
            <w:shd w:val="clear" w:color="auto" w:fill="auto"/>
          </w:tcPr>
          <w:p w:rsidR="00FE503C" w:rsidRPr="00834EE1" w:rsidRDefault="006C471B" w:rsidP="00CE66F4">
            <w:pPr>
              <w:jc w:val="center"/>
            </w:pPr>
            <w:r w:rsidRPr="00834EE1">
              <w:rPr>
                <w:b/>
              </w:rPr>
              <w:t>K</w:t>
            </w:r>
            <w:r w:rsidRPr="00834EE1">
              <w:rPr>
                <w:b/>
                <w:vertAlign w:val="superscript"/>
              </w:rPr>
              <w:t>+</w:t>
            </w:r>
            <w:r w:rsidRPr="00834EE1">
              <w:rPr>
                <w:b/>
              </w:rPr>
              <w:t>5</w:t>
            </w:r>
            <w:r w:rsidRPr="00834EE1">
              <w:t xml:space="preserve">, </w:t>
            </w:r>
            <w:r w:rsidRPr="00834EE1">
              <w:rPr>
                <w:b/>
              </w:rPr>
              <w:t>K</w:t>
            </w:r>
            <w:r w:rsidRPr="00834EE1">
              <w:rPr>
                <w:b/>
                <w:vertAlign w:val="superscript"/>
              </w:rPr>
              <w:t>+</w:t>
            </w:r>
            <w:r w:rsidRPr="00834EE1">
              <w:rPr>
                <w:b/>
              </w:rPr>
              <w:t>18</w:t>
            </w:r>
            <w:r w:rsidRPr="00834EE1">
              <w:t xml:space="preserve">, </w:t>
            </w:r>
            <w:r w:rsidRPr="00834EE1">
              <w:rPr>
                <w:b/>
              </w:rPr>
              <w:t>Y22</w:t>
            </w:r>
            <w:r w:rsidRPr="00834EE1">
              <w:t>(OH</w:t>
            </w:r>
            <w:r w:rsidRPr="00834EE1">
              <w:rPr>
                <w:vertAlign w:val="superscript"/>
              </w:rPr>
              <w:t xml:space="preserve"> σ+</w:t>
            </w:r>
            <w:r w:rsidRPr="00834EE1">
              <w:t>)</w:t>
            </w:r>
          </w:p>
        </w:tc>
      </w:tr>
      <w:tr w:rsidR="006C471B" w:rsidRPr="00834EE1" w:rsidTr="00CE66F4">
        <w:tc>
          <w:tcPr>
            <w:tcW w:w="442" w:type="dxa"/>
            <w:tcBorders>
              <w:right w:val="single" w:sz="4" w:space="0" w:color="auto"/>
            </w:tcBorders>
            <w:shd w:val="clear" w:color="auto" w:fill="auto"/>
          </w:tcPr>
          <w:p w:rsidR="006C471B" w:rsidRPr="00834EE1" w:rsidRDefault="006C471B" w:rsidP="00CE66F4">
            <w:pPr>
              <w:jc w:val="center"/>
            </w:pPr>
            <w:r w:rsidRPr="00834EE1">
              <w:t>6</w:t>
            </w:r>
          </w:p>
        </w:tc>
        <w:tc>
          <w:tcPr>
            <w:tcW w:w="800" w:type="dxa"/>
            <w:tcBorders>
              <w:left w:val="single" w:sz="4" w:space="0" w:color="auto"/>
              <w:right w:val="single" w:sz="4" w:space="0" w:color="auto"/>
            </w:tcBorders>
            <w:shd w:val="clear" w:color="auto" w:fill="auto"/>
          </w:tcPr>
          <w:p w:rsidR="006C471B" w:rsidRPr="00834EE1" w:rsidRDefault="006C471B" w:rsidP="00CE66F4">
            <w:pPr>
              <w:jc w:val="center"/>
            </w:pPr>
            <w:r w:rsidRPr="00834EE1">
              <w:t>‒2.3</w:t>
            </w:r>
          </w:p>
        </w:tc>
        <w:tc>
          <w:tcPr>
            <w:tcW w:w="4111" w:type="dxa"/>
            <w:tcBorders>
              <w:left w:val="single" w:sz="4" w:space="0" w:color="auto"/>
            </w:tcBorders>
            <w:shd w:val="clear" w:color="auto" w:fill="auto"/>
          </w:tcPr>
          <w:p w:rsidR="006C471B" w:rsidRPr="00834EE1" w:rsidRDefault="006C471B" w:rsidP="00CE66F4">
            <w:pPr>
              <w:jc w:val="center"/>
            </w:pPr>
            <w:r w:rsidRPr="00834EE1">
              <w:rPr>
                <w:b/>
              </w:rPr>
              <w:t>K</w:t>
            </w:r>
            <w:r w:rsidRPr="00834EE1">
              <w:rPr>
                <w:b/>
                <w:vertAlign w:val="superscript"/>
              </w:rPr>
              <w:t>+</w:t>
            </w:r>
            <w:r w:rsidRPr="00834EE1">
              <w:rPr>
                <w:b/>
              </w:rPr>
              <w:t>18</w:t>
            </w:r>
            <w:r w:rsidRPr="00834EE1">
              <w:t xml:space="preserve">, </w:t>
            </w:r>
            <w:r w:rsidRPr="00834EE1">
              <w:rPr>
                <w:b/>
              </w:rPr>
              <w:t>Y22</w:t>
            </w:r>
            <w:r w:rsidRPr="00834EE1">
              <w:t>(OH</w:t>
            </w:r>
            <w:r w:rsidRPr="00834EE1">
              <w:rPr>
                <w:vertAlign w:val="superscript"/>
              </w:rPr>
              <w:t xml:space="preserve"> σ+</w:t>
            </w:r>
            <w:r w:rsidRPr="00834EE1">
              <w:t xml:space="preserve">), </w:t>
            </w:r>
            <w:r w:rsidRPr="00834EE1">
              <w:rPr>
                <w:b/>
              </w:rPr>
              <w:t>K</w:t>
            </w:r>
            <w:r w:rsidRPr="00834EE1">
              <w:rPr>
                <w:b/>
                <w:vertAlign w:val="superscript"/>
              </w:rPr>
              <w:t>+</w:t>
            </w:r>
            <w:r w:rsidRPr="00834EE1">
              <w:rPr>
                <w:b/>
              </w:rPr>
              <w:t>35</w:t>
            </w:r>
          </w:p>
        </w:tc>
        <w:tc>
          <w:tcPr>
            <w:tcW w:w="425" w:type="dxa"/>
            <w:tcBorders>
              <w:right w:val="single" w:sz="4" w:space="0" w:color="auto"/>
            </w:tcBorders>
            <w:shd w:val="clear" w:color="auto" w:fill="auto"/>
          </w:tcPr>
          <w:p w:rsidR="006C471B" w:rsidRPr="00834EE1" w:rsidRDefault="006C471B" w:rsidP="00CE66F4">
            <w:pPr>
              <w:jc w:val="center"/>
            </w:pPr>
            <w:r w:rsidRPr="00834EE1">
              <w:t>9</w:t>
            </w:r>
          </w:p>
        </w:tc>
        <w:tc>
          <w:tcPr>
            <w:tcW w:w="709" w:type="dxa"/>
            <w:tcBorders>
              <w:left w:val="single" w:sz="4" w:space="0" w:color="auto"/>
              <w:right w:val="single" w:sz="4" w:space="0" w:color="auto"/>
            </w:tcBorders>
            <w:shd w:val="clear" w:color="auto" w:fill="auto"/>
          </w:tcPr>
          <w:p w:rsidR="006C471B" w:rsidRPr="00834EE1" w:rsidRDefault="006C471B" w:rsidP="00CE66F4">
            <w:pPr>
              <w:jc w:val="center"/>
            </w:pPr>
            <w:r w:rsidRPr="00834EE1">
              <w:t>-2.8</w:t>
            </w:r>
          </w:p>
        </w:tc>
        <w:tc>
          <w:tcPr>
            <w:tcW w:w="3686" w:type="dxa"/>
            <w:tcBorders>
              <w:left w:val="single" w:sz="4" w:space="0" w:color="auto"/>
            </w:tcBorders>
            <w:shd w:val="clear" w:color="auto" w:fill="auto"/>
          </w:tcPr>
          <w:p w:rsidR="006C471B" w:rsidRPr="00834EE1" w:rsidRDefault="006C471B" w:rsidP="00CE66F4">
            <w:pPr>
              <w:jc w:val="center"/>
            </w:pPr>
            <w:r w:rsidRPr="00834EE1">
              <w:rPr>
                <w:b/>
              </w:rPr>
              <w:t>K</w:t>
            </w:r>
            <w:r w:rsidRPr="00834EE1">
              <w:rPr>
                <w:b/>
                <w:vertAlign w:val="superscript"/>
              </w:rPr>
              <w:t>+</w:t>
            </w:r>
            <w:r w:rsidRPr="00834EE1">
              <w:rPr>
                <w:b/>
              </w:rPr>
              <w:t>18</w:t>
            </w:r>
            <w:r w:rsidRPr="00834EE1">
              <w:t xml:space="preserve">, </w:t>
            </w:r>
            <w:r w:rsidRPr="00834EE1">
              <w:rPr>
                <w:b/>
              </w:rPr>
              <w:t>Y22</w:t>
            </w:r>
            <w:r w:rsidRPr="00834EE1">
              <w:t>(OH</w:t>
            </w:r>
            <w:r w:rsidRPr="00834EE1">
              <w:rPr>
                <w:vertAlign w:val="superscript"/>
              </w:rPr>
              <w:t xml:space="preserve"> σ+</w:t>
            </w:r>
            <w:r w:rsidRPr="00834EE1">
              <w:t xml:space="preserve">), </w:t>
            </w:r>
            <w:r w:rsidRPr="00834EE1">
              <w:rPr>
                <w:b/>
              </w:rPr>
              <w:t>K</w:t>
            </w:r>
            <w:r w:rsidRPr="00834EE1">
              <w:rPr>
                <w:b/>
                <w:vertAlign w:val="superscript"/>
              </w:rPr>
              <w:t>+</w:t>
            </w:r>
            <w:r w:rsidRPr="00834EE1">
              <w:rPr>
                <w:b/>
              </w:rPr>
              <w:t>35</w:t>
            </w:r>
          </w:p>
        </w:tc>
        <w:tc>
          <w:tcPr>
            <w:tcW w:w="465" w:type="dxa"/>
            <w:tcBorders>
              <w:right w:val="single" w:sz="4" w:space="0" w:color="auto"/>
            </w:tcBorders>
            <w:shd w:val="clear" w:color="auto" w:fill="auto"/>
          </w:tcPr>
          <w:p w:rsidR="006C471B" w:rsidRPr="00834EE1" w:rsidRDefault="006C471B" w:rsidP="00CE66F4">
            <w:pPr>
              <w:jc w:val="center"/>
            </w:pPr>
            <w:r w:rsidRPr="00834EE1">
              <w:t>6</w:t>
            </w:r>
          </w:p>
        </w:tc>
        <w:tc>
          <w:tcPr>
            <w:tcW w:w="669" w:type="dxa"/>
            <w:tcBorders>
              <w:left w:val="single" w:sz="4" w:space="0" w:color="auto"/>
              <w:right w:val="single" w:sz="4" w:space="0" w:color="auto"/>
            </w:tcBorders>
            <w:shd w:val="clear" w:color="auto" w:fill="auto"/>
          </w:tcPr>
          <w:p w:rsidR="006C471B" w:rsidRPr="00834EE1" w:rsidRDefault="006C471B" w:rsidP="00CE66F4">
            <w:pPr>
              <w:jc w:val="center"/>
            </w:pPr>
            <w:r w:rsidRPr="00834EE1">
              <w:t>-3.6</w:t>
            </w:r>
          </w:p>
        </w:tc>
        <w:tc>
          <w:tcPr>
            <w:tcW w:w="4252" w:type="dxa"/>
            <w:tcBorders>
              <w:left w:val="single" w:sz="4" w:space="0" w:color="auto"/>
            </w:tcBorders>
            <w:shd w:val="clear" w:color="auto" w:fill="auto"/>
          </w:tcPr>
          <w:p w:rsidR="006C471B" w:rsidRPr="00834EE1" w:rsidRDefault="006C471B" w:rsidP="00CE66F4">
            <w:pPr>
              <w:jc w:val="center"/>
            </w:pPr>
            <w:r w:rsidRPr="00834EE1">
              <w:rPr>
                <w:b/>
              </w:rPr>
              <w:t>K</w:t>
            </w:r>
            <w:r w:rsidRPr="00834EE1">
              <w:rPr>
                <w:b/>
                <w:vertAlign w:val="superscript"/>
              </w:rPr>
              <w:t>+</w:t>
            </w:r>
            <w:r w:rsidRPr="00834EE1">
              <w:rPr>
                <w:b/>
              </w:rPr>
              <w:t>18</w:t>
            </w:r>
            <w:r w:rsidRPr="00834EE1">
              <w:t xml:space="preserve">, </w:t>
            </w:r>
            <w:r w:rsidRPr="00834EE1">
              <w:rPr>
                <w:b/>
              </w:rPr>
              <w:t>Y22</w:t>
            </w:r>
            <w:r w:rsidRPr="00834EE1">
              <w:t>(OH</w:t>
            </w:r>
            <w:r w:rsidRPr="00834EE1">
              <w:rPr>
                <w:vertAlign w:val="superscript"/>
              </w:rPr>
              <w:t xml:space="preserve"> σ+</w:t>
            </w:r>
            <w:r w:rsidRPr="00834EE1">
              <w:t xml:space="preserve">), </w:t>
            </w:r>
            <w:r w:rsidRPr="00834EE1">
              <w:rPr>
                <w:b/>
              </w:rPr>
              <w:t>K</w:t>
            </w:r>
            <w:r w:rsidRPr="00834EE1">
              <w:rPr>
                <w:b/>
                <w:vertAlign w:val="superscript"/>
              </w:rPr>
              <w:t>+</w:t>
            </w:r>
            <w:r w:rsidRPr="00834EE1">
              <w:rPr>
                <w:b/>
              </w:rPr>
              <w:t>35</w:t>
            </w:r>
          </w:p>
        </w:tc>
      </w:tr>
      <w:tr w:rsidR="00685665" w:rsidRPr="00834EE1" w:rsidTr="00CE66F4">
        <w:tc>
          <w:tcPr>
            <w:tcW w:w="442" w:type="dxa"/>
            <w:tcBorders>
              <w:right w:val="single" w:sz="4" w:space="0" w:color="auto"/>
            </w:tcBorders>
            <w:shd w:val="clear" w:color="auto" w:fill="auto"/>
          </w:tcPr>
          <w:p w:rsidR="00685665" w:rsidRPr="00834EE1" w:rsidRDefault="00685665" w:rsidP="00CE66F4">
            <w:pPr>
              <w:jc w:val="center"/>
            </w:pPr>
            <w:r w:rsidRPr="00834EE1">
              <w:t>7</w:t>
            </w:r>
          </w:p>
        </w:tc>
        <w:tc>
          <w:tcPr>
            <w:tcW w:w="800" w:type="dxa"/>
            <w:tcBorders>
              <w:left w:val="single" w:sz="4" w:space="0" w:color="auto"/>
              <w:right w:val="single" w:sz="4" w:space="0" w:color="auto"/>
            </w:tcBorders>
            <w:shd w:val="clear" w:color="auto" w:fill="auto"/>
          </w:tcPr>
          <w:p w:rsidR="00685665" w:rsidRPr="00834EE1" w:rsidRDefault="00685665" w:rsidP="00CE66F4">
            <w:pPr>
              <w:jc w:val="center"/>
            </w:pPr>
            <w:r w:rsidRPr="00834EE1">
              <w:t>‒2.3</w:t>
            </w:r>
          </w:p>
        </w:tc>
        <w:tc>
          <w:tcPr>
            <w:tcW w:w="4111" w:type="dxa"/>
            <w:tcBorders>
              <w:left w:val="single" w:sz="4" w:space="0" w:color="auto"/>
            </w:tcBorders>
            <w:shd w:val="clear" w:color="auto" w:fill="auto"/>
          </w:tcPr>
          <w:p w:rsidR="00685665" w:rsidRPr="00834EE1" w:rsidRDefault="00685665" w:rsidP="00CE66F4">
            <w:pPr>
              <w:jc w:val="center"/>
            </w:pPr>
            <w:r w:rsidRPr="00834EE1">
              <w:rPr>
                <w:b/>
              </w:rPr>
              <w:t>K</w:t>
            </w:r>
            <w:r w:rsidRPr="00834EE1">
              <w:rPr>
                <w:b/>
                <w:vertAlign w:val="superscript"/>
              </w:rPr>
              <w:t>+</w:t>
            </w:r>
            <w:r w:rsidRPr="00834EE1">
              <w:rPr>
                <w:b/>
              </w:rPr>
              <w:t>44</w:t>
            </w:r>
            <w:r w:rsidRPr="00834EE1">
              <w:t xml:space="preserve">, </w:t>
            </w:r>
            <w:r w:rsidRPr="00834EE1">
              <w:rPr>
                <w:b/>
              </w:rPr>
              <w:t>S45</w:t>
            </w:r>
            <w:r w:rsidRPr="00834EE1">
              <w:t>(OH</w:t>
            </w:r>
            <w:r w:rsidRPr="00834EE1">
              <w:rPr>
                <w:vertAlign w:val="superscript"/>
              </w:rPr>
              <w:t xml:space="preserve"> σ+</w:t>
            </w:r>
            <w:r w:rsidRPr="00834EE1">
              <w:t xml:space="preserve">), </w:t>
            </w:r>
            <w:r w:rsidRPr="00834EE1">
              <w:rPr>
                <w:b/>
              </w:rPr>
              <w:t>S45</w:t>
            </w:r>
            <w:r w:rsidRPr="00834EE1">
              <w:t>(</w:t>
            </w:r>
            <w:proofErr w:type="spellStart"/>
            <w:r w:rsidRPr="00834EE1">
              <w:t>NH</w:t>
            </w:r>
            <w:r w:rsidRPr="00834EE1">
              <w:rPr>
                <w:vertAlign w:val="subscript"/>
              </w:rPr>
              <w:t>pb</w:t>
            </w:r>
            <w:r w:rsidRPr="00834EE1">
              <w:rPr>
                <w:vertAlign w:val="superscript"/>
              </w:rPr>
              <w:t>σ</w:t>
            </w:r>
            <w:proofErr w:type="spellEnd"/>
            <w:r w:rsidRPr="00834EE1">
              <w:rPr>
                <w:vertAlign w:val="superscript"/>
              </w:rPr>
              <w:t>+</w:t>
            </w:r>
            <w:r w:rsidRPr="00834EE1">
              <w:t>)</w:t>
            </w:r>
          </w:p>
        </w:tc>
        <w:tc>
          <w:tcPr>
            <w:tcW w:w="425" w:type="dxa"/>
            <w:tcBorders>
              <w:right w:val="single" w:sz="4" w:space="0" w:color="auto"/>
            </w:tcBorders>
            <w:shd w:val="clear" w:color="auto" w:fill="auto"/>
          </w:tcPr>
          <w:p w:rsidR="00685665" w:rsidRPr="00834EE1" w:rsidRDefault="00685665" w:rsidP="00CE66F4">
            <w:pPr>
              <w:jc w:val="center"/>
            </w:pPr>
            <w:r w:rsidRPr="00834EE1">
              <w:t>3</w:t>
            </w:r>
          </w:p>
        </w:tc>
        <w:tc>
          <w:tcPr>
            <w:tcW w:w="709" w:type="dxa"/>
            <w:tcBorders>
              <w:left w:val="single" w:sz="4" w:space="0" w:color="auto"/>
              <w:right w:val="single" w:sz="4" w:space="0" w:color="auto"/>
            </w:tcBorders>
            <w:shd w:val="clear" w:color="auto" w:fill="auto"/>
          </w:tcPr>
          <w:p w:rsidR="00685665" w:rsidRPr="00834EE1" w:rsidRDefault="00685665" w:rsidP="00CE66F4">
            <w:pPr>
              <w:jc w:val="center"/>
            </w:pPr>
            <w:r w:rsidRPr="00834EE1">
              <w:t>-3.2</w:t>
            </w:r>
          </w:p>
        </w:tc>
        <w:tc>
          <w:tcPr>
            <w:tcW w:w="3686" w:type="dxa"/>
            <w:tcBorders>
              <w:left w:val="single" w:sz="4" w:space="0" w:color="auto"/>
            </w:tcBorders>
            <w:shd w:val="clear" w:color="auto" w:fill="auto"/>
          </w:tcPr>
          <w:p w:rsidR="00685665" w:rsidRPr="00834EE1" w:rsidRDefault="00685665" w:rsidP="00CE66F4">
            <w:pPr>
              <w:jc w:val="center"/>
            </w:pPr>
            <w:r w:rsidRPr="00834EE1">
              <w:rPr>
                <w:b/>
              </w:rPr>
              <w:t>K</w:t>
            </w:r>
            <w:r w:rsidRPr="00834EE1">
              <w:rPr>
                <w:b/>
                <w:vertAlign w:val="superscript"/>
              </w:rPr>
              <w:t>+</w:t>
            </w:r>
            <w:r w:rsidRPr="00834EE1">
              <w:rPr>
                <w:b/>
              </w:rPr>
              <w:t>44</w:t>
            </w:r>
            <w:r w:rsidRPr="00834EE1">
              <w:t xml:space="preserve">, </w:t>
            </w:r>
            <w:r w:rsidRPr="00834EE1">
              <w:rPr>
                <w:b/>
              </w:rPr>
              <w:t>S45</w:t>
            </w:r>
            <w:r w:rsidRPr="00834EE1">
              <w:t>(OH</w:t>
            </w:r>
            <w:r w:rsidRPr="00834EE1">
              <w:rPr>
                <w:vertAlign w:val="superscript"/>
              </w:rPr>
              <w:t xml:space="preserve"> σ+</w:t>
            </w:r>
            <w:r w:rsidRPr="00834EE1">
              <w:t xml:space="preserve">), </w:t>
            </w:r>
            <w:r w:rsidRPr="00834EE1">
              <w:rPr>
                <w:b/>
              </w:rPr>
              <w:t>S45</w:t>
            </w:r>
            <w:r w:rsidRPr="00834EE1">
              <w:t>(</w:t>
            </w:r>
            <w:proofErr w:type="spellStart"/>
            <w:r w:rsidRPr="00834EE1">
              <w:t>NH</w:t>
            </w:r>
            <w:r w:rsidRPr="00834EE1">
              <w:rPr>
                <w:vertAlign w:val="subscript"/>
              </w:rPr>
              <w:t>pb</w:t>
            </w:r>
            <w:r w:rsidRPr="00834EE1">
              <w:rPr>
                <w:vertAlign w:val="superscript"/>
              </w:rPr>
              <w:t>σ</w:t>
            </w:r>
            <w:proofErr w:type="spellEnd"/>
            <w:r w:rsidRPr="00834EE1">
              <w:rPr>
                <w:vertAlign w:val="superscript"/>
              </w:rPr>
              <w:t>+</w:t>
            </w:r>
            <w:r w:rsidRPr="00834EE1">
              <w:t>)</w:t>
            </w:r>
          </w:p>
        </w:tc>
        <w:tc>
          <w:tcPr>
            <w:tcW w:w="465" w:type="dxa"/>
            <w:tcBorders>
              <w:right w:val="single" w:sz="4" w:space="0" w:color="auto"/>
            </w:tcBorders>
            <w:shd w:val="clear" w:color="auto" w:fill="auto"/>
          </w:tcPr>
          <w:p w:rsidR="00685665" w:rsidRPr="00E40B15" w:rsidRDefault="00E40B15" w:rsidP="00CE66F4">
            <w:pPr>
              <w:jc w:val="center"/>
              <w:rPr>
                <w:sz w:val="16"/>
                <w:szCs w:val="16"/>
              </w:rPr>
            </w:pPr>
            <w:r w:rsidRPr="00E40B15">
              <w:rPr>
                <w:sz w:val="16"/>
                <w:szCs w:val="16"/>
              </w:rPr>
              <w:t>NA</w:t>
            </w:r>
          </w:p>
        </w:tc>
        <w:tc>
          <w:tcPr>
            <w:tcW w:w="669" w:type="dxa"/>
            <w:tcBorders>
              <w:left w:val="single" w:sz="4" w:space="0" w:color="auto"/>
              <w:right w:val="single" w:sz="4" w:space="0" w:color="auto"/>
            </w:tcBorders>
            <w:shd w:val="clear" w:color="auto" w:fill="auto"/>
          </w:tcPr>
          <w:p w:rsidR="00685665" w:rsidRPr="00834EE1" w:rsidRDefault="00E40B15" w:rsidP="00CE66F4">
            <w:pPr>
              <w:jc w:val="center"/>
            </w:pPr>
            <w:r>
              <w:t>NA</w:t>
            </w:r>
          </w:p>
        </w:tc>
        <w:tc>
          <w:tcPr>
            <w:tcW w:w="4252" w:type="dxa"/>
            <w:tcBorders>
              <w:left w:val="single" w:sz="4" w:space="0" w:color="auto"/>
            </w:tcBorders>
            <w:shd w:val="clear" w:color="auto" w:fill="auto"/>
          </w:tcPr>
          <w:p w:rsidR="00685665" w:rsidRPr="00834EE1" w:rsidRDefault="00685665" w:rsidP="00CE66F4">
            <w:pPr>
              <w:jc w:val="center"/>
            </w:pPr>
            <w:r w:rsidRPr="00834EE1">
              <w:rPr>
                <w:b/>
              </w:rPr>
              <w:t>no match</w:t>
            </w:r>
          </w:p>
        </w:tc>
      </w:tr>
      <w:tr w:rsidR="006C471B" w:rsidRPr="00834EE1" w:rsidTr="00CE66F4">
        <w:tc>
          <w:tcPr>
            <w:tcW w:w="442" w:type="dxa"/>
            <w:tcBorders>
              <w:right w:val="single" w:sz="4" w:space="0" w:color="auto"/>
            </w:tcBorders>
            <w:shd w:val="clear" w:color="auto" w:fill="auto"/>
          </w:tcPr>
          <w:p w:rsidR="006C471B" w:rsidRPr="00834EE1" w:rsidRDefault="006C471B" w:rsidP="00CE66F4">
            <w:pPr>
              <w:jc w:val="center"/>
            </w:pPr>
            <w:r w:rsidRPr="00834EE1">
              <w:t>8</w:t>
            </w:r>
          </w:p>
        </w:tc>
        <w:tc>
          <w:tcPr>
            <w:tcW w:w="800" w:type="dxa"/>
            <w:tcBorders>
              <w:left w:val="single" w:sz="4" w:space="0" w:color="auto"/>
              <w:right w:val="single" w:sz="4" w:space="0" w:color="auto"/>
            </w:tcBorders>
            <w:shd w:val="clear" w:color="auto" w:fill="auto"/>
          </w:tcPr>
          <w:p w:rsidR="006C471B" w:rsidRPr="00834EE1" w:rsidRDefault="006C471B" w:rsidP="00CE66F4">
            <w:pPr>
              <w:jc w:val="center"/>
            </w:pPr>
            <w:r w:rsidRPr="00834EE1">
              <w:t>‒2.3</w:t>
            </w:r>
          </w:p>
        </w:tc>
        <w:tc>
          <w:tcPr>
            <w:tcW w:w="4111" w:type="dxa"/>
            <w:tcBorders>
              <w:left w:val="single" w:sz="4" w:space="0" w:color="auto"/>
            </w:tcBorders>
            <w:shd w:val="clear" w:color="auto" w:fill="auto"/>
          </w:tcPr>
          <w:p w:rsidR="006C471B" w:rsidRPr="00834EE1" w:rsidRDefault="006C471B" w:rsidP="00CE66F4">
            <w:pPr>
              <w:jc w:val="center"/>
            </w:pPr>
            <w:r w:rsidRPr="00834EE1">
              <w:rPr>
                <w:b/>
              </w:rPr>
              <w:t>P33</w:t>
            </w:r>
            <w:r w:rsidRPr="00834EE1">
              <w:t>(C=</w:t>
            </w:r>
            <w:proofErr w:type="spellStart"/>
            <w:r w:rsidRPr="00834EE1">
              <w:t>O</w:t>
            </w:r>
            <w:r w:rsidRPr="00834EE1">
              <w:rPr>
                <w:vertAlign w:val="subscript"/>
              </w:rPr>
              <w:t>pb</w:t>
            </w:r>
            <w:proofErr w:type="spellEnd"/>
            <w:r w:rsidRPr="00834EE1">
              <w:rPr>
                <w:vertAlign w:val="superscript"/>
              </w:rPr>
              <w:t xml:space="preserve"> σ−</w:t>
            </w:r>
            <w:r w:rsidRPr="00834EE1">
              <w:t xml:space="preserve">), </w:t>
            </w:r>
            <w:r w:rsidRPr="00834EE1">
              <w:rPr>
                <w:b/>
              </w:rPr>
              <w:t>K</w:t>
            </w:r>
            <w:r w:rsidRPr="00834EE1">
              <w:rPr>
                <w:b/>
                <w:vertAlign w:val="superscript"/>
              </w:rPr>
              <w:t>+</w:t>
            </w:r>
            <w:r w:rsidRPr="00834EE1">
              <w:rPr>
                <w:b/>
              </w:rPr>
              <w:t>35</w:t>
            </w:r>
            <w:r w:rsidRPr="00834EE1">
              <w:t xml:space="preserve">, </w:t>
            </w:r>
            <w:r w:rsidRPr="00834EE1">
              <w:rPr>
                <w:b/>
              </w:rPr>
              <w:t>R</w:t>
            </w:r>
            <w:r w:rsidRPr="00834EE1">
              <w:rPr>
                <w:b/>
                <w:vertAlign w:val="superscript"/>
              </w:rPr>
              <w:t>+</w:t>
            </w:r>
            <w:r w:rsidRPr="00834EE1">
              <w:rPr>
                <w:b/>
              </w:rPr>
              <w:t>36</w:t>
            </w:r>
          </w:p>
        </w:tc>
        <w:tc>
          <w:tcPr>
            <w:tcW w:w="425" w:type="dxa"/>
            <w:tcBorders>
              <w:right w:val="single" w:sz="4" w:space="0" w:color="auto"/>
            </w:tcBorders>
            <w:shd w:val="clear" w:color="auto" w:fill="auto"/>
          </w:tcPr>
          <w:p w:rsidR="006C471B" w:rsidRPr="00834EE1" w:rsidRDefault="006C471B" w:rsidP="00CE66F4">
            <w:pPr>
              <w:jc w:val="center"/>
            </w:pPr>
            <w:r w:rsidRPr="00834EE1">
              <w:t>9</w:t>
            </w:r>
          </w:p>
        </w:tc>
        <w:tc>
          <w:tcPr>
            <w:tcW w:w="709" w:type="dxa"/>
            <w:tcBorders>
              <w:left w:val="single" w:sz="4" w:space="0" w:color="auto"/>
              <w:right w:val="single" w:sz="4" w:space="0" w:color="auto"/>
            </w:tcBorders>
            <w:shd w:val="clear" w:color="auto" w:fill="auto"/>
          </w:tcPr>
          <w:p w:rsidR="006C471B" w:rsidRPr="00834EE1" w:rsidRDefault="006C471B" w:rsidP="00CE66F4">
            <w:pPr>
              <w:jc w:val="center"/>
            </w:pPr>
            <w:r w:rsidRPr="00834EE1">
              <w:t>-2.8</w:t>
            </w:r>
          </w:p>
        </w:tc>
        <w:tc>
          <w:tcPr>
            <w:tcW w:w="3686" w:type="dxa"/>
            <w:tcBorders>
              <w:left w:val="single" w:sz="4" w:space="0" w:color="auto"/>
            </w:tcBorders>
            <w:shd w:val="clear" w:color="auto" w:fill="auto"/>
          </w:tcPr>
          <w:p w:rsidR="006C471B" w:rsidRPr="00834EE1" w:rsidRDefault="006C471B" w:rsidP="00CE66F4">
            <w:pPr>
              <w:jc w:val="center"/>
            </w:pPr>
            <w:r w:rsidRPr="00834EE1">
              <w:rPr>
                <w:b/>
              </w:rPr>
              <w:t>K</w:t>
            </w:r>
            <w:r w:rsidRPr="00834EE1">
              <w:rPr>
                <w:b/>
                <w:vertAlign w:val="superscript"/>
              </w:rPr>
              <w:t>+</w:t>
            </w:r>
            <w:r w:rsidRPr="00834EE1">
              <w:rPr>
                <w:b/>
              </w:rPr>
              <w:t>35</w:t>
            </w:r>
          </w:p>
        </w:tc>
        <w:tc>
          <w:tcPr>
            <w:tcW w:w="465" w:type="dxa"/>
            <w:tcBorders>
              <w:right w:val="single" w:sz="4" w:space="0" w:color="auto"/>
            </w:tcBorders>
            <w:shd w:val="clear" w:color="auto" w:fill="auto"/>
          </w:tcPr>
          <w:p w:rsidR="006C471B" w:rsidRPr="00834EE1" w:rsidRDefault="006C471B" w:rsidP="00CE66F4">
            <w:pPr>
              <w:jc w:val="center"/>
            </w:pPr>
            <w:r w:rsidRPr="00834EE1">
              <w:t>6</w:t>
            </w:r>
          </w:p>
        </w:tc>
        <w:tc>
          <w:tcPr>
            <w:tcW w:w="669" w:type="dxa"/>
            <w:tcBorders>
              <w:left w:val="single" w:sz="4" w:space="0" w:color="auto"/>
              <w:right w:val="single" w:sz="4" w:space="0" w:color="auto"/>
            </w:tcBorders>
            <w:shd w:val="clear" w:color="auto" w:fill="auto"/>
          </w:tcPr>
          <w:p w:rsidR="006C471B" w:rsidRPr="00834EE1" w:rsidRDefault="006C471B" w:rsidP="00CE66F4">
            <w:pPr>
              <w:jc w:val="center"/>
            </w:pPr>
            <w:r w:rsidRPr="00834EE1">
              <w:t>-3.6</w:t>
            </w:r>
          </w:p>
        </w:tc>
        <w:tc>
          <w:tcPr>
            <w:tcW w:w="4252" w:type="dxa"/>
            <w:tcBorders>
              <w:left w:val="single" w:sz="4" w:space="0" w:color="auto"/>
            </w:tcBorders>
            <w:shd w:val="clear" w:color="auto" w:fill="auto"/>
          </w:tcPr>
          <w:p w:rsidR="006C471B" w:rsidRPr="00834EE1" w:rsidRDefault="006C471B" w:rsidP="00CE66F4">
            <w:pPr>
              <w:jc w:val="center"/>
            </w:pPr>
            <w:r w:rsidRPr="00834EE1">
              <w:rPr>
                <w:b/>
              </w:rPr>
              <w:t>K</w:t>
            </w:r>
            <w:r w:rsidRPr="00834EE1">
              <w:rPr>
                <w:b/>
                <w:vertAlign w:val="superscript"/>
              </w:rPr>
              <w:t>+</w:t>
            </w:r>
            <w:r w:rsidRPr="00834EE1">
              <w:rPr>
                <w:b/>
              </w:rPr>
              <w:t>35</w:t>
            </w:r>
          </w:p>
        </w:tc>
      </w:tr>
      <w:tr w:rsidR="00FE503C" w:rsidTr="00CE66F4">
        <w:trPr>
          <w:trHeight w:val="70"/>
        </w:trPr>
        <w:tc>
          <w:tcPr>
            <w:tcW w:w="442" w:type="dxa"/>
            <w:tcBorders>
              <w:right w:val="single" w:sz="4" w:space="0" w:color="auto"/>
            </w:tcBorders>
            <w:shd w:val="clear" w:color="auto" w:fill="auto"/>
          </w:tcPr>
          <w:p w:rsidR="00FE503C" w:rsidRPr="00834EE1" w:rsidRDefault="00FE503C" w:rsidP="00CE66F4">
            <w:pPr>
              <w:jc w:val="center"/>
            </w:pPr>
            <w:r w:rsidRPr="00834EE1">
              <w:t>9</w:t>
            </w:r>
          </w:p>
        </w:tc>
        <w:tc>
          <w:tcPr>
            <w:tcW w:w="800" w:type="dxa"/>
            <w:tcBorders>
              <w:left w:val="single" w:sz="4" w:space="0" w:color="auto"/>
              <w:right w:val="single" w:sz="4" w:space="0" w:color="auto"/>
            </w:tcBorders>
            <w:shd w:val="clear" w:color="auto" w:fill="auto"/>
          </w:tcPr>
          <w:p w:rsidR="00FE503C" w:rsidRPr="00834EE1" w:rsidRDefault="007F6963" w:rsidP="00CE66F4">
            <w:pPr>
              <w:jc w:val="center"/>
            </w:pPr>
            <w:r w:rsidRPr="00834EE1">
              <w:t>‒2.2</w:t>
            </w:r>
          </w:p>
        </w:tc>
        <w:tc>
          <w:tcPr>
            <w:tcW w:w="4111" w:type="dxa"/>
            <w:tcBorders>
              <w:left w:val="single" w:sz="4" w:space="0" w:color="auto"/>
            </w:tcBorders>
            <w:shd w:val="clear" w:color="auto" w:fill="auto"/>
          </w:tcPr>
          <w:p w:rsidR="00FE503C" w:rsidRPr="00834EE1" w:rsidRDefault="00A11812" w:rsidP="00CE66F4">
            <w:pPr>
              <w:jc w:val="center"/>
            </w:pPr>
            <w:r w:rsidRPr="00834EE1">
              <w:rPr>
                <w:b/>
              </w:rPr>
              <w:t>G17</w:t>
            </w:r>
            <w:r w:rsidRPr="00834EE1">
              <w:t>(</w:t>
            </w:r>
            <w:proofErr w:type="spellStart"/>
            <w:r w:rsidRPr="00834EE1">
              <w:t>NH</w:t>
            </w:r>
            <w:r w:rsidRPr="00834EE1">
              <w:rPr>
                <w:vertAlign w:val="subscript"/>
              </w:rPr>
              <w:t>pb</w:t>
            </w:r>
            <w:proofErr w:type="spellEnd"/>
            <w:r w:rsidRPr="00834EE1">
              <w:rPr>
                <w:vertAlign w:val="superscript"/>
              </w:rPr>
              <w:t xml:space="preserve"> σ+</w:t>
            </w:r>
            <w:r w:rsidRPr="00834EE1">
              <w:t xml:space="preserve">), </w:t>
            </w:r>
            <w:r w:rsidRPr="00834EE1">
              <w:rPr>
                <w:b/>
              </w:rPr>
              <w:t>N19</w:t>
            </w:r>
            <w:r w:rsidRPr="00834EE1">
              <w:t>(NH</w:t>
            </w:r>
            <w:r w:rsidRPr="00834EE1">
              <w:rPr>
                <w:vertAlign w:val="subscript"/>
              </w:rPr>
              <w:t>2</w:t>
            </w:r>
            <w:r w:rsidRPr="00834EE1">
              <w:rPr>
                <w:vertAlign w:val="superscript"/>
              </w:rPr>
              <w:t xml:space="preserve"> σ+</w:t>
            </w:r>
            <w:r w:rsidRPr="00834EE1">
              <w:t xml:space="preserve">), </w:t>
            </w:r>
            <w:r w:rsidRPr="00834EE1">
              <w:rPr>
                <w:b/>
              </w:rPr>
              <w:t>N19</w:t>
            </w:r>
            <w:r w:rsidRPr="00834EE1">
              <w:t>(C=</w:t>
            </w:r>
            <w:proofErr w:type="spellStart"/>
            <w:r w:rsidRPr="00834EE1">
              <w:t>O</w:t>
            </w:r>
            <w:r w:rsidRPr="00834EE1">
              <w:rPr>
                <w:vertAlign w:val="subscript"/>
              </w:rPr>
              <w:t>pb</w:t>
            </w:r>
            <w:proofErr w:type="spellEnd"/>
            <w:r w:rsidRPr="00834EE1">
              <w:rPr>
                <w:vertAlign w:val="superscript"/>
              </w:rPr>
              <w:t xml:space="preserve"> σ−</w:t>
            </w:r>
            <w:r w:rsidRPr="00834EE1">
              <w:t>)</w:t>
            </w:r>
          </w:p>
        </w:tc>
        <w:tc>
          <w:tcPr>
            <w:tcW w:w="425" w:type="dxa"/>
            <w:tcBorders>
              <w:right w:val="single" w:sz="4" w:space="0" w:color="auto"/>
            </w:tcBorders>
            <w:shd w:val="clear" w:color="auto" w:fill="auto"/>
          </w:tcPr>
          <w:p w:rsidR="00FE503C" w:rsidRPr="00E40B15" w:rsidRDefault="00E40B15" w:rsidP="00CE66F4">
            <w:pPr>
              <w:jc w:val="center"/>
              <w:rPr>
                <w:sz w:val="16"/>
                <w:szCs w:val="16"/>
              </w:rPr>
            </w:pPr>
            <w:r w:rsidRPr="00E40B15">
              <w:rPr>
                <w:sz w:val="16"/>
                <w:szCs w:val="16"/>
              </w:rPr>
              <w:t>NA</w:t>
            </w:r>
          </w:p>
        </w:tc>
        <w:tc>
          <w:tcPr>
            <w:tcW w:w="709" w:type="dxa"/>
            <w:tcBorders>
              <w:left w:val="single" w:sz="4" w:space="0" w:color="auto"/>
              <w:right w:val="single" w:sz="4" w:space="0" w:color="auto"/>
            </w:tcBorders>
            <w:shd w:val="clear" w:color="auto" w:fill="auto"/>
          </w:tcPr>
          <w:p w:rsidR="00FE503C" w:rsidRPr="00834EE1" w:rsidRDefault="00E40B15" w:rsidP="00CE66F4">
            <w:pPr>
              <w:jc w:val="center"/>
            </w:pPr>
            <w:r>
              <w:t>NA</w:t>
            </w:r>
          </w:p>
        </w:tc>
        <w:tc>
          <w:tcPr>
            <w:tcW w:w="3686" w:type="dxa"/>
            <w:tcBorders>
              <w:left w:val="single" w:sz="4" w:space="0" w:color="auto"/>
            </w:tcBorders>
            <w:shd w:val="clear" w:color="auto" w:fill="auto"/>
          </w:tcPr>
          <w:p w:rsidR="00FE503C" w:rsidRPr="00834EE1" w:rsidRDefault="00A11812" w:rsidP="00CE66F4">
            <w:pPr>
              <w:jc w:val="center"/>
            </w:pPr>
            <w:r w:rsidRPr="00834EE1">
              <w:rPr>
                <w:b/>
              </w:rPr>
              <w:t>no match</w:t>
            </w:r>
          </w:p>
        </w:tc>
        <w:tc>
          <w:tcPr>
            <w:tcW w:w="465" w:type="dxa"/>
            <w:tcBorders>
              <w:right w:val="single" w:sz="4" w:space="0" w:color="auto"/>
            </w:tcBorders>
            <w:shd w:val="clear" w:color="auto" w:fill="auto"/>
          </w:tcPr>
          <w:p w:rsidR="00FE503C" w:rsidRPr="00834EE1" w:rsidRDefault="00FE503C" w:rsidP="00CE66F4">
            <w:pPr>
              <w:jc w:val="center"/>
            </w:pPr>
            <w:r w:rsidRPr="00834EE1">
              <w:t>9</w:t>
            </w:r>
          </w:p>
        </w:tc>
        <w:tc>
          <w:tcPr>
            <w:tcW w:w="669" w:type="dxa"/>
            <w:tcBorders>
              <w:left w:val="single" w:sz="4" w:space="0" w:color="auto"/>
              <w:right w:val="single" w:sz="4" w:space="0" w:color="auto"/>
            </w:tcBorders>
            <w:shd w:val="clear" w:color="auto" w:fill="auto"/>
          </w:tcPr>
          <w:p w:rsidR="00FE503C" w:rsidRPr="00834EE1" w:rsidRDefault="00FE503C" w:rsidP="00CE66F4">
            <w:pPr>
              <w:jc w:val="center"/>
            </w:pPr>
            <w:r w:rsidRPr="00834EE1">
              <w:t>-3.9</w:t>
            </w:r>
          </w:p>
        </w:tc>
        <w:tc>
          <w:tcPr>
            <w:tcW w:w="4252" w:type="dxa"/>
            <w:tcBorders>
              <w:left w:val="single" w:sz="4" w:space="0" w:color="auto"/>
            </w:tcBorders>
            <w:shd w:val="clear" w:color="auto" w:fill="auto"/>
          </w:tcPr>
          <w:p w:rsidR="00FE503C" w:rsidRDefault="00A11812" w:rsidP="00CE66F4">
            <w:pPr>
              <w:jc w:val="center"/>
            </w:pPr>
            <w:r w:rsidRPr="00834EE1">
              <w:rPr>
                <w:b/>
              </w:rPr>
              <w:t>no match</w:t>
            </w:r>
          </w:p>
        </w:tc>
      </w:tr>
    </w:tbl>
    <w:p w:rsidR="00E3090F" w:rsidRDefault="00E3090F"/>
    <w:p w:rsidR="00D5215E" w:rsidRDefault="006C5248">
      <w:pPr>
        <w:rPr>
          <w:b/>
        </w:rPr>
      </w:pPr>
      <w:r>
        <w:rPr>
          <w:rFonts w:ascii="Times New Roman" w:eastAsia="Times New Roman" w:hAnsi="Times New Roman" w:cs="Times New Roman"/>
          <w:b/>
          <w:color w:val="000000" w:themeColor="text1"/>
          <w:sz w:val="24"/>
          <w:szCs w:val="24"/>
          <w:lang w:eastAsia="ru-RU"/>
        </w:rPr>
        <w:t>S3</w:t>
      </w:r>
      <w:bookmarkStart w:id="0" w:name="_GoBack"/>
      <w:bookmarkEnd w:id="0"/>
      <w:r w:rsidR="00303E41" w:rsidRPr="00213EDC">
        <w:rPr>
          <w:rFonts w:ascii="Times New Roman" w:eastAsia="Times New Roman" w:hAnsi="Times New Roman" w:cs="Times New Roman"/>
          <w:b/>
          <w:color w:val="000000" w:themeColor="text1"/>
          <w:sz w:val="24"/>
          <w:szCs w:val="24"/>
          <w:lang w:eastAsia="ru-RU"/>
        </w:rPr>
        <w:t xml:space="preserve"> Table</w:t>
      </w:r>
      <w:r w:rsidR="00973EEF">
        <w:rPr>
          <w:rFonts w:ascii="Times New Roman" w:eastAsia="Times New Roman" w:hAnsi="Times New Roman" w:cs="Times New Roman"/>
          <w:b/>
          <w:color w:val="000000" w:themeColor="text1"/>
          <w:sz w:val="24"/>
          <w:szCs w:val="24"/>
          <w:lang w:eastAsia="ru-RU"/>
        </w:rPr>
        <w:t>.</w:t>
      </w:r>
      <w:r w:rsidR="00303E41" w:rsidRPr="00213EDC">
        <w:rPr>
          <w:rFonts w:ascii="Times New Roman" w:hAnsi="Times New Roman" w:cs="Times New Roman"/>
          <w:b/>
          <w:sz w:val="24"/>
          <w:szCs w:val="24"/>
        </w:rPr>
        <w:t xml:space="preserve"> Summary of amino acid residues in CTII that are shared among lipid binding sites.</w:t>
      </w:r>
    </w:p>
    <w:p w:rsidR="00633C14" w:rsidRPr="00633C14" w:rsidRDefault="00633C14" w:rsidP="00633C14">
      <w:pPr>
        <w:rPr>
          <w:rFonts w:ascii="Times New Roman" w:hAnsi="Times New Roman" w:cs="Times New Roman"/>
          <w:sz w:val="24"/>
          <w:szCs w:val="24"/>
        </w:rPr>
      </w:pPr>
      <w:r w:rsidRPr="00633C14">
        <w:rPr>
          <w:rFonts w:ascii="Times New Roman" w:hAnsi="Times New Roman" w:cs="Times New Roman"/>
          <w:sz w:val="24"/>
          <w:szCs w:val="24"/>
        </w:rPr>
        <w:t xml:space="preserve">Amino acid residues on the molecular surface of CTII that bind to the phospholipid head group of CL, PC, and PS based on a total of nine top ranking docked conformations as determined by </w:t>
      </w:r>
      <w:proofErr w:type="spellStart"/>
      <w:r w:rsidRPr="00633C14">
        <w:rPr>
          <w:rFonts w:ascii="Times New Roman" w:hAnsi="Times New Roman" w:cs="Times New Roman"/>
          <w:sz w:val="24"/>
          <w:szCs w:val="24"/>
        </w:rPr>
        <w:t>AutoDock</w:t>
      </w:r>
      <w:proofErr w:type="spellEnd"/>
      <w:r w:rsidRPr="00633C14">
        <w:rPr>
          <w:rFonts w:ascii="Times New Roman" w:hAnsi="Times New Roman" w:cs="Times New Roman"/>
          <w:sz w:val="24"/>
          <w:szCs w:val="24"/>
        </w:rPr>
        <w:t>.  In addition, the table also shows the total number of amino acids that interact with either PS or CL and that are shared with PC binding sites.  For the complete list of amino acid residues that interact with CTII refer to Tables S</w:t>
      </w:r>
      <w:r w:rsidR="000D133E">
        <w:rPr>
          <w:rFonts w:ascii="Times New Roman" w:hAnsi="Times New Roman" w:cs="Times New Roman"/>
          <w:sz w:val="24"/>
          <w:szCs w:val="24"/>
        </w:rPr>
        <w:t>9 and S11</w:t>
      </w:r>
      <w:r w:rsidRPr="00633C14">
        <w:rPr>
          <w:rFonts w:ascii="Times New Roman" w:hAnsi="Times New Roman" w:cs="Times New Roman"/>
          <w:sz w:val="24"/>
          <w:szCs w:val="24"/>
        </w:rPr>
        <w:t>.  Numbers in columns (№</w:t>
      </w:r>
      <w:proofErr w:type="gramStart"/>
      <w:r w:rsidRPr="00633C14">
        <w:rPr>
          <w:rFonts w:ascii="Times New Roman" w:hAnsi="Times New Roman" w:cs="Times New Roman"/>
          <w:sz w:val="24"/>
          <w:szCs w:val="24"/>
        </w:rPr>
        <w:t>)  correspond</w:t>
      </w:r>
      <w:proofErr w:type="gramEnd"/>
      <w:r w:rsidRPr="00633C14">
        <w:rPr>
          <w:rFonts w:ascii="Times New Roman" w:hAnsi="Times New Roman" w:cs="Times New Roman"/>
          <w:sz w:val="24"/>
          <w:szCs w:val="24"/>
        </w:rPr>
        <w:t xml:space="preserve"> to the binding site number in the order by which it was ranked by </w:t>
      </w:r>
      <w:proofErr w:type="spellStart"/>
      <w:r w:rsidRPr="00633C14">
        <w:rPr>
          <w:rFonts w:ascii="Times New Roman" w:hAnsi="Times New Roman" w:cs="Times New Roman"/>
          <w:sz w:val="24"/>
          <w:szCs w:val="24"/>
        </w:rPr>
        <w:t>AutoDock</w:t>
      </w:r>
      <w:proofErr w:type="spellEnd"/>
      <w:r w:rsidRPr="00633C14">
        <w:rPr>
          <w:rFonts w:ascii="Times New Roman" w:hAnsi="Times New Roman" w:cs="Times New Roman"/>
          <w:sz w:val="24"/>
          <w:szCs w:val="24"/>
        </w:rPr>
        <w:t xml:space="preserve">.  Energies of binding affinities are expressed in kcal/mol. </w:t>
      </w:r>
      <w:r w:rsidRPr="00633C14">
        <w:rPr>
          <w:rFonts w:ascii="Times New Roman" w:hAnsi="Times New Roman" w:cs="Times New Roman"/>
          <w:color w:val="000000" w:themeColor="text1"/>
          <w:sz w:val="24"/>
          <w:szCs w:val="24"/>
        </w:rPr>
        <w:t xml:space="preserve"> Subscript </w:t>
      </w:r>
      <w:proofErr w:type="spellStart"/>
      <w:proofErr w:type="gramStart"/>
      <w:r w:rsidRPr="00633C14">
        <w:rPr>
          <w:rFonts w:ascii="Times New Roman" w:hAnsi="Times New Roman" w:cs="Times New Roman"/>
          <w:color w:val="000000" w:themeColor="text1"/>
          <w:sz w:val="24"/>
          <w:szCs w:val="24"/>
          <w:vertAlign w:val="subscript"/>
        </w:rPr>
        <w:t>pb</w:t>
      </w:r>
      <w:proofErr w:type="spellEnd"/>
      <w:proofErr w:type="gramEnd"/>
      <w:r w:rsidRPr="00633C14">
        <w:rPr>
          <w:rFonts w:ascii="Times New Roman" w:hAnsi="Times New Roman" w:cs="Times New Roman"/>
          <w:color w:val="000000" w:themeColor="text1"/>
          <w:sz w:val="24"/>
          <w:szCs w:val="24"/>
          <w:vertAlign w:val="subscript"/>
        </w:rPr>
        <w:t xml:space="preserve"> </w:t>
      </w:r>
      <w:r w:rsidRPr="00633C14">
        <w:rPr>
          <w:rFonts w:ascii="Times New Roman" w:hAnsi="Times New Roman" w:cs="Times New Roman"/>
          <w:color w:val="000000" w:themeColor="text1"/>
          <w:sz w:val="24"/>
          <w:szCs w:val="24"/>
        </w:rPr>
        <w:t>denotes peptide bonds.  NA: Not applicable</w:t>
      </w:r>
    </w:p>
    <w:p w:rsidR="00FE503C" w:rsidRPr="00FE503C" w:rsidRDefault="00FE503C" w:rsidP="00303E41"/>
    <w:sectPr w:rsidR="00FE503C" w:rsidRPr="00FE503C" w:rsidSect="00FE503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3C"/>
    <w:rsid w:val="00003D32"/>
    <w:rsid w:val="000D133E"/>
    <w:rsid w:val="00134822"/>
    <w:rsid w:val="0015078B"/>
    <w:rsid w:val="00200DED"/>
    <w:rsid w:val="00252F2B"/>
    <w:rsid w:val="002F4EBF"/>
    <w:rsid w:val="00303E41"/>
    <w:rsid w:val="004031F9"/>
    <w:rsid w:val="004A6335"/>
    <w:rsid w:val="006043F5"/>
    <w:rsid w:val="00633C14"/>
    <w:rsid w:val="00685665"/>
    <w:rsid w:val="006C471B"/>
    <w:rsid w:val="006C5248"/>
    <w:rsid w:val="0078180B"/>
    <w:rsid w:val="007F6963"/>
    <w:rsid w:val="008212EE"/>
    <w:rsid w:val="00830A71"/>
    <w:rsid w:val="00834EE1"/>
    <w:rsid w:val="00854B50"/>
    <w:rsid w:val="008731D6"/>
    <w:rsid w:val="008D5FEA"/>
    <w:rsid w:val="00973EEF"/>
    <w:rsid w:val="00A11812"/>
    <w:rsid w:val="00AC4090"/>
    <w:rsid w:val="00AD6496"/>
    <w:rsid w:val="00B57116"/>
    <w:rsid w:val="00B72D87"/>
    <w:rsid w:val="00BA6151"/>
    <w:rsid w:val="00C71662"/>
    <w:rsid w:val="00CE66F4"/>
    <w:rsid w:val="00D5215E"/>
    <w:rsid w:val="00E3090F"/>
    <w:rsid w:val="00E40B15"/>
    <w:rsid w:val="00EE3C5C"/>
    <w:rsid w:val="00FE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0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30A71"/>
    <w:rPr>
      <w:sz w:val="16"/>
      <w:szCs w:val="16"/>
    </w:rPr>
  </w:style>
  <w:style w:type="paragraph" w:styleId="CommentText">
    <w:name w:val="annotation text"/>
    <w:basedOn w:val="Normal"/>
    <w:link w:val="CommentTextChar"/>
    <w:uiPriority w:val="99"/>
    <w:semiHidden/>
    <w:unhideWhenUsed/>
    <w:rsid w:val="00830A71"/>
    <w:pPr>
      <w:spacing w:line="240" w:lineRule="auto"/>
    </w:pPr>
    <w:rPr>
      <w:sz w:val="20"/>
      <w:szCs w:val="20"/>
    </w:rPr>
  </w:style>
  <w:style w:type="character" w:customStyle="1" w:styleId="CommentTextChar">
    <w:name w:val="Comment Text Char"/>
    <w:basedOn w:val="DefaultParagraphFont"/>
    <w:link w:val="CommentText"/>
    <w:uiPriority w:val="99"/>
    <w:semiHidden/>
    <w:rsid w:val="00830A71"/>
    <w:rPr>
      <w:sz w:val="20"/>
      <w:szCs w:val="20"/>
    </w:rPr>
  </w:style>
  <w:style w:type="paragraph" w:styleId="BalloonText">
    <w:name w:val="Balloon Text"/>
    <w:basedOn w:val="Normal"/>
    <w:link w:val="BalloonTextChar"/>
    <w:uiPriority w:val="99"/>
    <w:semiHidden/>
    <w:unhideWhenUsed/>
    <w:rsid w:val="0083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0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30A71"/>
    <w:rPr>
      <w:sz w:val="16"/>
      <w:szCs w:val="16"/>
    </w:rPr>
  </w:style>
  <w:style w:type="paragraph" w:styleId="CommentText">
    <w:name w:val="annotation text"/>
    <w:basedOn w:val="Normal"/>
    <w:link w:val="CommentTextChar"/>
    <w:uiPriority w:val="99"/>
    <w:semiHidden/>
    <w:unhideWhenUsed/>
    <w:rsid w:val="00830A71"/>
    <w:pPr>
      <w:spacing w:line="240" w:lineRule="auto"/>
    </w:pPr>
    <w:rPr>
      <w:sz w:val="20"/>
      <w:szCs w:val="20"/>
    </w:rPr>
  </w:style>
  <w:style w:type="character" w:customStyle="1" w:styleId="CommentTextChar">
    <w:name w:val="Comment Text Char"/>
    <w:basedOn w:val="DefaultParagraphFont"/>
    <w:link w:val="CommentText"/>
    <w:uiPriority w:val="99"/>
    <w:semiHidden/>
    <w:rsid w:val="00830A71"/>
    <w:rPr>
      <w:sz w:val="20"/>
      <w:szCs w:val="20"/>
    </w:rPr>
  </w:style>
  <w:style w:type="paragraph" w:styleId="BalloonText">
    <w:name w:val="Balloon Text"/>
    <w:basedOn w:val="Normal"/>
    <w:link w:val="BalloonTextChar"/>
    <w:uiPriority w:val="99"/>
    <w:semiHidden/>
    <w:unhideWhenUsed/>
    <w:rsid w:val="0083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Ruben K Dagda</cp:lastModifiedBy>
  <cp:revision>3</cp:revision>
  <dcterms:created xsi:type="dcterms:W3CDTF">2015-05-29T18:52:00Z</dcterms:created>
  <dcterms:modified xsi:type="dcterms:W3CDTF">2015-05-29T18:59:00Z</dcterms:modified>
</cp:coreProperties>
</file>