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5" w:rsidRPr="006D6C09" w:rsidRDefault="000E5985" w:rsidP="000E5985">
      <w:pPr>
        <w:pStyle w:val="Geenafstand"/>
        <w:spacing w:line="480" w:lineRule="auto"/>
        <w:rPr>
          <w:lang w:val="en-US"/>
        </w:rPr>
      </w:pPr>
      <w:r>
        <w:rPr>
          <w:lang w:val="en-US"/>
        </w:rPr>
        <w:t>Supplemental T</w:t>
      </w:r>
      <w:r w:rsidR="00663A00">
        <w:rPr>
          <w:lang w:val="en-US"/>
        </w:rPr>
        <w:t>able</w:t>
      </w:r>
      <w:r>
        <w:rPr>
          <w:lang w:val="en-US"/>
        </w:rPr>
        <w:t>: Reduction ratio</w:t>
      </w:r>
      <w:r w:rsidRPr="008D5FD0">
        <w:rPr>
          <w:lang w:val="en-US"/>
        </w:rPr>
        <w:t xml:space="preserve"> (RR) of </w:t>
      </w:r>
      <w:r>
        <w:rPr>
          <w:lang w:val="en-US"/>
        </w:rPr>
        <w:t>urea</w:t>
      </w:r>
      <w:r w:rsidRPr="008D5FD0">
        <w:rPr>
          <w:lang w:val="en-US"/>
        </w:rPr>
        <w:t xml:space="preserve"> and beta2microglobulin</w:t>
      </w:r>
      <w:r>
        <w:rPr>
          <w:lang w:val="en-US"/>
        </w:rPr>
        <w:t xml:space="preserve"> (Beta2M): median and interquartile range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410"/>
        <w:gridCol w:w="2552"/>
        <w:gridCol w:w="2409"/>
      </w:tblGrid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RR urea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IN</w:t>
            </w:r>
            <w:r w:rsidRPr="001D04BF">
              <w:rPr>
                <w:vertAlign w:val="subscript"/>
                <w:lang w:val="en-US"/>
              </w:rPr>
              <w:t>0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IN</w:t>
            </w:r>
            <w:r w:rsidRPr="001D04BF">
              <w:rPr>
                <w:vertAlign w:val="subscript"/>
                <w:lang w:val="en-US"/>
              </w:rPr>
              <w:t>5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OUT</w:t>
            </w:r>
            <w:r w:rsidRPr="001D04BF">
              <w:rPr>
                <w:vertAlign w:val="subscript"/>
                <w:lang w:val="en-US"/>
              </w:rPr>
              <w:t>0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10 min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18.3 (16.6-19.6)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18.8 (15.6-20.3)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17.4 (15.9-20.0)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180 min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69.7 (63.8-75.5)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69.7 (63.2-74.3)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68.7 (62.9-72.1)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240 min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77.5 (76.0-81.1)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 xml:space="preserve">78.9 (73.8-81.9) </w:t>
            </w:r>
            <w:r w:rsidRPr="001D04BF">
              <w:rPr>
                <w:vertAlign w:val="superscript"/>
                <w:lang w:val="en-US"/>
              </w:rPr>
              <w:t>*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77.5 (73.6-85.1)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RR Beta2M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IN</w:t>
            </w:r>
            <w:r w:rsidRPr="001D04BF">
              <w:rPr>
                <w:vertAlign w:val="subscript"/>
                <w:lang w:val="en-US"/>
              </w:rPr>
              <w:t>0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IN</w:t>
            </w:r>
            <w:r w:rsidRPr="001D04BF">
              <w:rPr>
                <w:vertAlign w:val="subscript"/>
                <w:lang w:val="en-US"/>
              </w:rPr>
              <w:t>5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OUT</w:t>
            </w:r>
            <w:r w:rsidRPr="001D04BF">
              <w:rPr>
                <w:vertAlign w:val="subscript"/>
                <w:lang w:val="en-US"/>
              </w:rPr>
              <w:t>0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10 min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29.6 (25.2-40.8)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32.6 (30.8-37.0)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40.3 (24.1-44.8)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180 min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77.7 (67.1-82.2)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79.9 (70.1-82.0)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78.2 (70.4-82.6)</w:t>
            </w:r>
          </w:p>
        </w:tc>
      </w:tr>
      <w:tr w:rsidR="000E5985" w:rsidRPr="001D04BF" w:rsidTr="0059505D">
        <w:tc>
          <w:tcPr>
            <w:tcW w:w="156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240 min</w:t>
            </w:r>
          </w:p>
        </w:tc>
        <w:tc>
          <w:tcPr>
            <w:tcW w:w="2410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82.1 (74.2-84.9)</w:t>
            </w:r>
          </w:p>
        </w:tc>
        <w:tc>
          <w:tcPr>
            <w:tcW w:w="2552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80.8 (76.5-84.7)</w:t>
            </w:r>
          </w:p>
        </w:tc>
        <w:tc>
          <w:tcPr>
            <w:tcW w:w="2409" w:type="dxa"/>
          </w:tcPr>
          <w:p w:rsidR="000E5985" w:rsidRPr="001D04BF" w:rsidRDefault="000E5985" w:rsidP="0059505D">
            <w:pPr>
              <w:pStyle w:val="Geenafstand"/>
              <w:spacing w:line="480" w:lineRule="auto"/>
              <w:rPr>
                <w:lang w:val="en-US"/>
              </w:rPr>
            </w:pPr>
            <w:r w:rsidRPr="001D04BF">
              <w:rPr>
                <w:lang w:val="en-US"/>
              </w:rPr>
              <w:t>81.7 (75.9-85.6)</w:t>
            </w:r>
          </w:p>
        </w:tc>
      </w:tr>
    </w:tbl>
    <w:p w:rsidR="000E5985" w:rsidRDefault="000E5985" w:rsidP="000E5985">
      <w:pPr>
        <w:pStyle w:val="Geenafstand"/>
        <w:spacing w:line="480" w:lineRule="auto"/>
        <w:rPr>
          <w:color w:val="231F20"/>
          <w:lang w:val="en-US"/>
        </w:rPr>
      </w:pPr>
      <w:r>
        <w:rPr>
          <w:color w:val="231F20"/>
          <w:lang w:val="en-US"/>
        </w:rPr>
        <w:t>Abbreviations: IN</w:t>
      </w:r>
      <w:r w:rsidRPr="007834DA">
        <w:rPr>
          <w:color w:val="231F20"/>
          <w:vertAlign w:val="subscript"/>
          <w:lang w:val="en-US"/>
        </w:rPr>
        <w:t>0</w:t>
      </w:r>
      <w:r>
        <w:rPr>
          <w:color w:val="231F20"/>
          <w:lang w:val="en-US"/>
        </w:rPr>
        <w:t xml:space="preserve">: tinzaparin injection </w:t>
      </w:r>
      <w:r w:rsidRPr="006D6C09">
        <w:rPr>
          <w:lang w:val="en-US"/>
        </w:rPr>
        <w:t>before the start of the session</w:t>
      </w:r>
      <w:r>
        <w:rPr>
          <w:lang w:val="en-US"/>
        </w:rPr>
        <w:t xml:space="preserve"> at</w:t>
      </w:r>
      <w:r w:rsidRPr="006D6C09">
        <w:rPr>
          <w:lang w:val="en-US"/>
        </w:rPr>
        <w:t xml:space="preserve"> the </w:t>
      </w:r>
      <w:r>
        <w:rPr>
          <w:lang w:val="en-US"/>
        </w:rPr>
        <w:t>inlet</w:t>
      </w:r>
      <w:r w:rsidRPr="006D6C09">
        <w:rPr>
          <w:lang w:val="en-US"/>
        </w:rPr>
        <w:t xml:space="preserve"> </w:t>
      </w:r>
      <w:r>
        <w:rPr>
          <w:lang w:val="en-US"/>
        </w:rPr>
        <w:t xml:space="preserve">blood </w:t>
      </w:r>
      <w:r w:rsidRPr="006D6C09">
        <w:rPr>
          <w:lang w:val="en-US"/>
        </w:rPr>
        <w:t>line</w:t>
      </w:r>
      <w:r>
        <w:rPr>
          <w:lang w:val="en-US"/>
        </w:rPr>
        <w:t>; IN</w:t>
      </w:r>
      <w:r w:rsidRPr="007834DA">
        <w:rPr>
          <w:vertAlign w:val="subscript"/>
          <w:lang w:val="en-US"/>
        </w:rPr>
        <w:t>5</w:t>
      </w:r>
      <w:r>
        <w:rPr>
          <w:lang w:val="en-US"/>
        </w:rPr>
        <w:t>:</w:t>
      </w:r>
      <w:r w:rsidRPr="006D6C09">
        <w:rPr>
          <w:lang w:val="en-US"/>
        </w:rPr>
        <w:t xml:space="preserve"> </w:t>
      </w:r>
      <w:r>
        <w:rPr>
          <w:lang w:val="en-US"/>
        </w:rPr>
        <w:t xml:space="preserve">injection </w:t>
      </w:r>
      <w:r w:rsidRPr="006D6C09">
        <w:rPr>
          <w:lang w:val="en-US"/>
        </w:rPr>
        <w:t xml:space="preserve">5 min after the start of the session </w:t>
      </w:r>
      <w:r>
        <w:rPr>
          <w:lang w:val="en-US"/>
        </w:rPr>
        <w:t>at</w:t>
      </w:r>
      <w:r w:rsidRPr="006D6C09">
        <w:rPr>
          <w:lang w:val="en-US"/>
        </w:rPr>
        <w:t xml:space="preserve"> the </w:t>
      </w:r>
      <w:r>
        <w:rPr>
          <w:lang w:val="en-US"/>
        </w:rPr>
        <w:t>inlet blood</w:t>
      </w:r>
      <w:r w:rsidRPr="006D6C09">
        <w:rPr>
          <w:lang w:val="en-US"/>
        </w:rPr>
        <w:t xml:space="preserve"> line and </w:t>
      </w:r>
      <w:r>
        <w:rPr>
          <w:lang w:val="en-US"/>
        </w:rPr>
        <w:t>OUT</w:t>
      </w:r>
      <w:r w:rsidRPr="007834DA">
        <w:rPr>
          <w:vertAlign w:val="subscript"/>
          <w:lang w:val="en-US"/>
        </w:rPr>
        <w:t>0</w:t>
      </w:r>
      <w:r>
        <w:rPr>
          <w:lang w:val="en-US"/>
        </w:rPr>
        <w:t>: injection</w:t>
      </w:r>
      <w:r w:rsidRPr="006D6C09">
        <w:rPr>
          <w:lang w:val="en-US"/>
        </w:rPr>
        <w:t xml:space="preserve"> before the start of the session </w:t>
      </w:r>
      <w:r>
        <w:rPr>
          <w:lang w:val="en-US"/>
        </w:rPr>
        <w:t>at</w:t>
      </w:r>
      <w:r w:rsidRPr="006D6C09">
        <w:rPr>
          <w:lang w:val="en-US"/>
        </w:rPr>
        <w:t xml:space="preserve"> the </w:t>
      </w:r>
      <w:r>
        <w:rPr>
          <w:lang w:val="en-US"/>
        </w:rPr>
        <w:t>outlet</w:t>
      </w:r>
      <w:r w:rsidRPr="006D6C09">
        <w:rPr>
          <w:lang w:val="en-US"/>
        </w:rPr>
        <w:t xml:space="preserve"> blood</w:t>
      </w:r>
      <w:r>
        <w:rPr>
          <w:lang w:val="en-US"/>
        </w:rPr>
        <w:t xml:space="preserve"> </w:t>
      </w:r>
      <w:r w:rsidRPr="006D6C09">
        <w:rPr>
          <w:lang w:val="en-US"/>
        </w:rPr>
        <w:t>line</w:t>
      </w:r>
      <w:r>
        <w:rPr>
          <w:lang w:val="en-US"/>
        </w:rPr>
        <w:t>.</w:t>
      </w:r>
    </w:p>
    <w:p w:rsidR="000E5985" w:rsidRPr="005B32C6" w:rsidRDefault="000E5985" w:rsidP="000E5985">
      <w:pPr>
        <w:pStyle w:val="Geenafstand"/>
        <w:spacing w:line="480" w:lineRule="auto"/>
        <w:rPr>
          <w:vertAlign w:val="subscript"/>
          <w:lang w:val="en-US"/>
        </w:rPr>
      </w:pPr>
      <w:r>
        <w:rPr>
          <w:lang w:val="en-US"/>
        </w:rPr>
        <w:t xml:space="preserve">Comparison between schedules </w:t>
      </w:r>
      <w:r w:rsidRPr="001D2A32">
        <w:rPr>
          <w:vertAlign w:val="superscript"/>
          <w:lang w:val="en-US"/>
        </w:rPr>
        <w:t>*</w:t>
      </w:r>
      <w:r w:rsidRPr="006D6C09">
        <w:rPr>
          <w:lang w:val="en-US"/>
        </w:rPr>
        <w:t>: p&lt;0.05 vs</w:t>
      </w:r>
      <w:r>
        <w:rPr>
          <w:lang w:val="en-US"/>
        </w:rPr>
        <w:t>.</w:t>
      </w:r>
      <w:r w:rsidRPr="006D6C09">
        <w:rPr>
          <w:lang w:val="en-US"/>
        </w:rPr>
        <w:t xml:space="preserve"> </w:t>
      </w:r>
      <w:r>
        <w:rPr>
          <w:lang w:val="en-US"/>
        </w:rPr>
        <w:t>IN</w:t>
      </w:r>
      <w:r w:rsidRPr="009E221A">
        <w:rPr>
          <w:vertAlign w:val="subscript"/>
          <w:lang w:val="en-US"/>
        </w:rPr>
        <w:t>0</w:t>
      </w:r>
    </w:p>
    <w:p w:rsidR="00EE342A" w:rsidRPr="000E5985" w:rsidRDefault="00EE342A">
      <w:pPr>
        <w:rPr>
          <w:lang w:val="en-US"/>
        </w:rPr>
      </w:pPr>
    </w:p>
    <w:sectPr w:rsidR="00EE342A" w:rsidRPr="000E5985" w:rsidSect="00A92380">
      <w:footerReference w:type="default" r:id="rId6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F5" w:rsidRDefault="00D76EF5" w:rsidP="00431947">
      <w:pPr>
        <w:spacing w:after="0" w:line="240" w:lineRule="auto"/>
      </w:pPr>
      <w:r>
        <w:separator/>
      </w:r>
    </w:p>
  </w:endnote>
  <w:endnote w:type="continuationSeparator" w:id="1">
    <w:p w:rsidR="00D76EF5" w:rsidRDefault="00D76EF5" w:rsidP="0043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4B" w:rsidRDefault="00DE7C12">
    <w:pPr>
      <w:pStyle w:val="Voettekst"/>
      <w:jc w:val="center"/>
    </w:pPr>
    <w:r>
      <w:fldChar w:fldCharType="begin"/>
    </w:r>
    <w:r w:rsidR="000E5985">
      <w:instrText xml:space="preserve"> PAGE   \* MERGEFORMAT </w:instrText>
    </w:r>
    <w:r>
      <w:fldChar w:fldCharType="separate"/>
    </w:r>
    <w:r w:rsidR="00857301">
      <w:rPr>
        <w:noProof/>
      </w:rPr>
      <w:t>1</w:t>
    </w:r>
    <w:r>
      <w:fldChar w:fldCharType="end"/>
    </w:r>
  </w:p>
  <w:p w:rsidR="00B8034B" w:rsidRDefault="00D76EF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F5" w:rsidRDefault="00D76EF5" w:rsidP="00431947">
      <w:pPr>
        <w:spacing w:after="0" w:line="240" w:lineRule="auto"/>
      </w:pPr>
      <w:r>
        <w:separator/>
      </w:r>
    </w:p>
  </w:footnote>
  <w:footnote w:type="continuationSeparator" w:id="1">
    <w:p w:rsidR="00D76EF5" w:rsidRDefault="00D76EF5" w:rsidP="0043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85"/>
    <w:rsid w:val="000E5985"/>
    <w:rsid w:val="0017261B"/>
    <w:rsid w:val="00431947"/>
    <w:rsid w:val="00663A00"/>
    <w:rsid w:val="00857301"/>
    <w:rsid w:val="00D76EF5"/>
    <w:rsid w:val="00DE7C12"/>
    <w:rsid w:val="00E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598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59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E59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5985"/>
    <w:rPr>
      <w:rFonts w:ascii="Times New Roman" w:eastAsia="Calibri" w:hAnsi="Times New Roman" w:cs="Times New Roman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E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DHONDT</dc:creator>
  <cp:lastModifiedBy>ANNEMIEKE DHONDT</cp:lastModifiedBy>
  <cp:revision>2</cp:revision>
  <dcterms:created xsi:type="dcterms:W3CDTF">2015-05-06T08:53:00Z</dcterms:created>
  <dcterms:modified xsi:type="dcterms:W3CDTF">2015-05-06T08:53:00Z</dcterms:modified>
</cp:coreProperties>
</file>