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4" w:rsidRPr="00DC5774" w:rsidRDefault="0077023B" w:rsidP="002C55C4">
      <w:pPr>
        <w:autoSpaceDE w:val="0"/>
        <w:autoSpaceDN w:val="0"/>
        <w:adjustRightInd w:val="0"/>
        <w:spacing w:after="0" w:line="240" w:lineRule="auto"/>
        <w:rPr>
          <w:rFonts w:ascii="Times New Roman" w:eastAsia="JansonText-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JansonText-Roman" w:hAnsi="Times New Roman" w:cs="Times New Roman"/>
          <w:b/>
          <w:sz w:val="20"/>
          <w:szCs w:val="20"/>
        </w:rPr>
        <w:t>S1 Table</w:t>
      </w:r>
      <w:r w:rsidR="003F7CFA" w:rsidRPr="00DC5774">
        <w:rPr>
          <w:rFonts w:ascii="Times New Roman" w:eastAsia="JansonText-Roman" w:hAnsi="Times New Roman" w:cs="Times New Roman"/>
          <w:b/>
          <w:sz w:val="20"/>
          <w:szCs w:val="20"/>
        </w:rPr>
        <w:t>.</w:t>
      </w:r>
      <w:proofErr w:type="gramEnd"/>
      <w:r w:rsidR="003F7CFA" w:rsidRPr="00DC5774">
        <w:rPr>
          <w:rFonts w:ascii="Times New Roman" w:eastAsia="JansonText-Roman" w:hAnsi="Times New Roman" w:cs="Times New Roman"/>
          <w:b/>
          <w:sz w:val="20"/>
          <w:szCs w:val="20"/>
        </w:rPr>
        <w:t xml:space="preserve"> Primer sequences for RT-</w:t>
      </w:r>
      <w:proofErr w:type="spellStart"/>
      <w:r w:rsidR="003F7CFA" w:rsidRPr="00DC5774">
        <w:rPr>
          <w:rFonts w:ascii="Times New Roman" w:eastAsia="JansonText-Roman" w:hAnsi="Times New Roman" w:cs="Times New Roman"/>
          <w:b/>
          <w:sz w:val="20"/>
          <w:szCs w:val="20"/>
        </w:rPr>
        <w:t>qPCR</w:t>
      </w:r>
      <w:proofErr w:type="spellEnd"/>
    </w:p>
    <w:tbl>
      <w:tblPr>
        <w:tblStyle w:val="LightShading2"/>
        <w:tblW w:w="13176" w:type="dxa"/>
        <w:tblLayout w:type="fixed"/>
        <w:tblLook w:val="04A0"/>
      </w:tblPr>
      <w:tblGrid>
        <w:gridCol w:w="633"/>
        <w:gridCol w:w="3075"/>
        <w:gridCol w:w="1980"/>
        <w:gridCol w:w="3917"/>
        <w:gridCol w:w="43"/>
        <w:gridCol w:w="3528"/>
      </w:tblGrid>
      <w:tr w:rsidR="00DC5774" w:rsidRPr="00DC5774" w:rsidTr="00DC5774">
        <w:trPr>
          <w:cnfStyle w:val="100000000000"/>
          <w:trHeight w:val="33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3075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Annotation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i/>
                <w:sz w:val="20"/>
                <w:szCs w:val="20"/>
              </w:rPr>
              <w:t xml:space="preserve">G. </w:t>
            </w:r>
            <w:proofErr w:type="spellStart"/>
            <w:r w:rsidRPr="00DC5774">
              <w:rPr>
                <w:rFonts w:ascii="Times New Roman" w:hAnsi="Times New Roman"/>
                <w:i/>
                <w:sz w:val="20"/>
                <w:szCs w:val="20"/>
              </w:rPr>
              <w:t>raimondii</w:t>
            </w:r>
            <w:proofErr w:type="spellEnd"/>
            <w:r w:rsidRPr="00DC5774">
              <w:rPr>
                <w:rFonts w:ascii="Times New Roman" w:hAnsi="Times New Roman"/>
                <w:sz w:val="20"/>
                <w:szCs w:val="20"/>
              </w:rPr>
              <w:t xml:space="preserve"> ID</w:t>
            </w:r>
          </w:p>
        </w:tc>
        <w:tc>
          <w:tcPr>
            <w:tcW w:w="3917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Forward primer 5′to 3′</w:t>
            </w:r>
          </w:p>
        </w:tc>
        <w:tc>
          <w:tcPr>
            <w:tcW w:w="3571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Reverse primer 5′to 3′</w:t>
            </w:r>
          </w:p>
        </w:tc>
      </w:tr>
      <w:tr w:rsidR="00DC5774" w:rsidRPr="00DC5774" w:rsidTr="00DC5774">
        <w:trPr>
          <w:cnfStyle w:val="000000100000"/>
          <w:trHeight w:val="37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IAA29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Gorai.001G043900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GAAGGTAAAGATGGAAGGAAATGC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AAAGCTCTTTTGCCCATTCTCA</w:t>
            </w:r>
          </w:p>
        </w:tc>
      </w:tr>
      <w:tr w:rsidR="00DC5774" w:rsidRPr="00DC5774" w:rsidTr="00DC5774">
        <w:trPr>
          <w:trHeight w:val="33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auxin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-responsive GH3-like protein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Gorai.005G234200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TCCATTTCGTGAGGAGGAAGA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GCTTTTTGTAACTCGGCTTCGT</w:t>
            </w:r>
          </w:p>
        </w:tc>
      </w:tr>
      <w:tr w:rsidR="00DC5774" w:rsidRPr="00DC5774" w:rsidTr="00DC5774">
        <w:trPr>
          <w:cnfStyle w:val="000000100000"/>
          <w:trHeight w:val="37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auxin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 response factor 16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Gorai.011G238900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TGTTTGGTCAACTCATTTTCTGTGA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CCCATCTGATGAACTGTTTCCA</w:t>
            </w:r>
          </w:p>
        </w:tc>
      </w:tr>
      <w:tr w:rsidR="00DC5774" w:rsidRPr="00DC5774" w:rsidTr="00DC5774">
        <w:trPr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protein 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Gorai.008G294700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TGGCTCCCGAGGTTCTCA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CGAAGCTGTACACATCGCATTT</w:t>
            </w:r>
          </w:p>
        </w:tc>
      </w:tr>
      <w:tr w:rsidR="00DC5774" w:rsidRPr="00DC5774" w:rsidTr="00DC5774">
        <w:trPr>
          <w:cnfStyle w:val="000000100000"/>
          <w:trHeight w:val="33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TCP family transcription factor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Gorai.012G166500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CATCCGAACCCCAGATATGG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TGTAAGGGTGCTTGCAATGTG</w:t>
            </w:r>
          </w:p>
        </w:tc>
      </w:tr>
      <w:tr w:rsidR="00DC5774" w:rsidRPr="00DC5774" w:rsidTr="00DC5774">
        <w:trPr>
          <w:trHeight w:val="34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myb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 transcription factor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Gorai.013G196800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CCATCTGAAGAGGAAGCTAAGGAA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TCACCCGCCATTGAAGGA</w:t>
            </w:r>
          </w:p>
        </w:tc>
      </w:tr>
      <w:tr w:rsidR="00DC5774" w:rsidRPr="00DC5774" w:rsidTr="00DC5774">
        <w:trPr>
          <w:cnfStyle w:val="000000100000"/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ABA 8'-hydroxylase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Gorai.004G177200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CGTTTCCAACATCGAATCCA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TCAGCCTGCCTTCCAATGAC</w:t>
            </w:r>
          </w:p>
        </w:tc>
      </w:tr>
      <w:tr w:rsidR="00DC5774" w:rsidRPr="00DC5774" w:rsidTr="00DC5774">
        <w:trPr>
          <w:trHeight w:val="33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ethylene receptor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Gorai.002G038300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TGGGTCGAACTTTGGCACTAG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GAAAGTTGGAGCTCAAGTCCAGTAC</w:t>
            </w:r>
          </w:p>
        </w:tc>
      </w:tr>
      <w:tr w:rsidR="00DC5774" w:rsidRPr="00DC5774" w:rsidTr="00DC5774">
        <w:trPr>
          <w:cnfStyle w:val="000000100000"/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endo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-β-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glucanase</w:t>
            </w:r>
            <w:proofErr w:type="spellEnd"/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Gorai.007G126900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GGGCTCCTGTTTAAGATGAGTGA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AAGCAGGAAGGAAGTGGAGGTA</w:t>
            </w:r>
          </w:p>
        </w:tc>
      </w:tr>
      <w:tr w:rsidR="00DC5774" w:rsidRPr="00DC5774" w:rsidTr="00DC5774">
        <w:trPr>
          <w:trHeight w:val="30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IAA 16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Gorai.009G132200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TCCCGTTTCAAAGACACAAGTG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AACTCTTCTTTCCTCTCTTTGCAAA</w:t>
            </w:r>
          </w:p>
        </w:tc>
      </w:tr>
      <w:tr w:rsidR="00DC5774" w:rsidRPr="00DC5774" w:rsidTr="00DC5774">
        <w:trPr>
          <w:cnfStyle w:val="000000100000"/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MEK 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kinase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 (MAP3Ka) 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Gorai.012G034500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GGCTACAACCTCAAGAGCACTGA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GGGCAACGATGTGATTGTTCT</w:t>
            </w:r>
          </w:p>
        </w:tc>
      </w:tr>
      <w:tr w:rsidR="00DC5774" w:rsidRPr="00DC5774" w:rsidTr="00DC5774">
        <w:trPr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Auxin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 induced gene, IAA11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Gorai.007G150000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GCTGATGTCACAGCTAAGATCAAGA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AGGAGGCCACCCCACAA</w:t>
            </w:r>
          </w:p>
        </w:tc>
      </w:tr>
      <w:tr w:rsidR="00DC5774" w:rsidRPr="00DC5774" w:rsidTr="00DC5774">
        <w:trPr>
          <w:cnfStyle w:val="000000100000"/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GhHD-1 (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leucine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-rich repeat LRR protein)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Gorai.013G167800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GCTGAAGTTGTTGGATGTGTCTTT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AAGAAGTTGCCGAGCCAATC</w:t>
            </w:r>
          </w:p>
        </w:tc>
      </w:tr>
      <w:tr w:rsidR="00DC5774" w:rsidRPr="00DC5774" w:rsidTr="00DC5774">
        <w:trPr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heat shock protein (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Hsp</w:t>
            </w:r>
            <w:proofErr w:type="spellEnd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 101) chaperone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Gorai.006G011800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GCTCATGGTGATGTATTTAATGTTTTC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GCTCACGGTACGACCTTGTGA</w:t>
            </w:r>
          </w:p>
        </w:tc>
      </w:tr>
      <w:tr w:rsidR="00DC5774" w:rsidRPr="00DC5774" w:rsidTr="00DC5774">
        <w:trPr>
          <w:cnfStyle w:val="000000100000"/>
          <w:trHeight w:val="315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lipid transfer protein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Gorai.008G057100</w:t>
            </w:r>
          </w:p>
        </w:tc>
        <w:tc>
          <w:tcPr>
            <w:tcW w:w="3960" w:type="dxa"/>
            <w:gridSpan w:val="2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TGCTGTTTTCGGGTGAAAGTC</w:t>
            </w:r>
          </w:p>
        </w:tc>
        <w:tc>
          <w:tcPr>
            <w:tcW w:w="3528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GCTCCACGGGATTACATGTCA</w:t>
            </w:r>
          </w:p>
        </w:tc>
      </w:tr>
      <w:tr w:rsidR="00DC5774" w:rsidRPr="00DC5774" w:rsidTr="00DC5774">
        <w:trPr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GhMyb25-like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Gorai.008G179600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GAGAAATCGAGCCAAGTTGC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GATCCCCAGAATCACAAACC</w:t>
            </w:r>
          </w:p>
        </w:tc>
      </w:tr>
      <w:tr w:rsidR="00DC5774" w:rsidRPr="00DC5774" w:rsidTr="00DC5774">
        <w:trPr>
          <w:cnfStyle w:val="000000100000"/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ACC 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oxidase</w:t>
            </w:r>
            <w:proofErr w:type="spellEnd"/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Gorai.001G011100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GGGAATAGGCTTTCCATTGCT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GGGAATAGGCTTTCCATTGCT</w:t>
            </w:r>
          </w:p>
        </w:tc>
      </w:tr>
      <w:tr w:rsidR="00DC5774" w:rsidRPr="00DC5774" w:rsidTr="00DC5774">
        <w:trPr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i/>
                <w:sz w:val="20"/>
                <w:szCs w:val="20"/>
              </w:rPr>
            </w:pPr>
            <w:r w:rsidRPr="00484DEA">
              <w:rPr>
                <w:rFonts w:ascii="Times New Roman" w:hAnsi="Times New Roman"/>
                <w:i/>
                <w:sz w:val="20"/>
                <w:szCs w:val="20"/>
              </w:rPr>
              <w:t xml:space="preserve">18S </w:t>
            </w:r>
            <w:proofErr w:type="spellStart"/>
            <w:r w:rsidRPr="00484DEA">
              <w:rPr>
                <w:rFonts w:ascii="Times New Roman" w:hAnsi="Times New Roman"/>
                <w:i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U42827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CGTCCCTGCCCTTTGTACA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AACACTTCACCGGACCATTCA</w:t>
            </w:r>
          </w:p>
        </w:tc>
      </w:tr>
      <w:tr w:rsidR="00DC5774" w:rsidRPr="00DC5774" w:rsidTr="00DC5774">
        <w:trPr>
          <w:cnfStyle w:val="000000100000"/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DEA">
              <w:rPr>
                <w:rStyle w:val="italic"/>
                <w:rFonts w:ascii="Times New Roman" w:hAnsi="Times New Roman"/>
                <w:sz w:val="20"/>
                <w:szCs w:val="20"/>
              </w:rPr>
              <w:t>ubiquitin</w:t>
            </w:r>
            <w:proofErr w:type="spellEnd"/>
            <w:r w:rsidRPr="00484DEA">
              <w:rPr>
                <w:rStyle w:val="italic"/>
                <w:rFonts w:ascii="Times New Roman" w:hAnsi="Times New Roman"/>
                <w:sz w:val="20"/>
                <w:szCs w:val="20"/>
              </w:rPr>
              <w:t>-conjugating protein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AI730710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CGGAAAGAGGTGAAGATGTCAAC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GGATCTTGCTGCAACCTCTTAAA</w:t>
            </w:r>
          </w:p>
        </w:tc>
      </w:tr>
      <w:tr w:rsidR="00DC5774" w:rsidRPr="00DC5774" w:rsidTr="00DC5774">
        <w:trPr>
          <w:trHeight w:val="360"/>
        </w:trPr>
        <w:tc>
          <w:tcPr>
            <w:cnfStyle w:val="001000000000"/>
            <w:tcW w:w="633" w:type="dxa"/>
            <w:noWrap/>
            <w:hideMark/>
          </w:tcPr>
          <w:p w:rsidR="00DC5774" w:rsidRPr="00DC5774" w:rsidRDefault="00DC5774" w:rsidP="00B65A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5" w:type="dxa"/>
            <w:noWrap/>
            <w:hideMark/>
          </w:tcPr>
          <w:p w:rsidR="00DC5774" w:rsidRPr="00484DEA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484DEA">
              <w:rPr>
                <w:rStyle w:val="italic"/>
                <w:rFonts w:ascii="Times New Roman" w:hAnsi="Times New Roman"/>
                <w:sz w:val="20"/>
                <w:szCs w:val="20"/>
              </w:rPr>
              <w:t>α-</w:t>
            </w:r>
            <w:proofErr w:type="spellStart"/>
            <w:r w:rsidRPr="00484DEA">
              <w:rPr>
                <w:rStyle w:val="italic"/>
                <w:rFonts w:ascii="Times New Roman" w:hAnsi="Times New Roman"/>
                <w:sz w:val="20"/>
                <w:szCs w:val="20"/>
              </w:rPr>
              <w:t>tubulin</w:t>
            </w:r>
            <w:proofErr w:type="spellEnd"/>
            <w:r w:rsidRPr="00484DEA">
              <w:rPr>
                <w:rStyle w:val="italic"/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0" w:type="dxa"/>
            <w:noWrap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AF106570</w:t>
            </w:r>
          </w:p>
        </w:tc>
        <w:tc>
          <w:tcPr>
            <w:tcW w:w="3960" w:type="dxa"/>
            <w:gridSpan w:val="2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GATCTCGCTGCCCTGGAA</w:t>
            </w:r>
          </w:p>
        </w:tc>
        <w:tc>
          <w:tcPr>
            <w:tcW w:w="3528" w:type="dxa"/>
            <w:hideMark/>
          </w:tcPr>
          <w:p w:rsidR="00DC5774" w:rsidRPr="00DC5774" w:rsidRDefault="00DC5774" w:rsidP="00B65AB7">
            <w:pPr>
              <w:pStyle w:val="NoSpacing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DC5774">
              <w:rPr>
                <w:rFonts w:ascii="Times New Roman" w:hAnsi="Times New Roman"/>
                <w:sz w:val="20"/>
                <w:szCs w:val="20"/>
              </w:rPr>
              <w:t>ACCAGACTCAGCGCCAACTT</w:t>
            </w:r>
          </w:p>
        </w:tc>
      </w:tr>
    </w:tbl>
    <w:p w:rsidR="00CD1F3B" w:rsidRPr="00DC5774" w:rsidRDefault="0077023B" w:rsidP="002C55C4">
      <w:pPr>
        <w:pStyle w:val="h2"/>
        <w:rPr>
          <w:sz w:val="20"/>
          <w:szCs w:val="20"/>
        </w:rPr>
      </w:pPr>
    </w:p>
    <w:sectPr w:rsidR="00CD1F3B" w:rsidRPr="00DC5774" w:rsidSect="002C5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5C4"/>
    <w:rsid w:val="00192290"/>
    <w:rsid w:val="0022142E"/>
    <w:rsid w:val="002C55C4"/>
    <w:rsid w:val="003F1356"/>
    <w:rsid w:val="003F7CFA"/>
    <w:rsid w:val="004423B1"/>
    <w:rsid w:val="00473652"/>
    <w:rsid w:val="00484DEA"/>
    <w:rsid w:val="0058172F"/>
    <w:rsid w:val="006741B0"/>
    <w:rsid w:val="0077023B"/>
    <w:rsid w:val="008D14B3"/>
    <w:rsid w:val="009802F9"/>
    <w:rsid w:val="00AD7AD3"/>
    <w:rsid w:val="00DC5774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C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55C4"/>
    <w:pPr>
      <w:spacing w:after="0" w:line="240" w:lineRule="auto"/>
    </w:pPr>
    <w:rPr>
      <w:rFonts w:ascii="Calibri" w:hAnsi="Calibri" w:cs="Times New Roman"/>
    </w:rPr>
  </w:style>
  <w:style w:type="paragraph" w:customStyle="1" w:styleId="h2">
    <w:name w:val="h2"/>
    <w:basedOn w:val="Normal"/>
    <w:rsid w:val="002C55C4"/>
    <w:pPr>
      <w:keepNext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7"/>
      <w:szCs w:val="27"/>
    </w:rPr>
  </w:style>
  <w:style w:type="table" w:customStyle="1" w:styleId="LightShading2">
    <w:name w:val="Light Shading2"/>
    <w:basedOn w:val="TableNormal"/>
    <w:uiPriority w:val="60"/>
    <w:rsid w:val="002C55C4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talic">
    <w:name w:val="italic"/>
    <w:basedOn w:val="DefaultParagraphFont"/>
    <w:rsid w:val="003F7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Hee-Jin</dc:creator>
  <cp:lastModifiedBy>Kim, Hee-Jin</cp:lastModifiedBy>
  <cp:revision>4</cp:revision>
  <dcterms:created xsi:type="dcterms:W3CDTF">2014-12-24T16:44:00Z</dcterms:created>
  <dcterms:modified xsi:type="dcterms:W3CDTF">2015-02-03T23:11:00Z</dcterms:modified>
</cp:coreProperties>
</file>